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ind w:left="3980"/>
        <w:spacing w:after="0" w:line="193" w:lineRule="auto"/>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80"/>
        <w:spacing w:after="0" w:line="207"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5120"/>
        <w:spacing w:after="0"/>
        <w:rPr>
          <w:sz w:val="20"/>
          <w:szCs w:val="20"/>
          <w:color w:val="auto"/>
        </w:rPr>
      </w:pPr>
      <w:r>
        <w:rPr>
          <w:rFonts w:ascii="Times New Roman" w:cs="Times New Roman" w:eastAsia="Times New Roman" w:hAnsi="Times New Roman"/>
          <w:sz w:val="8"/>
          <w:szCs w:val="8"/>
          <w:color w:val="auto"/>
        </w:rPr>
        <w:t>_________________________</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(Mark One)</w:t>
      </w:r>
    </w:p>
    <w:p>
      <w:pPr>
        <w:spacing w:after="0" w:line="16" w:lineRule="exact"/>
        <w:rPr>
          <w:sz w:val="24"/>
          <w:szCs w:val="24"/>
          <w:color w:val="auto"/>
        </w:rPr>
      </w:pPr>
    </w:p>
    <w:p>
      <w:pPr>
        <w:ind w:left="4320" w:right="2360" w:hanging="2034"/>
        <w:spacing w:after="0" w:line="255" w:lineRule="auto"/>
        <w:tabs>
          <w:tab w:leader="none" w:pos="252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QUARTERLY REPORT PURSUANT TO SECTION 13 OR 15(d) OF THE SECURITIES EXCHANGE ACT OF 1934 </w:t>
      </w:r>
      <w:r>
        <w:rPr>
          <w:rFonts w:ascii="Times New Roman" w:cs="Times New Roman" w:eastAsia="Times New Roman" w:hAnsi="Times New Roman"/>
          <w:sz w:val="13"/>
          <w:szCs w:val="13"/>
          <w:color w:val="auto"/>
        </w:rPr>
        <w:t>For the quarterly period ended: September 30, 2024</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ind w:left="3840" w:right="2360" w:hanging="1558"/>
        <w:spacing w:after="0" w:line="271" w:lineRule="auto"/>
        <w:tabs>
          <w:tab w:leader="none" w:pos="2531"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3"/>
          <w:szCs w:val="13"/>
          <w:color w:val="auto"/>
        </w:rPr>
        <w:t>For the transition period from _______________ to _______________</w:t>
      </w:r>
    </w:p>
    <w:p>
      <w:pPr>
        <w:spacing w:after="0" w:line="16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13970</wp:posOffset>
            </wp:positionV>
            <wp:extent cx="1630680" cy="363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0680"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LivaNova PLC</w:t>
      </w:r>
    </w:p>
    <w:p>
      <w:pPr>
        <w:spacing w:after="0" w:line="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115" w:lineRule="exact"/>
        <w:rPr>
          <w:sz w:val="24"/>
          <w:szCs w:val="24"/>
          <w:color w:val="auto"/>
        </w:rPr>
      </w:pPr>
    </w:p>
    <w:tbl>
      <w:tblPr>
        <w:tblLayout w:type="fixed"/>
        <w:tblInd w:w="14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England and Wales </w:t>
            </w:r>
            <w:r>
              <w:rPr>
                <w:rFonts w:ascii="Times New Roman" w:cs="Times New Roman" w:eastAsia="Times New Roman" w:hAnsi="Times New Roman"/>
                <w:sz w:val="13"/>
                <w:szCs w:val="13"/>
                <w:i w:val="1"/>
                <w:iCs w:val="1"/>
                <w:color w:val="FFFFFF"/>
              </w:rPr>
              <w:t>...................</w:t>
            </w:r>
          </w:p>
        </w:tc>
        <w:tc>
          <w:tcPr>
            <w:tcW w:w="1560" w:type="dxa"/>
            <w:vAlign w:val="bottom"/>
          </w:tcPr>
          <w:p>
            <w:pPr>
              <w:jc w:val="center"/>
              <w:ind w:right="316"/>
              <w:spacing w:after="0"/>
              <w:rPr>
                <w:sz w:val="20"/>
                <w:szCs w:val="20"/>
                <w:color w:val="auto"/>
              </w:rPr>
            </w:pPr>
            <w:r>
              <w:rPr>
                <w:rFonts w:ascii="Times New Roman" w:cs="Times New Roman" w:eastAsia="Times New Roman" w:hAnsi="Times New Roman"/>
                <w:sz w:val="13"/>
                <w:szCs w:val="13"/>
                <w:b w:val="1"/>
                <w:bCs w:val="1"/>
                <w:color w:val="auto"/>
                <w:w w:val="98"/>
              </w:rPr>
              <w:t>98-1268150</w:t>
            </w:r>
          </w:p>
        </w:tc>
        <w:tc>
          <w:tcPr>
            <w:tcW w:w="22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(State or other jurisdiction of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80"/>
              <w:spacing w:after="0"/>
              <w:rPr>
                <w:sz w:val="20"/>
                <w:szCs w:val="20"/>
                <w:color w:val="auto"/>
              </w:rPr>
            </w:pPr>
            <w:r>
              <w:rPr>
                <w:rFonts w:ascii="Times New Roman" w:cs="Times New Roman" w:eastAsia="Times New Roman" w:hAnsi="Times New Roman"/>
                <w:sz w:val="13"/>
                <w:szCs w:val="13"/>
                <w:i w:val="1"/>
                <w:iCs w:val="1"/>
                <w:color w:val="auto"/>
                <w:w w:val="96"/>
              </w:rPr>
              <w:t>(I.R.S. Employer</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incorporation or organization) </w:t>
            </w:r>
            <w:r>
              <w:rPr>
                <w:rFonts w:ascii="Times New Roman" w:cs="Times New Roman" w:eastAsia="Times New Roman" w:hAnsi="Times New Roman"/>
                <w:sz w:val="13"/>
                <w:szCs w:val="13"/>
                <w:i w:val="1"/>
                <w:iCs w:val="1"/>
                <w:color w:val="FFFFFF"/>
              </w:rPr>
              <w:t>........</w:t>
            </w:r>
          </w:p>
        </w:tc>
        <w:tc>
          <w:tcPr>
            <w:tcW w:w="5380" w:type="dxa"/>
            <w:vAlign w:val="bottom"/>
            <w:gridSpan w:val="3"/>
          </w:tcPr>
          <w:p>
            <w:pPr>
              <w:jc w:val="center"/>
              <w:ind w:right="4160"/>
              <w:spacing w:after="0"/>
              <w:rPr>
                <w:sz w:val="20"/>
                <w:szCs w:val="20"/>
                <w:color w:val="auto"/>
              </w:rPr>
            </w:pPr>
            <w:r>
              <w:rPr>
                <w:rFonts w:ascii="Times New Roman" w:cs="Times New Roman" w:eastAsia="Times New Roman" w:hAnsi="Times New Roman"/>
                <w:sz w:val="13"/>
                <w:szCs w:val="13"/>
                <w:i w:val="1"/>
                <w:iCs w:val="1"/>
                <w:color w:val="auto"/>
                <w:w w:val="97"/>
              </w:rPr>
              <w:t>Identification No.)</w:t>
            </w:r>
          </w:p>
        </w:tc>
      </w:tr>
      <w:tr>
        <w:trPr>
          <w:trHeight w:val="268"/>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60" w:type="dxa"/>
            <w:vAlign w:val="bottom"/>
            <w:gridSpan w:val="6"/>
          </w:tcPr>
          <w:p>
            <w:pPr>
              <w:jc w:val="center"/>
              <w:ind w:right="3780"/>
              <w:spacing w:after="0"/>
              <w:rPr>
                <w:sz w:val="20"/>
                <w:szCs w:val="20"/>
                <w:color w:val="auto"/>
              </w:rPr>
            </w:pPr>
            <w:r>
              <w:rPr>
                <w:rFonts w:ascii="Times New Roman" w:cs="Times New Roman" w:eastAsia="Times New Roman" w:hAnsi="Times New Roman"/>
                <w:sz w:val="13"/>
                <w:szCs w:val="13"/>
                <w:b w:val="1"/>
                <w:bCs w:val="1"/>
                <w:color w:val="auto"/>
                <w:w w:val="97"/>
              </w:rPr>
              <w:t>20 Eastbourne Terrace, London, United Kingdom</w:t>
            </w: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color w:val="auto"/>
                <w:w w:val="97"/>
              </w:rPr>
              <w:t xml:space="preserve"> W2 6LG</w:t>
            </w:r>
          </w:p>
        </w:tc>
      </w:tr>
      <w:tr>
        <w:trPr>
          <w:trHeight w:val="167"/>
        </w:trPr>
        <w:tc>
          <w:tcPr>
            <w:tcW w:w="1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tc>
        <w:tc>
          <w:tcPr>
            <w:tcW w:w="53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FFFFFF"/>
              </w:rPr>
              <w:t xml:space="preserve">....................... </w:t>
            </w:r>
            <w:r>
              <w:rPr>
                <w:rFonts w:ascii="Times New Roman" w:cs="Times New Roman" w:eastAsia="Times New Roman" w:hAnsi="Times New Roman"/>
                <w:sz w:val="13"/>
                <w:szCs w:val="13"/>
                <w:i w:val="1"/>
                <w:iCs w:val="1"/>
                <w:color w:val="000000"/>
              </w:rPr>
              <w:t>(Zip Code)</w:t>
            </w:r>
          </w:p>
        </w:tc>
      </w:tr>
      <w:tr>
        <w:trPr>
          <w:trHeight w:val="286"/>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60" w:type="dxa"/>
            <w:vAlign w:val="bottom"/>
            <w:gridSpan w:val="6"/>
          </w:tcPr>
          <w:p>
            <w:pPr>
              <w:jc w:val="center"/>
              <w:ind w:right="3760"/>
              <w:spacing w:after="0"/>
              <w:rPr>
                <w:sz w:val="20"/>
                <w:szCs w:val="20"/>
                <w:color w:val="auto"/>
              </w:rPr>
            </w:pPr>
            <w:r>
              <w:rPr>
                <w:rFonts w:ascii="Times New Roman" w:cs="Times New Roman" w:eastAsia="Times New Roman" w:hAnsi="Times New Roman"/>
                <w:sz w:val="13"/>
                <w:szCs w:val="13"/>
                <w:i w:val="1"/>
                <w:iCs w:val="1"/>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(44) (0) 203 325-0660</w:t>
            </w:r>
          </w:p>
        </w:tc>
      </w:tr>
      <w:tr>
        <w:trPr>
          <w:trHeight w:val="175"/>
        </w:trPr>
        <w:tc>
          <w:tcPr>
            <w:tcW w:w="1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218"/>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60" w:type="dxa"/>
            <w:vAlign w:val="bottom"/>
            <w:gridSpan w:val="6"/>
          </w:tcPr>
          <w:p>
            <w:pPr>
              <w:ind w:left="5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r>
      <w:tr>
        <w:trPr>
          <w:trHeight w:val="248"/>
        </w:trPr>
        <w:tc>
          <w:tcPr>
            <w:tcW w:w="19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Trading Symbol(s)</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20" w:type="dxa"/>
            <w:vAlign w:val="bottom"/>
            <w:gridSpan w:val="2"/>
          </w:tcPr>
          <w:p>
            <w:pPr>
              <w:jc w:val="center"/>
              <w:ind w:right="1560"/>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7"/>
        </w:trPr>
        <w:tc>
          <w:tcPr>
            <w:tcW w:w="3560" w:type="dxa"/>
            <w:vAlign w:val="bottom"/>
            <w:gridSpan w:val="3"/>
          </w:tcPr>
          <w:p>
            <w:pPr>
              <w:jc w:val="center"/>
              <w:ind w:left="119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12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LIVN</w:t>
            </w:r>
          </w:p>
        </w:tc>
        <w:tc>
          <w:tcPr>
            <w:tcW w:w="1560" w:type="dxa"/>
            <w:vAlign w:val="bottom"/>
          </w:tcPr>
          <w:p>
            <w:pPr>
              <w:spacing w:after="0"/>
              <w:rPr>
                <w:sz w:val="15"/>
                <w:szCs w:val="15"/>
                <w:color w:val="auto"/>
              </w:rPr>
            </w:pPr>
          </w:p>
        </w:tc>
        <w:tc>
          <w:tcPr>
            <w:tcW w:w="3820" w:type="dxa"/>
            <w:vAlign w:val="bottom"/>
            <w:gridSpan w:val="2"/>
          </w:tcPr>
          <w:p>
            <w:pPr>
              <w:jc w:val="center"/>
              <w:ind w:right="1540"/>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bl>
    <w:p>
      <w:pPr>
        <w:spacing w:after="0" w:line="68"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90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80" w:lineRule="exact"/>
        <w:rPr>
          <w:sz w:val="24"/>
          <w:szCs w:val="24"/>
          <w:color w:val="auto"/>
        </w:rPr>
      </w:pPr>
    </w:p>
    <w:p>
      <w:pPr>
        <w:ind w:right="8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72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whether the registrant is a shell company (as defined in Rule 12b-2 of the Act). Yes </w:t>
            </w:r>
            <w:r>
              <w:rPr>
                <w:rFonts w:ascii="MS PGothic" w:cs="MS PGothic" w:eastAsia="MS PGothic" w:hAnsi="MS PGothic"/>
                <w:sz w:val="13"/>
                <w:szCs w:val="13"/>
                <w:color w:val="auto"/>
                <w:w w:val="98"/>
              </w:rPr>
              <w:t>☐</w:t>
            </w:r>
          </w:p>
        </w:tc>
        <w:tc>
          <w:tcPr>
            <w:tcW w:w="556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33"/>
        </w:trPr>
        <w:tc>
          <w:tcPr>
            <w:tcW w:w="57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9"/>
              </w:rPr>
              <w:t>Class</w:t>
            </w:r>
          </w:p>
        </w:tc>
        <w:tc>
          <w:tcPr>
            <w:tcW w:w="556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Outstanding at October 25, 2024</w:t>
            </w:r>
          </w:p>
        </w:tc>
      </w:tr>
      <w:tr>
        <w:trPr>
          <w:trHeight w:val="170"/>
        </w:trPr>
        <w:tc>
          <w:tcPr>
            <w:tcW w:w="57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7"/>
              </w:rPr>
              <w:t>Ordinary Shares - £1.00 par value per share</w:t>
            </w:r>
          </w:p>
        </w:tc>
        <w:tc>
          <w:tcPr>
            <w:tcW w:w="5560" w:type="dxa"/>
            <w:vAlign w:val="bottom"/>
          </w:tcPr>
          <w:p>
            <w:pPr>
              <w:jc w:val="right"/>
              <w:ind w:right="2356"/>
              <w:spacing w:after="0"/>
              <w:rPr>
                <w:sz w:val="20"/>
                <w:szCs w:val="20"/>
                <w:color w:val="auto"/>
              </w:rPr>
            </w:pPr>
            <w:r>
              <w:rPr>
                <w:rFonts w:ascii="Times New Roman" w:cs="Times New Roman" w:eastAsia="Times New Roman" w:hAnsi="Times New Roman"/>
                <w:sz w:val="13"/>
                <w:szCs w:val="13"/>
                <w:color w:val="auto"/>
              </w:rPr>
              <w:t>54,300,835</w:t>
            </w:r>
          </w:p>
        </w:tc>
      </w:tr>
      <w:tr>
        <w:trPr>
          <w:trHeight w:val="547"/>
        </w:trPr>
        <w:tc>
          <w:tcPr>
            <w:tcW w:w="57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8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60" w:type="dxa"/>
            <w:vAlign w:val="bottom"/>
          </w:tcPr>
          <w:p>
            <w:pPr>
              <w:ind w:left="4000"/>
              <w:spacing w:after="0"/>
              <w:rPr>
                <w:sz w:val="20"/>
                <w:szCs w:val="20"/>
                <w:color w:val="auto"/>
              </w:rPr>
            </w:pPr>
            <w:r>
              <w:rPr>
                <w:rFonts w:ascii="Times New Roman" w:cs="Times New Roman" w:eastAsia="Times New Roman" w:hAnsi="Times New Roman"/>
                <w:sz w:val="17"/>
                <w:szCs w:val="17"/>
                <w:b w:val="1"/>
                <w:bCs w:val="1"/>
                <w:color w:val="auto"/>
              </w:rPr>
              <w:t>LIVANOVA PLC</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5"/>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60" w:type="dxa"/>
            <w:vAlign w:val="bottom"/>
          </w:tcPr>
          <w:p>
            <w:pPr>
              <w:ind w:left="37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9"/>
        </w:trPr>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Item</w:t>
            </w: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1"/>
        </w:trPr>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Definitions</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w:t>
            </w:r>
          </w:p>
        </w:tc>
      </w:tr>
      <w:tr>
        <w:trPr>
          <w:trHeight w:val="180"/>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Intellectual Property, Trademarks, and Trade Names</w:t>
            </w:r>
          </w:p>
        </w:tc>
        <w:tc>
          <w:tcPr>
            <w:tcW w:w="11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0000FF"/>
              </w:rPr>
              <w:t>3</w:t>
            </w:r>
          </w:p>
        </w:tc>
      </w:tr>
      <w:tr>
        <w:trPr>
          <w:trHeight w:val="180"/>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Cautionary Note About Forward-Looking Statements</w:t>
            </w:r>
          </w:p>
        </w:tc>
        <w:tc>
          <w:tcPr>
            <w:tcW w:w="11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0000FF"/>
              </w:rPr>
              <w:t>4</w:t>
            </w:r>
          </w:p>
        </w:tc>
      </w:tr>
      <w:tr>
        <w:trPr>
          <w:trHeight w:val="180"/>
        </w:trPr>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r>
      <w:tr>
        <w:trPr>
          <w:trHeight w:val="171"/>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1.</w:t>
            </w:r>
          </w:p>
        </w:tc>
        <w:tc>
          <w:tcPr>
            <w:tcW w:w="100" w:type="dxa"/>
            <w:vAlign w:val="bottom"/>
            <w:shd w:val="clear" w:color="auto" w:fill="CCEEFF"/>
          </w:tcPr>
          <w:p>
            <w:pPr>
              <w:spacing w:after="0"/>
              <w:rPr>
                <w:sz w:val="14"/>
                <w:szCs w:val="14"/>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11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0000FF"/>
              </w:rPr>
              <w:t>5</w:t>
            </w:r>
          </w:p>
        </w:tc>
      </w:tr>
      <w:tr>
        <w:trPr>
          <w:trHeight w:val="180"/>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2.</w:t>
            </w:r>
          </w:p>
        </w:tc>
        <w:tc>
          <w:tcPr>
            <w:tcW w:w="100" w:type="dxa"/>
            <w:vAlign w:val="bottom"/>
          </w:tcPr>
          <w:p>
            <w:pPr>
              <w:spacing w:after="0"/>
              <w:rPr>
                <w:sz w:val="15"/>
                <w:szCs w:val="15"/>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0000FF"/>
                <w:w w:val="99"/>
              </w:rPr>
              <w:t>29</w:t>
            </w:r>
          </w:p>
        </w:tc>
      </w:tr>
      <w:tr>
        <w:trPr>
          <w:trHeight w:val="180"/>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3.</w:t>
            </w:r>
          </w:p>
        </w:tc>
        <w:tc>
          <w:tcPr>
            <w:tcW w:w="100" w:type="dxa"/>
            <w:vAlign w:val="bottom"/>
            <w:shd w:val="clear" w:color="auto" w:fill="CCEEFF"/>
          </w:tcPr>
          <w:p>
            <w:pPr>
              <w:spacing w:after="0"/>
              <w:rPr>
                <w:sz w:val="15"/>
                <w:szCs w:val="15"/>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10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0000FF"/>
                <w:w w:val="99"/>
              </w:rPr>
              <w:t>36</w:t>
            </w:r>
          </w:p>
        </w:tc>
      </w:tr>
      <w:tr>
        <w:trPr>
          <w:trHeight w:val="180"/>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4.</w:t>
            </w:r>
          </w:p>
        </w:tc>
        <w:tc>
          <w:tcPr>
            <w:tcW w:w="100" w:type="dxa"/>
            <w:vAlign w:val="bottom"/>
          </w:tcPr>
          <w:p>
            <w:pPr>
              <w:spacing w:after="0"/>
              <w:rPr>
                <w:sz w:val="15"/>
                <w:szCs w:val="15"/>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1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0000FF"/>
                <w:w w:val="99"/>
              </w:rPr>
              <w:t>36</w:t>
            </w:r>
          </w:p>
        </w:tc>
      </w:tr>
      <w:tr>
        <w:trPr>
          <w:trHeight w:val="180"/>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 OTHER INFORMATION</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1.</w:t>
            </w:r>
          </w:p>
        </w:tc>
        <w:tc>
          <w:tcPr>
            <w:tcW w:w="100" w:type="dxa"/>
            <w:vAlign w:val="bottom"/>
          </w:tcPr>
          <w:p>
            <w:pPr>
              <w:spacing w:after="0"/>
              <w:rPr>
                <w:sz w:val="14"/>
                <w:szCs w:val="14"/>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Legal Proceedings</w:t>
            </w:r>
          </w:p>
        </w:tc>
        <w:tc>
          <w:tcPr>
            <w:tcW w:w="11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0000FF"/>
                <w:w w:val="99"/>
              </w:rPr>
              <w:t>36</w:t>
            </w:r>
          </w:p>
        </w:tc>
      </w:tr>
      <w:tr>
        <w:trPr>
          <w:trHeight w:val="180"/>
        </w:trPr>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0000FF"/>
              </w:rPr>
              <w:t>1A.</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Risk Factors</w:t>
            </w:r>
          </w:p>
        </w:tc>
        <w:tc>
          <w:tcPr>
            <w:tcW w:w="110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0000FF"/>
                <w:w w:val="99"/>
              </w:rPr>
              <w:t>37</w:t>
            </w:r>
          </w:p>
        </w:tc>
      </w:tr>
      <w:tr>
        <w:trPr>
          <w:trHeight w:val="180"/>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2.</w:t>
            </w:r>
          </w:p>
        </w:tc>
        <w:tc>
          <w:tcPr>
            <w:tcW w:w="100" w:type="dxa"/>
            <w:vAlign w:val="bottom"/>
          </w:tcPr>
          <w:p>
            <w:pPr>
              <w:spacing w:after="0"/>
              <w:rPr>
                <w:sz w:val="15"/>
                <w:szCs w:val="15"/>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1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0000FF"/>
                <w:w w:val="99"/>
              </w:rPr>
              <w:t>37</w:t>
            </w:r>
          </w:p>
        </w:tc>
      </w:tr>
      <w:tr>
        <w:trPr>
          <w:trHeight w:val="180"/>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3.</w:t>
            </w:r>
          </w:p>
        </w:tc>
        <w:tc>
          <w:tcPr>
            <w:tcW w:w="100" w:type="dxa"/>
            <w:vAlign w:val="bottom"/>
            <w:shd w:val="clear" w:color="auto" w:fill="CCEEFF"/>
          </w:tcPr>
          <w:p>
            <w:pPr>
              <w:spacing w:after="0"/>
              <w:rPr>
                <w:sz w:val="15"/>
                <w:szCs w:val="15"/>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10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0000FF"/>
                <w:w w:val="99"/>
              </w:rPr>
              <w:t>37</w:t>
            </w:r>
          </w:p>
        </w:tc>
      </w:tr>
      <w:tr>
        <w:trPr>
          <w:trHeight w:val="180"/>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4.</w:t>
            </w:r>
          </w:p>
        </w:tc>
        <w:tc>
          <w:tcPr>
            <w:tcW w:w="100" w:type="dxa"/>
            <w:vAlign w:val="bottom"/>
          </w:tcPr>
          <w:p>
            <w:pPr>
              <w:spacing w:after="0"/>
              <w:rPr>
                <w:sz w:val="15"/>
                <w:szCs w:val="15"/>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1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0000FF"/>
                <w:w w:val="99"/>
              </w:rPr>
              <w:t>37</w:t>
            </w:r>
          </w:p>
        </w:tc>
      </w:tr>
      <w:tr>
        <w:trPr>
          <w:trHeight w:val="180"/>
        </w:trPr>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4"/>
              </w:rPr>
              <w:t>5.</w:t>
            </w:r>
          </w:p>
        </w:tc>
        <w:tc>
          <w:tcPr>
            <w:tcW w:w="100" w:type="dxa"/>
            <w:vAlign w:val="bottom"/>
            <w:shd w:val="clear" w:color="auto" w:fill="CCEEFF"/>
          </w:tcPr>
          <w:p>
            <w:pPr>
              <w:spacing w:after="0"/>
              <w:rPr>
                <w:sz w:val="15"/>
                <w:szCs w:val="15"/>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Other Information</w:t>
            </w:r>
          </w:p>
        </w:tc>
        <w:tc>
          <w:tcPr>
            <w:tcW w:w="110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0000FF"/>
                <w:w w:val="99"/>
              </w:rPr>
              <w:t>37</w:t>
            </w:r>
          </w:p>
        </w:tc>
      </w:tr>
      <w:tr>
        <w:trPr>
          <w:trHeight w:val="180"/>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4"/>
              </w:rPr>
              <w:t>6.</w:t>
            </w:r>
          </w:p>
        </w:tc>
        <w:tc>
          <w:tcPr>
            <w:tcW w:w="100" w:type="dxa"/>
            <w:vAlign w:val="bottom"/>
          </w:tcPr>
          <w:p>
            <w:pPr>
              <w:spacing w:after="0"/>
              <w:rPr>
                <w:sz w:val="15"/>
                <w:szCs w:val="15"/>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Exhibits</w:t>
            </w:r>
          </w:p>
        </w:tc>
        <w:tc>
          <w:tcPr>
            <w:tcW w:w="11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0000FF"/>
                <w:w w:val="99"/>
              </w:rPr>
              <w:t>38</w:t>
            </w:r>
          </w:p>
        </w:tc>
      </w:tr>
      <w:tr>
        <w:trPr>
          <w:trHeight w:val="180"/>
        </w:trPr>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Signatures</w:t>
            </w:r>
          </w:p>
        </w:tc>
        <w:tc>
          <w:tcPr>
            <w:tcW w:w="110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0000FF"/>
                <w:w w:val="99"/>
              </w:rPr>
              <w:t>39</w:t>
            </w:r>
          </w:p>
        </w:tc>
      </w:tr>
      <w:tr>
        <w:trPr>
          <w:trHeight w:val="1709"/>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0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In this Quarterly Report on Form 10-Q for the quarter ended September 30, 2024, the following terms and abbreviations have the meanings listed below. “LivaNova” and the “Company” refer to LivaNova PLC and its consolidated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3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60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2015</w:t>
            </w: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12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PLC 2015 Incentive Award Plan</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2015</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 Amendment</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Amendment No. 2 to the LivaNova PLC 2015 Incentive Award Plan</w:t>
            </w:r>
          </w:p>
        </w:tc>
      </w:tr>
      <w:tr>
        <w:trPr>
          <w:trHeight w:val="144"/>
        </w:trPr>
        <w:tc>
          <w:tcPr>
            <w:tcW w:w="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2021</w:t>
            </w:r>
          </w:p>
        </w:tc>
        <w:tc>
          <w:tcPr>
            <w:tcW w:w="23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First Lien Credit Agreement</w:t>
            </w:r>
          </w:p>
        </w:tc>
        <w:tc>
          <w:tcPr>
            <w:tcW w:w="8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First Lien Credit Agreement between LivaNova PLC and its wholly-owned subsidiary, LivaNova USA, Inc., and Goldman Sachs Bank USA, as First</w:t>
            </w:r>
          </w:p>
        </w:tc>
      </w:tr>
      <w:tr>
        <w:trPr>
          <w:trHeight w:val="184"/>
        </w:trPr>
        <w:tc>
          <w:tcPr>
            <w:tcW w:w="3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Lien Administrative Agent and First Lien Collateral Agent, entered into on August 13, 2021</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10-K</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PLC’s Annual Report on Form 10-K for the year ended December 31, 2023, filed with the SEC on February 29, 2024</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Plan</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plan, initiated during the first quarter of 2024, to enhance LivaNova’s focus on its core Cardiopulmonary and Neuromodulation segments</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Capped Calls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Privately-negotiated capped call transactions entered into with certain financial institutions</w:t>
            </w:r>
          </w:p>
        </w:tc>
      </w:tr>
      <w:tr>
        <w:trPr>
          <w:trHeight w:val="144"/>
        </w:trPr>
        <w:tc>
          <w:tcPr>
            <w:tcW w:w="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2025</w:t>
            </w:r>
          </w:p>
        </w:tc>
        <w:tc>
          <w:tcPr>
            <w:tcW w:w="23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Notes</w:t>
            </w:r>
          </w:p>
        </w:tc>
        <w:tc>
          <w:tcPr>
            <w:tcW w:w="8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$287.5 million aggregate principal amount 3.00% unsecured cash exchangeable senior notes due 2025 by private placement to qualified institutional</w:t>
            </w:r>
          </w:p>
        </w:tc>
      </w:tr>
      <w:tr>
        <w:trPr>
          <w:trHeight w:val="184"/>
        </w:trPr>
        <w:tc>
          <w:tcPr>
            <w:tcW w:w="3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buyers pursuant to Rule 144A under the Securities Act, issued by LivaNova USA on June 17, 2020</w:t>
            </w:r>
          </w:p>
        </w:tc>
      </w:tr>
      <w:tr>
        <w:trPr>
          <w:trHeight w:val="144"/>
        </w:trPr>
        <w:tc>
          <w:tcPr>
            <w:tcW w:w="3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2025</w:t>
            </w:r>
          </w:p>
        </w:tc>
        <w:tc>
          <w:tcPr>
            <w:tcW w:w="23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Notes Repurchase Transaction</w:t>
            </w:r>
          </w:p>
        </w:tc>
        <w:tc>
          <w:tcPr>
            <w:tcW w:w="86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Repurchase of $230.0 million aggregate principal amount of the 2025 Notes in privately-negotiated transactions from proceeds from the issuance of</w:t>
            </w:r>
          </w:p>
        </w:tc>
      </w:tr>
      <w:tr>
        <w:trPr>
          <w:trHeight w:val="184"/>
        </w:trPr>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2029 Notes</w:t>
            </w:r>
          </w:p>
        </w:tc>
      </w:tr>
      <w:tr>
        <w:trPr>
          <w:trHeight w:val="181"/>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Capped Calls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Privately-negotiated capped call transactions entered into with certain financial institutions</w:t>
            </w:r>
          </w:p>
        </w:tc>
      </w:tr>
      <w:tr>
        <w:trPr>
          <w:trHeight w:val="144"/>
        </w:trPr>
        <w:tc>
          <w:tcPr>
            <w:tcW w:w="3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2029</w:t>
            </w:r>
          </w:p>
        </w:tc>
        <w:tc>
          <w:tcPr>
            <w:tcW w:w="23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Notes</w:t>
            </w:r>
          </w:p>
        </w:tc>
        <w:tc>
          <w:tcPr>
            <w:tcW w:w="86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$345.0 million aggregate principal amount 2.50% unsecured convertible senior notes due 2029 by private placement to qualified institutional buyers</w:t>
            </w:r>
          </w:p>
        </w:tc>
      </w:tr>
      <w:tr>
        <w:trPr>
          <w:trHeight w:val="184"/>
        </w:trPr>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pursuant to Rule 144A under the Securities Act, issued by LivaNova PLC on March 8, 2024</w:t>
            </w:r>
          </w:p>
        </w:tc>
      </w:tr>
      <w:tr>
        <w:trPr>
          <w:trHeight w:val="181"/>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A&amp;R 2022 Plan</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Amended and Restated LivaNova PLC 2022 Incentive Award Plan</w:t>
            </w: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A&amp;R 2022 Plan Amendment</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Amendment No. 1 to the Amended and Restated LivaNova PLC 2022 Incentive Award Plan</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ACS</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ALung Technologies, Inc.</w:t>
            </w: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AOCI</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Barclays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Barclays Bank Ireland PLC</w:t>
            </w: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Transactions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2025 Capped Calls and the 2029 Capped Calls</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CEO</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CMS</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U.S. Centers for Medicare &amp; Medicaid Services</w:t>
            </w: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Court of Appeal</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Court of Appeal in Milan</w:t>
            </w: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Delayed Draw Term Facility</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million delayed draw term facility under the 2021 First Lien Credit Agreement resulting from the Incremental Facility Amendment No. 2</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DRE</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Drug-resistant epilepsy</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DTD</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Difficult-to-treat depression</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ECJ</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European Court of Justice</w:t>
            </w:r>
          </w:p>
        </w:tc>
      </w:tr>
      <w:tr>
        <w:trPr>
          <w:trHeight w:val="18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bifurcated embedded derivatives associated with the 2025 Notes and 2029 Notes, collectively</w:t>
            </w:r>
          </w:p>
        </w:tc>
      </w:tr>
      <w:tr>
        <w:trPr>
          <w:trHeight w:val="18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Securities Exchange Act of 1934, as amended</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w:t>
            </w:r>
          </w:p>
        </w:tc>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HLM</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Heart-lung machine</w:t>
            </w:r>
          </w:p>
        </w:tc>
      </w:tr>
      <w:tr>
        <w:trPr>
          <w:trHeight w:val="144"/>
        </w:trPr>
        <w:tc>
          <w:tcPr>
            <w:tcW w:w="268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ImThera</w:t>
            </w:r>
          </w:p>
        </w:tc>
        <w:tc>
          <w:tcPr>
            <w:tcW w:w="86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ImThera Medical, Inc., acquired by LivaNova in 2018, a company developing an implantable neurostimulation device system for the treatment of</w:t>
            </w:r>
          </w:p>
        </w:tc>
      </w:tr>
      <w:tr>
        <w:trPr>
          <w:trHeight w:val="184"/>
        </w:trPr>
        <w:tc>
          <w:tcPr>
            <w:tcW w:w="3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4"/>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Incremental Facility Amendment No. 2</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 incremental facility amendment to the 2021 First Lien Credit Agreement, dated July 6, 2022</w:t>
            </w:r>
          </w:p>
        </w:tc>
      </w:tr>
      <w:tr>
        <w:trPr>
          <w:trHeight w:val="622"/>
        </w:trPr>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340" w:type="dxa"/>
            <w:vAlign w:val="bottom"/>
            <w:tcBorders>
              <w:bottom w:val="single" w:sz="8" w:color="9A9A9A"/>
            </w:tcBorders>
          </w:tcPr>
          <w:p>
            <w:pPr>
              <w:spacing w:after="0"/>
              <w:rPr>
                <w:sz w:val="15"/>
                <w:szCs w:val="15"/>
                <w:color w:val="auto"/>
              </w:rPr>
            </w:pPr>
          </w:p>
        </w:tc>
        <w:tc>
          <w:tcPr>
            <w:tcW w:w="2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6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6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Abbreviation</w:t>
            </w:r>
          </w:p>
        </w:tc>
        <w:tc>
          <w:tcPr>
            <w:tcW w:w="860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Incremental Facility Amendment No. 3</w:t>
            </w:r>
          </w:p>
        </w:tc>
        <w:tc>
          <w:tcPr>
            <w:tcW w:w="12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 incremental facility amendment to the 2021 First Lien Credit Agreement, dated March 8, 2024</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Initial Term Facility</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$300.0 million term facility under the 2021 First Lien Credit Agreement, resulting from the Incremental Facility Amendment No. 2</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ISIN</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National Inspectorate for Nuclear Safety and Radiation Protection, a sub-body of the Italian Ministry of Economic Development</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LivaNova PLC</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 public limited company organized under the laws of England and Wales on February 20, 2015</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USA</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USA, Inc.</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LSM</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LivaNova Site Management S.r.l.</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MDL</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multi-district litigation in the U.S. District Court for the Middle District of Pennsylvania</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MedTech</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Medical technology</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OCI</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r>
      <w:tr>
        <w:trPr>
          <w:trHeight w:val="138"/>
        </w:trPr>
        <w:tc>
          <w:tcPr>
            <w:tcW w:w="2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Option Counterparties</w:t>
            </w:r>
          </w:p>
        </w:tc>
        <w:tc>
          <w:tcPr>
            <w:tcW w:w="8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Certain financial institutions with whom LivaNova USA or LivaNova PLC, as applicable, has entered into the 2025 Capped Calls and 2029 Capped</w:t>
            </w:r>
          </w:p>
        </w:tc>
      </w:tr>
      <w:tr>
        <w:trPr>
          <w:trHeight w:val="191"/>
        </w:trPr>
        <w:tc>
          <w:tcPr>
            <w:tcW w:w="2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OSA</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Obstructive sleep apnea</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OSPREY clinical trial</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LivaNova’s clinical trial, “Treating Obstructive Sleep Apnea using Targeted Hypoglossal Neurostimulation”</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Pillar Two</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Organisation for Economic Co-operation and Development Global Anti-Base Erosion Model Rules (Pillar Two)</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Administrations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Italian Ministry of the Environment and other Italian government agencies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R&amp;D</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This Quarterly Report on Form 10-Q</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appreciation rights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Securities Act of 1933, as amended</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ShiraTronics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ShiraTronics, Inc., a company developing an implantable neuromodulation therapy device for the treatment of chronic migraine attacks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SNIA</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SNIA S.p.A.</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SNIA Litigation Guarantee</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first demand bank guarantee of €270.0 million in connection with the SNIA environmental litigation</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Sorin</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Sorin S.p.A.</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Initial Term Facility, together with the Delayed Draw Term Facility</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UK Act</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(No. 2) Act 2023</w:t>
            </w:r>
          </w:p>
        </w:tc>
      </w:tr>
      <w:tr>
        <w:trPr>
          <w:trHeight w:val="18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USD</w:t>
            </w:r>
          </w:p>
        </w:tc>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dollar</w:t>
            </w:r>
          </w:p>
        </w:tc>
      </w:tr>
      <w:tr>
        <w:trPr>
          <w:trHeight w:val="18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VNS Therapy</w:t>
            </w: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LivaNova Vagus Nerve Stimulation Therapy</w:t>
            </w:r>
          </w:p>
        </w:tc>
      </w:tr>
      <w:tr>
        <w:trPr>
          <w:trHeight w:val="626"/>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2</w:t>
            </w:r>
          </w:p>
        </w:tc>
      </w:tr>
      <w:tr>
        <w:trPr>
          <w:trHeight w:val="182"/>
        </w:trPr>
        <w:tc>
          <w:tcPr>
            <w:tcW w:w="2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6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p>
      <w:pPr>
        <w:ind w:left="3020"/>
        <w:spacing w:after="0"/>
        <w:rPr>
          <w:sz w:val="20"/>
          <w:szCs w:val="20"/>
          <w:color w:val="auto"/>
        </w:rPr>
      </w:pPr>
      <w:r>
        <w:rPr>
          <w:rFonts w:ascii="Times New Roman" w:cs="Times New Roman" w:eastAsia="Times New Roman" w:hAnsi="Times New Roman"/>
          <w:sz w:val="17"/>
          <w:szCs w:val="17"/>
          <w:b w:val="1"/>
          <w:bCs w:val="1"/>
          <w:color w:val="auto"/>
        </w:rPr>
        <w:t>INTELLECTUAL PROPERTY, TRADEMARKS, AND TRADE NAMES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report may contain references to LivaNova’s proprietary intellectual property, including among others:</w:t>
      </w:r>
    </w:p>
    <w:p>
      <w:pPr>
        <w:spacing w:after="0" w:line="23" w:lineRule="exact"/>
        <w:rPr>
          <w:sz w:val="20"/>
          <w:szCs w:val="20"/>
          <w:color w:val="auto"/>
        </w:rPr>
      </w:pPr>
    </w:p>
    <w:p>
      <w:pPr>
        <w:ind w:left="520" w:hanging="260"/>
        <w:spacing w:after="0" w:line="18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Neuromodulation systems, the VNS Therapy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System, and LivaNova’s proprietary pulse generator products: Model 102 (Pulse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Model 102R (Pulse Duo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Model 103 (Demipulse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Model 104 (Demipulse Duo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Model 106 (AspireSR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Model 1000 (SenTiva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Model 1000-D (SenTiva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Duo), and Model 8103 (Symmetry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w:t>
      </w:r>
    </w:p>
    <w:p>
      <w:pPr>
        <w:ind w:left="520" w:hanging="260"/>
        <w:spacing w:after="0"/>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LivaNova’s Cardiopulmonary products and systems: Essenz™, S5</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S5 Pro™, B-Capta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Inspire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Heartlink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XTRA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3T Heater-Cooler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Connect™, and Revolution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w:t>
      </w:r>
    </w:p>
    <w:p>
      <w:pPr>
        <w:spacing w:after="0" w:line="130" w:lineRule="exact"/>
        <w:rPr>
          <w:rFonts w:ascii="Times New Roman" w:cs="Times New Roman" w:eastAsia="Times New Roman" w:hAnsi="Times New Roman"/>
          <w:sz w:val="13"/>
          <w:szCs w:val="13"/>
          <w:color w:val="auto"/>
        </w:rPr>
      </w:pPr>
    </w:p>
    <w:p>
      <w:pPr>
        <w:ind w:left="520" w:hanging="260"/>
        <w:spacing w:after="0" w:line="18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advanced circulatory support systems: TandemLife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TandemHeart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TandemLung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ProtekDuo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4"/>
          <w:szCs w:val="14"/>
          <w:color w:val="auto"/>
        </w:rPr>
        <w:t xml:space="preserve"> LifeSPARC™, ALung™, Hemolung™, Respiratory Dialysis™, and ActivMix™.</w:t>
      </w:r>
    </w:p>
    <w:p>
      <w:pPr>
        <w:ind w:left="520" w:hanging="260"/>
        <w:spacing w:after="0" w:line="233"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LivaNova’s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spacing w:after="0" w:line="181" w:lineRule="auto"/>
        <w:rPr>
          <w:sz w:val="20"/>
          <w:szCs w:val="20"/>
          <w:color w:val="auto"/>
        </w:rPr>
      </w:pPr>
      <w:r>
        <w:rPr>
          <w:rFonts w:ascii="Times New Roman" w:cs="Times New Roman" w:eastAsia="Times New Roman" w:hAnsi="Times New Roman"/>
          <w:sz w:val="13"/>
          <w:szCs w:val="13"/>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symbol, but such references are not intended to indicate in any way that the Company will</w:t>
      </w:r>
    </w:p>
    <w:p>
      <w:pPr>
        <w:spacing w:after="0"/>
        <w:rPr>
          <w:sz w:val="20"/>
          <w:szCs w:val="20"/>
          <w:color w:val="auto"/>
        </w:rPr>
      </w:pPr>
      <w:r>
        <w:rPr>
          <w:rFonts w:ascii="Times New Roman" w:cs="Times New Roman" w:eastAsia="Times New Roman" w:hAnsi="Times New Roman"/>
          <w:sz w:val="14"/>
          <w:szCs w:val="14"/>
          <w:color w:val="auto"/>
        </w:rPr>
        <w:t>not assert, to the fullest extent under applicable law, LivaNova’s rights to these trademarks and trade names.</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ABOUT FORWARD-LOOKING STATEMENTS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relating to supply chain pressures;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the risk of quality issues and the impacts thereof; risks relating to recalls, replacement of inventory,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environmental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risks relating to the impact of climate change and the risk of environmental, social, and governance pressures from internal and external stakeholders;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Other factors that could cause LivaNova’s actual results to differ from projected results are described in: (1) “Part II, Item 1A. Risk Factors” and elsewhere in this and the Company’s other Quarterly Reports on Form 10-Q, (2) the Company’s 2023 Form 10-K, (3) the Company’s reports and registration statements filed and furnished from time to time with the SEC, and (4) other announcements LivaNova makes from time to time.</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The following discussion and analysis should be read in conjunction with the Company’s unaudited condensed consolidated financial statements and related notes included elsewhere in this Report. Operating results for the nine months ended September 30, 2024 are not necessarily indicative of future results, including the full fiscal year. Please also refer to the Company’s “Annual Consolidated Financial Statements,” “Notes” thereto, “Management’s Discussion and Analysis of Financial Condition and Results of Operations,” and “Risk Factors” contained in LivaNova’s 2023 Form 10-K and in the Company’s Quarterly Reports on Form 10-Q.</w:t>
      </w:r>
    </w:p>
    <w:p>
      <w:pPr>
        <w:spacing w:after="0" w:line="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FINANCIAL INFORMATION AND CURRENCY OF FINANCIAL STATEMENTS</w:t>
      </w:r>
    </w:p>
    <w:p>
      <w:pPr>
        <w:spacing w:after="0" w:line="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All of the financial information included in this Report has been prepared in accordance with U.S. GAAP. The reporting currency of the Company’s condensed consolidated financial statements is USD.</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 (LOSS)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20" w:type="dxa"/>
            <w:vAlign w:val="bottom"/>
          </w:tcPr>
          <w:p>
            <w:pPr>
              <w:spacing w:after="0"/>
              <w:rPr>
                <w:sz w:val="14"/>
                <w:szCs w:val="14"/>
                <w:color w:val="auto"/>
              </w:rPr>
            </w:pPr>
          </w:p>
        </w:tc>
        <w:tc>
          <w:tcPr>
            <w:tcW w:w="3140" w:type="dxa"/>
            <w:vAlign w:val="bottom"/>
            <w:gridSpan w:val="5"/>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12"/>
        </w:trPr>
        <w:tc>
          <w:tcPr>
            <w:tcW w:w="3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274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39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931,607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843,413</w:t>
            </w:r>
          </w:p>
        </w:tc>
      </w:tr>
      <w:tr>
        <w:trPr>
          <w:trHeight w:val="18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92,856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280,088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262,330</w:t>
            </w:r>
          </w:p>
        </w:tc>
      </w:tr>
      <w:tr>
        <w:trPr>
          <w:trHeight w:val="171"/>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581,083</w:t>
            </w: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384,795</w:t>
            </w:r>
          </w:p>
        </w:tc>
      </w:tr>
      <w:tr>
        <w:trPr>
          <w:trHeight w:val="180"/>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147,651</w:t>
            </w:r>
          </w:p>
        </w:tc>
      </w:tr>
      <w:tr>
        <w:trPr>
          <w:trHeight w:val="18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29,145</w:t>
            </w:r>
          </w:p>
        </w:tc>
      </w:tr>
      <w:tr>
        <w:trPr>
          <w:trHeight w:val="171"/>
        </w:trPr>
        <w:tc>
          <w:tcPr>
            <w:tcW w:w="3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19,492</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(43,232)</w:t>
            </w: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36,810</w:t>
            </w:r>
          </w:p>
        </w:tc>
      </w:tr>
      <w:tr>
        <w:trPr>
          <w:trHeight w:val="171"/>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before tax</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13,070</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11,776</w:t>
            </w:r>
          </w:p>
        </w:tc>
      </w:tr>
      <w:tr>
        <w:trPr>
          <w:trHeight w:val="18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investments</w:t>
            </w:r>
          </w:p>
        </w:tc>
        <w:tc>
          <w:tcPr>
            <w:tcW w:w="1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5"/>
        </w:trPr>
        <w:tc>
          <w:tcPr>
            <w:tcW w:w="3920" w:type="dxa"/>
            <w:vAlign w:val="bottom"/>
            <w:tcBorders>
              <w:bottom w:val="single" w:sz="8" w:color="CCEEFF"/>
            </w:tcBorders>
            <w:shd w:val="clear" w:color="auto" w:fill="CCEEFF"/>
          </w:tcPr>
          <w:p>
            <w:pPr>
              <w:ind w:left="120"/>
              <w:spacing w:after="0" w:line="150" w:lineRule="exact"/>
              <w:rPr>
                <w:sz w:val="20"/>
                <w:szCs w:val="20"/>
                <w:color w:val="auto"/>
              </w:rPr>
            </w:pPr>
            <w:r>
              <w:rPr>
                <w:rFonts w:ascii="Times New Roman" w:cs="Times New Roman" w:eastAsia="Times New Roman" w:hAnsi="Times New Roman"/>
                <w:sz w:val="14"/>
                <w:szCs w:val="14"/>
                <w:color w:val="auto"/>
              </w:rPr>
              <w:t>Net income (loss)</w:t>
            </w:r>
          </w:p>
        </w:tc>
        <w:tc>
          <w:tcPr>
            <w:tcW w:w="1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32,953</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(7,318)</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7,343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1,207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income (loss) per share</w:t>
            </w:r>
          </w:p>
        </w:tc>
        <w:tc>
          <w:tcPr>
            <w:tcW w:w="148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(loss) per share</w:t>
            </w:r>
          </w:p>
        </w:tc>
        <w:tc>
          <w:tcPr>
            <w:tcW w:w="14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212"/>
        </w:trPr>
        <w:tc>
          <w:tcPr>
            <w:tcW w:w="3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used in computing basic income (loss) per share</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53,837</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used in computing diluted income (loss) per share</w:t>
            </w: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54,107</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w:t>
      </w:r>
    </w:p>
    <w:p>
      <w:pPr>
        <w:spacing w:after="0" w:line="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loss on cash flow hedges</w:t>
            </w: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80"/>
        </w:trPr>
        <w:tc>
          <w:tcPr>
            <w:tcW w:w="5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9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of tax</w:t>
            </w:r>
          </w:p>
        </w:tc>
        <w:tc>
          <w:tcPr>
            <w:tcW w:w="9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80"/>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(6,682)</w:t>
            </w:r>
          </w:p>
        </w:tc>
      </w:tr>
      <w:tr>
        <w:trPr>
          <w:trHeight w:val="17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(5,475)</w:t>
            </w: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9" w:right="31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7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8"/>
        </w:trPr>
        <w:tc>
          <w:tcPr>
            <w:tcW w:w="730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Assets:</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346,366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266,504</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320,210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311,368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of $12,129 at September 30, 2024 and $12,019 at December 31, 2023</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215,072</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147,887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and refundable taxes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20,145</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43,253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27,182</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1,093,113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988,158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154,181</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781,553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782,941</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261,178</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50,845</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22,843</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derivative assets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38,496</w:t>
            </w:r>
          </w:p>
        </w:tc>
        <w:tc>
          <w:tcPr>
            <w:tcW w:w="0" w:type="dxa"/>
            <w:vAlign w:val="bottom"/>
          </w:tcPr>
          <w:p>
            <w:pPr>
              <w:spacing w:after="0"/>
              <w:rPr>
                <w:sz w:val="1"/>
                <w:szCs w:val="1"/>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12,063</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2,521,958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2,429,563</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Current Liabilities:</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 obligations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18,111</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80,845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107,301</w:t>
            </w:r>
          </w:p>
        </w:tc>
        <w:tc>
          <w:tcPr>
            <w:tcW w:w="0" w:type="dxa"/>
            <w:vAlign w:val="bottom"/>
          </w:tcPr>
          <w:p>
            <w:pPr>
              <w:spacing w:after="0"/>
              <w:rPr>
                <w:sz w:val="1"/>
                <w:szCs w:val="1"/>
                <w:color w:val="auto"/>
              </w:rPr>
            </w:pPr>
          </w:p>
        </w:tc>
      </w:tr>
      <w:tr>
        <w:trPr>
          <w:trHeight w:val="168"/>
        </w:trPr>
        <w:tc>
          <w:tcPr>
            <w:tcW w:w="7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litigation provision liability</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payable</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26,507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23,340</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Accrued employee compensation and related benefits</w:t>
            </w: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77,430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94,630</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324,402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334,983</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604,287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568,543</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80,902</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45,388</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employee compensation and related benefits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17,254</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liabilities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45,569</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47,040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47,729</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1,211,914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1,151,935</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6)</w:t>
            </w: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Stockholders’ Equity:</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Ordinary Shares, £1.00 par value: unlimited shares authorized; 54,405,751 shares issued and 54,300,048 shares outstanding at</w:t>
            </w:r>
          </w:p>
        </w:tc>
        <w:tc>
          <w:tcPr>
            <w:tcW w:w="24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83,112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82,533</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September 30, 2024; 53,942,151 shares issued and 53,918,222 shares outstanding at December 31, 2023</w:t>
            </w: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2,212,932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2,189,517</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(27,883)</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(959,141)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(966,484)</w:t>
            </w:r>
          </w:p>
        </w:tc>
        <w:tc>
          <w:tcPr>
            <w:tcW w:w="0" w:type="dxa"/>
            <w:vAlign w:val="bottom"/>
          </w:tcPr>
          <w:p>
            <w:pPr>
              <w:spacing w:after="0"/>
              <w:rPr>
                <w:sz w:val="1"/>
                <w:szCs w:val="1"/>
                <w:color w:val="auto"/>
              </w:rPr>
            </w:pPr>
          </w:p>
        </w:tc>
      </w:tr>
      <w:tr>
        <w:trPr>
          <w:trHeight w:val="16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Treasury stock at cost, 105,703 ordinary shares at September 30, 2024; 23,929 ordinary shares at December 31, 2023</w:t>
            </w: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1,310,044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1,277,628</w:t>
            </w:r>
          </w:p>
        </w:tc>
        <w:tc>
          <w:tcPr>
            <w:tcW w:w="0" w:type="dxa"/>
            <w:vAlign w:val="bottom"/>
          </w:tcPr>
          <w:p>
            <w:pPr>
              <w:spacing w:after="0"/>
              <w:rPr>
                <w:sz w:val="1"/>
                <w:szCs w:val="1"/>
                <w:color w:val="auto"/>
              </w:rPr>
            </w:pPr>
          </w:p>
        </w:tc>
      </w:tr>
      <w:tr>
        <w:trPr>
          <w:trHeight w:val="163"/>
        </w:trPr>
        <w:tc>
          <w:tcPr>
            <w:tcW w:w="7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2,521,958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2,429,563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13" w:right="319"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60" w:type="dxa"/>
            <w:vAlign w:val="bottom"/>
          </w:tcPr>
          <w:p>
            <w:pPr>
              <w:spacing w:after="0"/>
              <w:rPr>
                <w:sz w:val="15"/>
                <w:szCs w:val="15"/>
                <w:color w:val="auto"/>
              </w:rPr>
            </w:pPr>
          </w:p>
        </w:tc>
        <w:tc>
          <w:tcPr>
            <w:tcW w:w="3820" w:type="dxa"/>
            <w:vAlign w:val="bottom"/>
            <w:gridSpan w:val="2"/>
          </w:tcPr>
          <w:p>
            <w:pPr>
              <w:jc w:val="right"/>
              <w:ind w:right="23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2540" w:type="dxa"/>
            <w:vAlign w:val="bottom"/>
          </w:tcPr>
          <w:p>
            <w:pPr>
              <w:spacing w:after="0"/>
              <w:rPr>
                <w:sz w:val="14"/>
                <w:szCs w:val="1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6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3820" w:type="dxa"/>
            <w:vAlign w:val="bottom"/>
            <w:gridSpan w:val="2"/>
            <w:shd w:val="clear" w:color="auto" w:fill="CCEEFF"/>
          </w:tcPr>
          <w:p>
            <w:pPr>
              <w:jc w:val="right"/>
              <w:ind w:right="113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26,984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28,069</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25,482</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18,582</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15,692</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14,246</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19,129</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 expense</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9,093</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operating lease assets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6,918</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7,270</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 of investments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5,768</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Remeasurement of derivative instruments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(25,730)</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Remeasurement of contingent consideration to fair value</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4,516</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(8,239)</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w:t>
            </w:r>
          </w:p>
        </w:tc>
        <w:tc>
          <w:tcPr>
            <w:tcW w:w="0" w:type="dxa"/>
            <w:vAlign w:val="bottom"/>
          </w:tcPr>
          <w:p>
            <w:pPr>
              <w:spacing w:after="0"/>
              <w:rPr>
                <w:sz w:val="1"/>
                <w:szCs w:val="1"/>
                <w:color w:val="auto"/>
              </w:rPr>
            </w:pPr>
          </w:p>
        </w:tc>
      </w:tr>
      <w:tr>
        <w:trPr>
          <w:trHeight w:val="168"/>
        </w:trPr>
        <w:tc>
          <w:tcPr>
            <w:tcW w:w="47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 and accrued current and non-current liabilities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(23,383)</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(8,084)</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Taxes payable</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6,347</w:t>
            </w:r>
          </w:p>
        </w:tc>
        <w:tc>
          <w:tcPr>
            <w:tcW w:w="0" w:type="dxa"/>
            <w:vAlign w:val="bottom"/>
          </w:tcPr>
          <w:p>
            <w:pPr>
              <w:spacing w:after="0"/>
              <w:rPr>
                <w:sz w:val="1"/>
                <w:szCs w:val="1"/>
                <w:color w:val="auto"/>
              </w:rPr>
            </w:pPr>
          </w:p>
        </w:tc>
      </w:tr>
      <w:tr>
        <w:trPr>
          <w:trHeight w:val="168"/>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Litigation provision liability</w:t>
            </w:r>
          </w:p>
        </w:tc>
        <w:tc>
          <w:tcPr>
            <w:tcW w:w="25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5,283</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(2,865)</w:t>
            </w:r>
          </w:p>
        </w:tc>
        <w:tc>
          <w:tcPr>
            <w:tcW w:w="0" w:type="dxa"/>
            <w:vAlign w:val="bottom"/>
          </w:tcPr>
          <w:p>
            <w:pPr>
              <w:spacing w:after="0"/>
              <w:rPr>
                <w:sz w:val="1"/>
                <w:szCs w:val="1"/>
                <w:color w:val="auto"/>
              </w:rPr>
            </w:pPr>
          </w:p>
        </w:tc>
      </w:tr>
      <w:tr>
        <w:trPr>
          <w:trHeight w:val="16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104,331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20,956</w:t>
            </w: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(22,062)</w:t>
            </w: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investments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(6,570)</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54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158"/>
        </w:trPr>
        <w:tc>
          <w:tcPr>
            <w:tcW w:w="47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(37,452)</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(28,193)</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long-term debt obligations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335,513</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 of long-term debt obligations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(243,174)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(16,061)</w:t>
            </w: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debt extinguishment costs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(38,953)</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capped calls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(31,637)</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unwind of capped calls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22,523</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 repurchased from employees for minimum tax withholding</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(8,071)</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(6,995)</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5,028</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2"/>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Repayments of short-term borrowings (maturities greater than 90 days)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0" w:type="dxa"/>
            <w:vAlign w:val="bottom"/>
          </w:tcPr>
          <w:p>
            <w:pPr>
              <w:spacing w:after="0"/>
              <w:rPr>
                <w:sz w:val="1"/>
                <w:szCs w:val="1"/>
                <w:color w:val="auto"/>
              </w:rPr>
            </w:pPr>
          </w:p>
        </w:tc>
      </w:tr>
      <w:tr>
        <w:trPr>
          <w:trHeight w:val="168"/>
        </w:trPr>
        <w:tc>
          <w:tcPr>
            <w:tcW w:w="4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5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0" w:type="dxa"/>
            <w:vAlign w:val="bottom"/>
          </w:tcPr>
          <w:p>
            <w:pPr>
              <w:spacing w:after="0"/>
              <w:rPr>
                <w:sz w:val="1"/>
                <w:szCs w:val="1"/>
                <w:color w:val="auto"/>
              </w:rPr>
            </w:pPr>
          </w:p>
        </w:tc>
      </w:tr>
      <w:tr>
        <w:trPr>
          <w:trHeight w:val="16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26,502</w:t>
            </w:r>
          </w:p>
        </w:tc>
        <w:tc>
          <w:tcPr>
            <w:tcW w:w="0" w:type="dxa"/>
            <w:vAlign w:val="bottom"/>
          </w:tcPr>
          <w:p>
            <w:pPr>
              <w:spacing w:after="0"/>
              <w:rPr>
                <w:sz w:val="1"/>
                <w:szCs w:val="1"/>
                <w:color w:val="auto"/>
              </w:rPr>
            </w:pPr>
          </w:p>
        </w:tc>
      </w:tr>
      <w:tr>
        <w:trPr>
          <w:trHeight w:val="168"/>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25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0" w:type="dxa"/>
            <w:vAlign w:val="bottom"/>
          </w:tcPr>
          <w:p>
            <w:pPr>
              <w:spacing w:after="0"/>
              <w:rPr>
                <w:sz w:val="1"/>
                <w:szCs w:val="1"/>
                <w:color w:val="auto"/>
              </w:rPr>
            </w:pPr>
          </w:p>
        </w:tc>
      </w:tr>
      <w:tr>
        <w:trPr>
          <w:trHeight w:val="163"/>
        </w:trPr>
        <w:tc>
          <w:tcPr>
            <w:tcW w:w="4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2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88,704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17,104</w:t>
            </w:r>
          </w:p>
        </w:tc>
        <w:tc>
          <w:tcPr>
            <w:tcW w:w="0" w:type="dxa"/>
            <w:vAlign w:val="bottom"/>
          </w:tcPr>
          <w:p>
            <w:pPr>
              <w:spacing w:after="0"/>
              <w:rPr>
                <w:sz w:val="1"/>
                <w:szCs w:val="1"/>
                <w:color w:val="auto"/>
              </w:rPr>
            </w:pPr>
          </w:p>
        </w:tc>
      </w:tr>
      <w:tr>
        <w:trPr>
          <w:trHeight w:val="168"/>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25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577,872</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515,618</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5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666,576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532,722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0" w:name="page11"/>
    <w:bookmarkEnd w:id="10"/>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LIVANOVA PLC AND SUBSIDIARIES</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Unaudited Condensed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Basis of Presentation</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LivaNova and the notes thereto as of and for the three and nine months ended September 30, 2024 and 2023 have been prepared in accordance with U.S. GAAP for interim financial information and the instructions to Form 10-Q and Article 10 of Regulation S-X. The accompanying condensed consolidated balance sheet of LivaNova at December 31, 2023 has been derived from audited consolidated financial statements contained in LivaNova’s 2023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nine months ended September 30, 2024 and are not necessarily indicative of the results that may be expected for the year ending December 31, 2024. The financial information presented herein should be read in conjunction with the audited consolidated financial statements and notes thereto accompanying LivaNova’s 2023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Cybersecurity Incident</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quickly implemented remediation measures to mitigate the impact of the incident. The Company also assessed the nature and scope of the affected data, analyzed its legal notification obligations, and notified affected individuals and regulators as required by applicable law. The Company believes the incident is contained and mitigation efforts are complete.</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Through September 30, 2024, LivaNova incurred direct costs totaling $10.8 million in connection with this cybersecurity incident, including $2.5 million and $8.2 million during the three and nine months ended September 30, 2024, respectively. These costs primarily include external cybersecurity expert and legal fees, system restoration costs, and a $1.2 million provision related to the class action settlement, as discussed in “Note 6. Commitments and Contingencies,” and do not include business interruption losses. The Company expects to incur additional costs related to this incident in the future. LivaNova maintains insurance, including cyber insurance, which is subject to certain retentions and policy limitations that will likely limit the amount that the insurers may pay the Company. LivaNova has filed claims for insurance reimbursement of covered costs and business interruption losses related to this incident and has submitted additional claims and supplemental requests for reimbursement as new costs have been incurred. LivaNova has not yet received reimbursement or recognized a receivable. The Company’s insurance coverage will likely be insufficient to cover all costs and expenses related to this cybersecurity incident or may be unavailable to cover all costs and expenses related to this cybersecurity incident.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significant accounting policies are included within “Note 2. Basis of Presentation, Use of Accounting Estimates and Significant Accounting Policies” and “Note 3. Revenue Recognition” of LivaNova’s 2023 Form 10-K.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Restructuring</w:t>
      </w:r>
    </w:p>
    <w:p>
      <w:pPr>
        <w:spacing w:after="0" w:line="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From time to time, LivaNova initiates restructuring plans to leverage economies of scale, streamline distribution and logistics, and strengthen operational and administrative effectiveness to reduce overall costs.</w:t>
      </w:r>
    </w:p>
    <w:p>
      <w:pPr>
        <w:spacing w:after="0" w:line="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January 5, 2024, the Board of Directors of LivaNova approved the 2024 Restructuring Plan to enhance the Company’s focus on its core Cardiopulmonary and Neuromodulation segments. The main component of the 2024 Restructuring Plan was to wind down the ACS segment, which the Company anticipates will be substantially complete by the end of 2024. In connection with the 2024 Restructuring Plan, LivaNova expects to incur pre-tax restructuring charges in the range of $15.0 million to $20.0 million. The anticipated charges are comprised of $10.0 million to $12.0 million in severance expenses and retention bonuses and $5.0 million to $8.0 million in other expenses, including lease termination, facilities remediation, and asset disposal expenses. Retention bonuses will be earned over the period of service, which is expected to be over the full year of 2024. All future cash payments related to these restructuring charges are expected to be substantially paid out during 2024. These estimates are subject to change. LivaNova recognized restructuring expense under the 2024 Restructuring Plan of $1.5 million and $12.8 million in other operating expenses on its condensed consolidated statements of income (loss) for the three and nine months ended September 30, 2024, respectively.</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1" w:name="page12"/>
    <w:bookmarkEnd w:id="11"/>
    <w:p>
      <w:pPr>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 of the accruals and other reserves recorded in connection with LivaNova’s restructuring plans included in accounts payable and accrued liabilities and other on the condensed consolidated balance sheets (in thousands):</w:t>
      </w:r>
    </w:p>
    <w:tbl>
      <w:tblPr>
        <w:tblLayout w:type="fixed"/>
        <w:tblInd w:w="0"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Employee Severance and Other</w:t>
            </w:r>
          </w:p>
        </w:tc>
        <w:tc>
          <w:tcPr>
            <w:tcW w:w="1320" w:type="dxa"/>
            <w:vAlign w:val="bottom"/>
            <w:gridSpan w:val="3"/>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Termination Costs</w:t>
            </w:r>
          </w:p>
        </w:tc>
        <w:tc>
          <w:tcPr>
            <w:tcW w:w="13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top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Balance at December 31, 2023 </w:t>
            </w:r>
            <w:r>
              <w:rPr>
                <w:rFonts w:ascii="Times New Roman" w:cs="Times New Roman" w:eastAsia="Times New Roman" w:hAnsi="Times New Roman"/>
                <w:sz w:val="18"/>
                <w:szCs w:val="18"/>
                <w:color w:val="auto"/>
                <w:vertAlign w:val="superscript"/>
              </w:rPr>
              <w:t>(1)</w:t>
            </w:r>
          </w:p>
        </w:tc>
        <w:tc>
          <w:tcPr>
            <w:tcW w:w="980" w:type="dxa"/>
            <w:vAlign w:val="bottom"/>
            <w:tcBorders>
              <w:top w:val="single" w:sz="8" w:color="auto"/>
            </w:tcBorders>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80"/>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Charges</w:t>
            </w: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10,377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12,843</w:t>
            </w:r>
          </w:p>
        </w:tc>
        <w:tc>
          <w:tcPr>
            <w:tcW w:w="0" w:type="dxa"/>
            <w:vAlign w:val="bottom"/>
          </w:tcPr>
          <w:p>
            <w:pPr>
              <w:spacing w:after="0"/>
              <w:rPr>
                <w:sz w:val="1"/>
                <w:szCs w:val="1"/>
                <w:color w:val="auto"/>
              </w:rPr>
            </w:pPr>
          </w:p>
        </w:tc>
      </w:tr>
      <w:tr>
        <w:trPr>
          <w:trHeight w:val="18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(7,868)</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w:t>
            </w:r>
          </w:p>
        </w:tc>
        <w:tc>
          <w:tcPr>
            <w:tcW w:w="0" w:type="dxa"/>
            <w:vAlign w:val="bottom"/>
          </w:tcPr>
          <w:p>
            <w:pPr>
              <w:spacing w:after="0"/>
              <w:rPr>
                <w:sz w:val="1"/>
                <w:szCs w:val="1"/>
                <w:color w:val="auto"/>
              </w:rPr>
            </w:pPr>
          </w:p>
        </w:tc>
      </w:tr>
      <w:tr>
        <w:trPr>
          <w:trHeight w:val="171"/>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980" w:type="dxa"/>
            <w:vAlign w:val="bottom"/>
            <w:tcBorders>
              <w:bottom w:val="single" w:sz="8" w:color="auto"/>
            </w:tcBorders>
            <w:gridSpan w:val="2"/>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0" w:type="dxa"/>
            <w:vAlign w:val="bottom"/>
          </w:tcPr>
          <w:p>
            <w:pPr>
              <w:spacing w:after="0"/>
              <w:rPr>
                <w:sz w:val="1"/>
                <w:szCs w:val="1"/>
                <w:color w:val="auto"/>
              </w:rPr>
            </w:pPr>
          </w:p>
        </w:tc>
      </w:tr>
      <w:tr>
        <w:trPr>
          <w:trHeight w:val="20"/>
        </w:trPr>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8"/>
                <w:szCs w:val="8"/>
                <w:color w:val="auto"/>
              </w:rPr>
              <w:t>(1)</w:t>
            </w:r>
          </w:p>
        </w:tc>
        <w:tc>
          <w:tcPr>
            <w:tcW w:w="4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Represents restructuring plans initiated prior to 2024.</w:t>
            </w: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00" w:type="dxa"/>
            <w:vAlign w:val="bottom"/>
            <w:vMerge w:val="continue"/>
          </w:tcPr>
          <w:p>
            <w:pPr>
              <w:spacing w:after="0"/>
              <w:rPr>
                <w:sz w:val="20"/>
                <w:szCs w:val="20"/>
                <w:color w:val="auto"/>
              </w:rPr>
            </w:pPr>
          </w:p>
        </w:tc>
        <w:tc>
          <w:tcPr>
            <w:tcW w:w="4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restructuring expense by reportable segment (in thousands):</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8"/>
                <w:szCs w:val="18"/>
                <w:color w:val="auto"/>
              </w:rPr>
            </w:pPr>
          </w:p>
        </w:tc>
        <w:tc>
          <w:tcPr>
            <w:tcW w:w="2720" w:type="dxa"/>
            <w:vAlign w:val="bottom"/>
            <w:gridSpan w:val="6"/>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50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80"/>
        </w:trPr>
        <w:tc>
          <w:tcPr>
            <w:tcW w:w="5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w w:val="93"/>
              </w:rPr>
              <w:t xml:space="preserve">Other </w:t>
            </w:r>
            <w:r>
              <w:rPr>
                <w:rFonts w:ascii="Times New Roman" w:cs="Times New Roman" w:eastAsia="Times New Roman" w:hAnsi="Times New Roman"/>
                <w:sz w:val="18"/>
                <w:szCs w:val="18"/>
                <w:color w:val="auto"/>
                <w:w w:val="93"/>
                <w:vertAlign w:val="superscript"/>
              </w:rPr>
              <w:t>(1)</w:t>
            </w:r>
          </w:p>
        </w:tc>
        <w:tc>
          <w:tcPr>
            <w:tcW w:w="4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12,843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96"/>
        </w:trPr>
        <w:tc>
          <w:tcPr>
            <w:tcW w:w="500" w:type="dxa"/>
            <w:vAlign w:val="bottom"/>
            <w:tcBorders>
              <w:bottom w:val="single" w:sz="8" w:color="CCEEFF"/>
            </w:tcBorders>
            <w:shd w:val="clear" w:color="auto" w:fill="CCEEFF"/>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primarily includes restructuring expense not allocated to segments.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Derivatives and Risk Management</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Due to the global nature of LivaNova’s operations, the Company is exposed to FX fluctuations. LivaNova enters into FX derivative contracts to reduce the impact of FX fluctuations on earnings and cash flow.</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 measures all outstanding derivatives each period end at fair value and reports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condensed consolidated statements of cash flows.</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If the derivative qualifies for hedge accounting, changes in the fair value of the derivative will be recorded in AOCI until the hedged item is recognized in earnings upon settlement/termination. Interest rate swap gains and losses in AOCI are reclassified to interest expense on LivaNova’s condensed consolidated statements of income (loss). LivaNova evaluates hedge effectiveness at inception. LivaNova had no designated hedging instruments as of September 30, 2024 and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Freestanding FX Derivatives</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gross notional amount of freestanding FX derivative contracts not designated as hedging instruments outstanding as of September 30, 2024 and December 31, 2023 was $158.9 million and $223.4 million, respectively. These derivative contracts are designed to offset the FX effects in earnings of various intercompany loans and trade receivables. LivaNova recorded net losses of $5.0 million and net gains of $5.0 million for these freestanding derivatives for the three months ended September 30, 2024 and 2023, respectively, and net losses of $0.1 million and net gains of $4.1 million for the nine months ended September 30, 2024 and 2023, respectively. These gains and losses are included in foreign exchange and other income/(expense) on LivaNova’s condensed consolidated statements of income (loss).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Capped Call Derivatives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Capped Call Transactions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The Capped Call Transactions are measured at fair value using the Black-Scholes model utilizing observable and unobservable market data, including stock price, remaining contractual term, expected volatility, risk-free interest rate, and expected dividend yield, as applicable. For additional information, refer to “Note 5. Financing Arrangements.”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2025 Capped Calls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June 2020, LivaNova issued the 2025 Notes. In connection with the pricing of the 2025 Notes, the Company entered into related privately-negotiated capped call transactions with certain financial institutions. Under the 2025 Capped Calls, the Company purchased a capped call option with an initial strike price of $60.98 and an initial cap price of $100.00 per share. The strike price, which is subject to certain adjustments, corresponds to the initial exchange price of the 2025 Notes. The 2025 Capped Calls are intended to offset any cash payments upon exchange of the 2025 Notes in excess of the principal amount; however, the proceeds are limited to the initial cap price in the event the Company’s share price exceeds the cap price at the time of an exchange. The 2025 Capped Calls expire on December 15, 2025, and must be settled in cash. The 2025 Capped Calls are subject to anti-dilution adjustments substantially similar to those applicable to the 2025 Notes and cover the number of LivaNova’s ordinary shares underlying the 2025 Notes. If the 2025 Capped Calls are terminated early, settlement occurs at their termination value, which is equal to their fair value at the time of the early termination. In connection with the issuance of the 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terms of the remaining 2025 Capped Calls remain unchanged and continue to be classified as long-term derivative assets.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Capped Calls</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March 2024, LivaNova issued the 2029 Notes. In connection with the pricing of the 2029 Notes, the Company entered into related privately-negotiated capped call transactions with certain financial institutions.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 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 For transaction costs associated with entering into the 2029 Capped Calls, refer to “Additions” in the “Reconciliation of Level 3 Assets and Liabilities” table within “Note 4. Fair Value Measurements.”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Derivatives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2025 Notes and 2029 Notes each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condensed consolidated statements of income (loss). For additional information, refer to “Note 5. Financing Arrangements.”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 is exposed to credit risk in the event of non-performance by the counterparties to the Company’s derivatives.</w:t>
      </w:r>
    </w:p>
    <w:p>
      <w:pPr>
        <w:spacing w:after="0" w:line="1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such an Option Counterparty becomes subject to insolvency proceedings, LivaNova will become an unsecured creditor in those proceedings, with a claim equal to the Company’s exposure at that time under the 2025 Capped Calls and/or 2029 Capped Calls, as applicable, with that Option Counterparty.</w:t>
      </w:r>
    </w:p>
    <w:p>
      <w:pPr>
        <w:spacing w:after="0" w:line="22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To manage credit risk with respect to LivaNova’s other derivatives, the Company selects and periodically reviews counterparties based on credit ratings, limits its exposure with respect to each counterparty, and monitors their respective</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3" w:name="page14"/>
    <w:bookmarkEnd w:id="13"/>
    <w:p>
      <w:pPr>
        <w:jc w:val="both"/>
        <w:spacing w:after="0" w:line="303" w:lineRule="auto"/>
        <w:rPr>
          <w:sz w:val="20"/>
          <w:szCs w:val="20"/>
          <w:color w:val="auto"/>
        </w:rPr>
      </w:pPr>
      <w:r>
        <w:rPr>
          <w:rFonts w:ascii="Times New Roman" w:cs="Times New Roman" w:eastAsia="Times New Roman" w:hAnsi="Times New Roman"/>
          <w:sz w:val="14"/>
          <w:szCs w:val="14"/>
          <w:color w:val="auto"/>
        </w:rPr>
        <w:t>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Hedges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Historically, LivaNova entered into interest rate swaps associated with the Initial Term Facility, which qualified for and were designated as cash flow hedges. The Company’s outstanding interest rate swaps expired on April 6, 2023. LivaNova elected not to renew the interest rate swaps. Interest expense associated with the Initial Term Facility is principally offset by holding a significant portion of the Term Facilities in a depository account, which earns a floating rate of interest.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pre-tax gains (losses) for derivative contracts designated as cash flow hedges recognized in OCI and the amount reclassified to earnings from AOCI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4"/>
          </w:tcPr>
          <w:p>
            <w:pPr>
              <w:jc w:val="right"/>
              <w:ind w:right="1149"/>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134"/>
        </w:trPr>
        <w:tc>
          <w:tcPr>
            <w:tcW w:w="36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280" w:type="dxa"/>
            <w:vAlign w:val="bottom"/>
          </w:tcPr>
          <w:p>
            <w:pPr>
              <w:spacing w:after="0"/>
              <w:rPr>
                <w:sz w:val="11"/>
                <w:szCs w:val="11"/>
                <w:color w:val="auto"/>
              </w:rPr>
            </w:pPr>
          </w:p>
        </w:tc>
        <w:tc>
          <w:tcPr>
            <w:tcW w:w="2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Loss Recognized in OCI</w:t>
            </w:r>
          </w:p>
        </w:tc>
        <w:tc>
          <w:tcPr>
            <w:tcW w:w="160" w:type="dxa"/>
            <w:vAlign w:val="bottom"/>
          </w:tcPr>
          <w:p>
            <w:pPr>
              <w:spacing w:after="0"/>
              <w:rPr>
                <w:sz w:val="11"/>
                <w:szCs w:val="11"/>
                <w:color w:val="auto"/>
              </w:rPr>
            </w:pPr>
          </w:p>
        </w:tc>
        <w:tc>
          <w:tcPr>
            <w:tcW w:w="2220" w:type="dxa"/>
            <w:vAlign w:val="bottom"/>
          </w:tcPr>
          <w:p>
            <w:pPr>
              <w:jc w:val="center"/>
              <w:ind w:right="89"/>
              <w:spacing w:after="0" w:line="134" w:lineRule="exact"/>
              <w:rPr>
                <w:sz w:val="20"/>
                <w:szCs w:val="20"/>
                <w:color w:val="auto"/>
              </w:rPr>
            </w:pPr>
            <w:r>
              <w:rPr>
                <w:rFonts w:ascii="Times New Roman" w:cs="Times New Roman" w:eastAsia="Times New Roman" w:hAnsi="Times New Roman"/>
                <w:sz w:val="14"/>
                <w:szCs w:val="14"/>
                <w:b w:val="1"/>
                <w:bCs w:val="1"/>
                <w:color w:val="auto"/>
              </w:rPr>
              <w:t>Gain Reclassified from AOCI to</w:t>
            </w:r>
          </w:p>
        </w:tc>
        <w:tc>
          <w:tcPr>
            <w:tcW w:w="0" w:type="dxa"/>
            <w:vAlign w:val="bottom"/>
          </w:tcPr>
          <w:p>
            <w:pPr>
              <w:spacing w:after="0"/>
              <w:rPr>
                <w:sz w:val="1"/>
                <w:szCs w:val="1"/>
                <w:color w:val="auto"/>
              </w:rPr>
            </w:pPr>
          </w:p>
        </w:tc>
      </w:tr>
      <w:tr>
        <w:trPr>
          <w:trHeight w:val="186"/>
        </w:trPr>
        <w:tc>
          <w:tcPr>
            <w:tcW w:w="3620" w:type="dxa"/>
            <w:vAlign w:val="bottom"/>
            <w:gridSpan w:val="2"/>
            <w:vMerge w:val="continue"/>
          </w:tcPr>
          <w:p>
            <w:pPr>
              <w:spacing w:after="0"/>
              <w:rPr>
                <w:sz w:val="16"/>
                <w:szCs w:val="16"/>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8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0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Sheet Presentation</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condensed consolidated balance sheets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7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 (2025 Notes)</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Capped call derivatives (2029 Notes)</w:t>
            </w:r>
          </w:p>
        </w:tc>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 (2025 Notes)</w:t>
            </w:r>
          </w:p>
        </w:tc>
        <w:tc>
          <w:tcPr>
            <w:tcW w:w="2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(2029 Notes)</w:t>
            </w: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76,969</w:t>
            </w: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0" w:type="dxa"/>
            <w:vAlign w:val="bottom"/>
          </w:tcPr>
          <w:p>
            <w:pPr>
              <w:spacing w:after="0"/>
              <w:rPr>
                <w:sz w:val="1"/>
                <w:szCs w:val="1"/>
                <w:color w:val="auto"/>
              </w:rPr>
            </w:pPr>
          </w:p>
        </w:tc>
      </w:tr>
      <w:tr>
        <w:trPr>
          <w:trHeight w:val="124"/>
        </w:trPr>
        <w:tc>
          <w:tcPr>
            <w:tcW w:w="302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Total derivatives not designated as hedging</w:t>
            </w:r>
          </w:p>
        </w:tc>
        <w:tc>
          <w:tcPr>
            <w:tcW w:w="2700" w:type="dxa"/>
            <w:vAlign w:val="bottom"/>
          </w:tcPr>
          <w:p>
            <w:pPr>
              <w:spacing w:after="0"/>
              <w:rPr>
                <w:sz w:val="10"/>
                <w:szCs w:val="10"/>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35,368</w:t>
            </w:r>
          </w:p>
        </w:tc>
        <w:tc>
          <w:tcPr>
            <w:tcW w:w="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86,402</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7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7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020" w:type="dxa"/>
            <w:vAlign w:val="bottom"/>
          </w:tcPr>
          <w:p>
            <w:pPr>
              <w:spacing w:after="0"/>
              <w:rPr>
                <w:sz w:val="24"/>
                <w:szCs w:val="24"/>
                <w:color w:val="auto"/>
              </w:rPr>
            </w:pPr>
          </w:p>
        </w:tc>
        <w:tc>
          <w:tcPr>
            <w:tcW w:w="27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 (2025 Notes)</w:t>
            </w: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(2025 Notes)</w:t>
            </w: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7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0" w:type="dxa"/>
            <w:vAlign w:val="bottom"/>
          </w:tcPr>
          <w:p>
            <w:pPr>
              <w:spacing w:after="0"/>
              <w:rPr>
                <w:sz w:val="1"/>
                <w:szCs w:val="1"/>
                <w:color w:val="auto"/>
              </w:rPr>
            </w:pPr>
          </w:p>
        </w:tc>
      </w:tr>
      <w:tr>
        <w:trPr>
          <w:trHeight w:val="118"/>
        </w:trPr>
        <w:tc>
          <w:tcPr>
            <w:tcW w:w="30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derivatives not designated as hedging</w:t>
            </w:r>
          </w:p>
        </w:tc>
        <w:tc>
          <w:tcPr>
            <w:tcW w:w="2700" w:type="dxa"/>
            <w:vAlign w:val="bottom"/>
          </w:tcPr>
          <w:p>
            <w:pPr>
              <w:spacing w:after="0"/>
              <w:rPr>
                <w:sz w:val="10"/>
                <w:szCs w:val="10"/>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49,452</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instruments</w:t>
            </w:r>
          </w:p>
        </w:tc>
        <w:tc>
          <w:tcPr>
            <w:tcW w:w="27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500" w:hanging="240"/>
        <w:spacing w:after="0"/>
        <w:tabs>
          <w:tab w:leader="none" w:pos="50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classification of inputs used to evaluate the fair value of LivaNova’s derivatives, refer to “Note 4. Fair Value Measurements.”</w:t>
      </w:r>
    </w:p>
    <w:p>
      <w:pPr>
        <w:spacing w:after="0" w:line="200" w:lineRule="exact"/>
        <w:rPr>
          <w:rFonts w:ascii="Times New Roman" w:cs="Times New Roman" w:eastAsia="Times New Roman" w:hAnsi="Times New Roman"/>
          <w:sz w:val="17"/>
          <w:szCs w:val="17"/>
          <w:color w:val="auto"/>
          <w:vertAlign w:val="superscript"/>
        </w:rPr>
      </w:pPr>
    </w:p>
    <w:p>
      <w:pPr>
        <w:spacing w:after="0" w:line="214" w:lineRule="exact"/>
        <w:rPr>
          <w:rFonts w:ascii="Times New Roman" w:cs="Times New Roman" w:eastAsia="Times New Roman" w:hAnsi="Times New Roman"/>
          <w:sz w:val="17"/>
          <w:szCs w:val="17"/>
          <w:color w:val="auto"/>
          <w:vertAlign w:val="superscript"/>
        </w:rPr>
      </w:pPr>
    </w:p>
    <w:p>
      <w:pPr>
        <w:ind w:left="564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Note 4. Fair Value Measurements</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during the nine months ended September 30, 2024 and 2023.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level in the fair value hierarchy at which the Company’s assets and liabilities are measured on a recurring basis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gridSpan w:val="7"/>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Considered as: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6"/>
                <w:szCs w:val="16"/>
                <w:color w:val="auto"/>
              </w:rPr>
            </w:pPr>
          </w:p>
        </w:tc>
        <w:tc>
          <w:tcPr>
            <w:tcW w:w="8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4360" w:type="dxa"/>
            <w:vAlign w:val="bottom"/>
            <w:vMerge w:val="continue"/>
          </w:tcPr>
          <w:p>
            <w:pPr>
              <w:spacing w:after="0"/>
              <w:rPr>
                <w:sz w:val="13"/>
                <w:szCs w:val="13"/>
                <w:color w:val="auto"/>
              </w:rPr>
            </w:pPr>
          </w:p>
        </w:tc>
        <w:tc>
          <w:tcPr>
            <w:tcW w:w="2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 (2025 Notes)</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0" w:type="dxa"/>
            <w:vAlign w:val="bottom"/>
          </w:tcPr>
          <w:p>
            <w:pPr>
              <w:spacing w:after="0"/>
              <w:rPr>
                <w:sz w:val="1"/>
                <w:szCs w:val="1"/>
                <w:color w:val="auto"/>
              </w:rPr>
            </w:pPr>
          </w:p>
        </w:tc>
      </w:tr>
      <w:tr>
        <w:trPr>
          <w:trHeight w:val="180"/>
        </w:trPr>
        <w:tc>
          <w:tcPr>
            <w:tcW w:w="4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assets - capped call derivatives (2029 Notes)</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6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derivative (2025 Notes)</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derivative (2029 Notes)</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76,969</w:t>
            </w:r>
          </w:p>
        </w:tc>
        <w:tc>
          <w:tcPr>
            <w:tcW w:w="0" w:type="dxa"/>
            <w:vAlign w:val="bottom"/>
          </w:tcPr>
          <w:p>
            <w:pPr>
              <w:spacing w:after="0"/>
              <w:rPr>
                <w:sz w:val="1"/>
                <w:szCs w:val="1"/>
                <w:color w:val="auto"/>
              </w:rPr>
            </w:pP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81,240</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165,397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gridSpan w:val="7"/>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Considered as: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5"/>
                <w:szCs w:val="15"/>
                <w:color w:val="auto"/>
              </w:rPr>
            </w:pPr>
          </w:p>
        </w:tc>
        <w:tc>
          <w:tcPr>
            <w:tcW w:w="8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4360" w:type="dxa"/>
            <w:vAlign w:val="bottom"/>
            <w:vMerge w:val="continue"/>
          </w:tcPr>
          <w:p>
            <w:pPr>
              <w:spacing w:after="0"/>
              <w:rPr>
                <w:sz w:val="13"/>
                <w:szCs w:val="13"/>
                <w:color w:val="auto"/>
              </w:rPr>
            </w:pPr>
          </w:p>
        </w:tc>
        <w:tc>
          <w:tcPr>
            <w:tcW w:w="2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 (2025 Notes)</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0" w:type="dxa"/>
            <w:vAlign w:val="bottom"/>
          </w:tcPr>
          <w:p>
            <w:pPr>
              <w:spacing w:after="0"/>
              <w:rPr>
                <w:sz w:val="1"/>
                <w:szCs w:val="1"/>
                <w:color w:val="auto"/>
              </w:rPr>
            </w:pP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6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derivative (2025 Notes)</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w:t>
            </w: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c>
          <w:tcPr>
            <w:tcW w:w="0" w:type="dxa"/>
            <w:vAlign w:val="bottom"/>
          </w:tcPr>
          <w:p>
            <w:pPr>
              <w:spacing w:after="0"/>
              <w:rPr>
                <w:sz w:val="1"/>
                <w:szCs w:val="1"/>
                <w:color w:val="auto"/>
              </w:rPr>
            </w:pPr>
          </w:p>
        </w:tc>
      </w:tr>
      <w:tr>
        <w:trPr>
          <w:trHeight w:val="180"/>
        </w:trPr>
        <w:tc>
          <w:tcPr>
            <w:tcW w:w="4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140,221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ind w:left="12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3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60" w:type="dxa"/>
            <w:vAlign w:val="bottom"/>
            <w:tcBorders>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Reconciliation of Level 3 Assets and Liabilities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The following tables present reconciliations of recurring fair value measurements that use significant unobservable inputs (Level 3) (in thousands):</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Capped Call</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Capped Call</w:t>
            </w:r>
          </w:p>
        </w:tc>
        <w:tc>
          <w:tcPr>
            <w:tcW w:w="13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500" w:type="dxa"/>
            <w:vAlign w:val="bottom"/>
            <w:gridSpan w:val="7"/>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Embedded Derivative</w:t>
            </w:r>
          </w:p>
        </w:tc>
        <w:tc>
          <w:tcPr>
            <w:tcW w:w="150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Embedded Derivative</w:t>
            </w:r>
          </w:p>
        </w:tc>
        <w:tc>
          <w:tcPr>
            <w:tcW w:w="200" w:type="dxa"/>
            <w:vAlign w:val="bottom"/>
          </w:tcPr>
          <w:p>
            <w:pPr>
              <w:spacing w:after="0"/>
              <w:rPr>
                <w:sz w:val="11"/>
                <w:szCs w:val="11"/>
                <w:color w:val="auto"/>
              </w:rPr>
            </w:pPr>
          </w:p>
        </w:tc>
        <w:tc>
          <w:tcPr>
            <w:tcW w:w="132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36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center"/>
              <w:ind w:right="360"/>
              <w:spacing w:after="0" w:line="138"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5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200" w:type="dxa"/>
            <w:vAlign w:val="bottom"/>
          </w:tcPr>
          <w:p>
            <w:pPr>
              <w:spacing w:after="0"/>
              <w:rPr>
                <w:sz w:val="16"/>
                <w:szCs w:val="16"/>
                <w:color w:val="auto"/>
              </w:rPr>
            </w:pPr>
          </w:p>
        </w:tc>
        <w:tc>
          <w:tcPr>
            <w:tcW w:w="13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7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10,017</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95,392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81,174</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fair value</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Capped Call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5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Embedded Derivative</w:t>
            </w:r>
          </w:p>
        </w:tc>
        <w:tc>
          <w:tcPr>
            <w:tcW w:w="200" w:type="dxa"/>
            <w:vAlign w:val="bottom"/>
          </w:tcPr>
          <w:p>
            <w:pPr>
              <w:spacing w:after="0"/>
              <w:rPr>
                <w:sz w:val="11"/>
                <w:szCs w:val="11"/>
                <w:color w:val="auto"/>
              </w:rPr>
            </w:pPr>
          </w:p>
        </w:tc>
        <w:tc>
          <w:tcPr>
            <w:tcW w:w="132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5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00" w:type="dxa"/>
            <w:vAlign w:val="bottom"/>
          </w:tcPr>
          <w:p>
            <w:pPr>
              <w:spacing w:after="0"/>
              <w:rPr>
                <w:sz w:val="16"/>
                <w:szCs w:val="16"/>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0" w:type="dxa"/>
            <w:vAlign w:val="bottom"/>
          </w:tcPr>
          <w:p>
            <w:pPr>
              <w:spacing w:after="0"/>
              <w:rPr>
                <w:sz w:val="1"/>
                <w:szCs w:val="1"/>
                <w:color w:val="auto"/>
              </w:rPr>
            </w:pPr>
          </w:p>
        </w:tc>
      </w:tr>
      <w:tr>
        <w:trPr>
          <w:trHeight w:val="17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2023</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42,034</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53,705</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92,626</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43,669</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89,808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Capped Call</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rPr>
              <w:t>Capped Call</w:t>
            </w:r>
          </w:p>
        </w:tc>
        <w:tc>
          <w:tcPr>
            <w:tcW w:w="13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500" w:type="dxa"/>
            <w:vAlign w:val="bottom"/>
            <w:gridSpan w:val="7"/>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Embedded Derivative</w:t>
            </w:r>
          </w:p>
        </w:tc>
        <w:tc>
          <w:tcPr>
            <w:tcW w:w="150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Embedded Derivative</w:t>
            </w:r>
          </w:p>
        </w:tc>
        <w:tc>
          <w:tcPr>
            <w:tcW w:w="200" w:type="dxa"/>
            <w:vAlign w:val="bottom"/>
          </w:tcPr>
          <w:p>
            <w:pPr>
              <w:spacing w:after="0"/>
              <w:rPr>
                <w:sz w:val="11"/>
                <w:szCs w:val="11"/>
                <w:color w:val="auto"/>
              </w:rPr>
            </w:pPr>
          </w:p>
        </w:tc>
        <w:tc>
          <w:tcPr>
            <w:tcW w:w="1320" w:type="dxa"/>
            <w:vAlign w:val="bottom"/>
          </w:tcPr>
          <w:p>
            <w:pPr>
              <w:jc w:val="center"/>
              <w:ind w:right="129"/>
              <w:spacing w:after="0" w:line="133"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3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5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0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200" w:type="dxa"/>
            <w:vAlign w:val="bottom"/>
          </w:tcPr>
          <w:p>
            <w:pPr>
              <w:spacing w:after="0"/>
              <w:rPr>
                <w:sz w:val="15"/>
                <w:szCs w:val="15"/>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0" w:type="dxa"/>
            <w:vAlign w:val="bottom"/>
          </w:tcPr>
          <w:p>
            <w:pPr>
              <w:spacing w:after="0"/>
              <w:rPr>
                <w:sz w:val="1"/>
                <w:szCs w:val="1"/>
                <w:color w:val="auto"/>
              </w:rPr>
            </w:pPr>
          </w:p>
        </w:tc>
      </w:tr>
      <w:tr>
        <w:trPr>
          <w:trHeight w:val="17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receipt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w:t>
            </w: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76,969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81,240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Capped Call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5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Embedded Derivative</w:t>
            </w:r>
          </w:p>
        </w:tc>
        <w:tc>
          <w:tcPr>
            <w:tcW w:w="200" w:type="dxa"/>
            <w:vAlign w:val="bottom"/>
          </w:tcPr>
          <w:p>
            <w:pPr>
              <w:spacing w:after="0"/>
              <w:rPr>
                <w:sz w:val="11"/>
                <w:szCs w:val="11"/>
                <w:color w:val="auto"/>
              </w:rPr>
            </w:pPr>
          </w:p>
        </w:tc>
        <w:tc>
          <w:tcPr>
            <w:tcW w:w="132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5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00" w:type="dxa"/>
            <w:vAlign w:val="bottom"/>
          </w:tcPr>
          <w:p>
            <w:pPr>
              <w:spacing w:after="0"/>
              <w:rPr>
                <w:sz w:val="16"/>
                <w:szCs w:val="16"/>
                <w:color w:val="auto"/>
              </w:rPr>
            </w:pPr>
          </w:p>
        </w:tc>
        <w:tc>
          <w:tcPr>
            <w:tcW w:w="13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0" w:type="dxa"/>
            <w:vAlign w:val="bottom"/>
          </w:tcPr>
          <w:p>
            <w:pPr>
              <w:spacing w:after="0"/>
              <w:rPr>
                <w:sz w:val="1"/>
                <w:szCs w:val="1"/>
                <w:color w:val="auto"/>
              </w:rPr>
            </w:pPr>
          </w:p>
        </w:tc>
      </w:tr>
      <w:tr>
        <w:trPr>
          <w:trHeight w:val="17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18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fair value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(10,724)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43,669</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89,808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Price Volatility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stock price volatility utilized in determining the fair value of LivaNova’s capped call derivative assets and embedded derivative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Capped Call Derivative Assets</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Embedded Derivative Liability</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Embedded Derivative Liability</w:t>
            </w:r>
          </w:p>
        </w:tc>
        <w:tc>
          <w:tcPr>
            <w:tcW w:w="0" w:type="dxa"/>
            <w:vAlign w:val="bottom"/>
          </w:tcPr>
          <w:p>
            <w:pPr>
              <w:spacing w:after="0"/>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 Notes)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(2029 Notes)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(2025 Notes)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0" w:type="dxa"/>
            <w:vAlign w:val="bottom"/>
          </w:tcPr>
          <w:p>
            <w:pPr>
              <w:spacing w:after="0"/>
              <w:rPr>
                <w:sz w:val="1"/>
                <w:szCs w:val="1"/>
                <w:color w:val="auto"/>
              </w:rPr>
            </w:pPr>
          </w:p>
        </w:tc>
      </w:tr>
      <w:tr>
        <w:trPr>
          <w:trHeight w:val="171"/>
        </w:trPr>
        <w:tc>
          <w:tcPr>
            <w:tcW w:w="21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Stock price volatility </w:t>
            </w:r>
            <w:r>
              <w:rPr>
                <w:rFonts w:ascii="Times New Roman" w:cs="Times New Roman" w:eastAsia="Times New Roman" w:hAnsi="Times New Roman"/>
                <w:sz w:val="18"/>
                <w:szCs w:val="18"/>
                <w:color w:val="auto"/>
                <w:vertAlign w:val="superscript"/>
              </w:rPr>
              <w:t>(1)</w:t>
            </w:r>
          </w:p>
        </w:tc>
        <w:tc>
          <w:tcPr>
            <w:tcW w:w="1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left="520" w:hanging="260"/>
        <w:spacing w:after="0" w:line="234" w:lineRule="auto"/>
        <w:tabs>
          <w:tab w:leader="none" w:pos="516"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Embedded Derivatives and Capped Call Transactions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Derivatives and Capped Call Transactions which would result in an increase in net expense. As the remaining time</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16" w:name="page17"/>
    <w:bookmarkEnd w:id="16"/>
    <w:p>
      <w:pPr>
        <w:ind w:left="520"/>
        <w:spacing w:after="0" w:line="281" w:lineRule="auto"/>
        <w:rPr>
          <w:sz w:val="20"/>
          <w:szCs w:val="20"/>
          <w:color w:val="auto"/>
        </w:rPr>
      </w:pPr>
      <w:r>
        <w:rPr>
          <w:rFonts w:ascii="Times New Roman" w:cs="Times New Roman" w:eastAsia="Times New Roman" w:hAnsi="Times New Roman"/>
          <w:sz w:val="13"/>
          <w:szCs w:val="13"/>
          <w:color w:val="auto"/>
        </w:rPr>
        <w:t>to the expiration of the derivatives decreases, the fair value of the derivatives decreases. The future impact of the derivatives on net income depends on how significant inputs such as stock price, stock price volatility, and time to the expiration of the derivatives change in relation to other inputs.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fair value of LivaNova’s Level 3 contingent consideration arrangements by acquisition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ImThera</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80,902</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240" w:type="dxa"/>
            <w:vAlign w:val="bottom"/>
          </w:tcPr>
          <w:p>
            <w:pPr>
              <w:spacing w:after="0"/>
              <w:rPr>
                <w:sz w:val="15"/>
                <w:szCs w:val="15"/>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96"/>
        </w:trPr>
        <w:tc>
          <w:tcPr>
            <w:tcW w:w="72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included the following significant unobservable inputs as of September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28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9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Discounted cash flow</w:t>
            </w:r>
          </w:p>
        </w:tc>
        <w:tc>
          <w:tcPr>
            <w:tcW w:w="100" w:type="dxa"/>
            <w:vAlign w:val="bottom"/>
            <w:tcBorders>
              <w:top w:val="single" w:sz="8" w:color="CCEEFF"/>
            </w:tcBorders>
            <w:shd w:val="clear" w:color="auto" w:fill="CCEEFF"/>
          </w:tcPr>
          <w:p>
            <w:pPr>
              <w:spacing w:after="0"/>
              <w:rPr>
                <w:sz w:val="14"/>
                <w:szCs w:val="14"/>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7.7%</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r>
      <w:tr>
        <w:trPr>
          <w:trHeight w:val="212"/>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Monte-Carlo simulation</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- 14.7%</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- 8.2%</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2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27.1%</w:t>
            </w: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- 2030</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Financing Arrangements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LivaNova’s long-term debt obligations (in thousands, except interest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316,803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328,459</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2027</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8.66%</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March 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2.50%</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Notes</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255,500</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2025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3.00%</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of America, U.S.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8.19%</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facilities</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625,540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586,027</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 obligations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604,287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568,543</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 and Term Facilities</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outstanding principal amount of LivaNova’s short-term unsecured revolving credit agreements and other agreements with various banks was $0.7 million at September 30, 2024 and $0.6 million at December 31, 2023, with an average interest rate of 4.94% and loan terms ranging from overnight to 364 days as of September 30, 2024.</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March 8, 2024, LivaNova and LivaNova USA entered into Incremental Facility Amendment No. 3, which provides for LivaNova USA to obtain revolving commitments in an aggregate principal amount of $225.0 million. The $225.0 million revolving facility is subject to the terms and conditions of the 2021 First Lien Credit Agreement, as amended thereof, and replaced the previously existing $125.0 million revolving facility under the 2021 First Lien Credit Agreement. The $225.0 million revolving facility is available for working capital and other general corporate purposes and, if drawn, can be repaid at any time without premium or penalty. The $225.0 million revolving facility matures on March 8, 2029. There were no</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outstanding borrowings under the revolving facilities under the 2021 First Lien Credit Agreement as of September 30, 2024 and December 31, 2023.</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2021 First Lien Credit Agreement, as amended, also requires the payment of certain commitment fees on the unused portion of the commitments, at a variable percentage based on LivaNova’s Total Net Leverage Ratio. As of September 30, 2024 and December 31, 2023, the applicable commitment fee percentage was 0.5% per annum.</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of not more than 3.50 to 1.00, calculated as the ratio of Consolidated Senior Secured First Lien Net Indebtedness to Consolidated EBITDA, as defined in the credit agreement, for the period of four consecutive fiscal quarters ended on the calculation date and an Interest Coverage Ratio of not less than 2.00 to 1.00, calculated as the ratio of Consolidated EBITDA to Consolidated Interest Expense, both as defined in the credit agreement, for the period of four consecutive fiscal quarters ended on the calculation date. As of September 30, 2024, the Company was in compliance with the financial covenants contained in the 2021 First Lien Credit Agreement.</w:t>
      </w:r>
    </w:p>
    <w:p>
      <w:pPr>
        <w:spacing w:after="0" w:line="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Debt discount and issuance costs related to the Initial Term Facility were $9.6 million. The unamortized debt discount and issuance costs related to the Initial Term Facility were $5.4 million and $6.8 million as of September 30, 2024 and December 31, 2023,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Notes Issuance and 2025 Notes Repurchase Transactions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March 8, 2024, LivaNova issued $345.0 million aggregate principal amount of 2.50% notes due 2029 by private placement to qualified institutional buyers pursuant to Rule 144A under the Securities Act, which included exercise in full of the initial purchasers’ option to purchase up to an additional $45.0 million principal amount of the 2029 Notes. The 2029 Notes are senior unsecured obligations of the Company. The Company used part of the proceeds from the issuance of the 2029 Notes to repurchase $230.0 million aggregate principal amount of the 2025 Notes in privately-negotiated transactions for an aggregate cash repurchase consideration of $270.5 million.</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2025 Notes Repurchase Transaction was treated as a debt extinguishment. The carrying value of the related 2025 Notes, which included the unamortized debt discount and issuance costs and the fair value of the embedded derivative, was derecognized, and the 2029 Notes issued were recognized at fair value. The difference between the consideration used to extinguish the 2025 Notes, the carrying value of the 2025 Notes, and the fair value of the embedded derivative was recognized as a loss on debt extinguishment of $25.5 million on LivaNova’s condensed consolidated statements of income (loss) during the nine months ended September 30, 2024. Third-party costs incurred directly related to the 2025 Notes Repurchase Transaction were deferred and capitalized as additional debt issuance costs to be amortized on the 2029 Notes.</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Contemporaneously with the 2025 Notes Repurchase Transaction, the Company and the financial institutions party to the 2025 Capped Calls agreed to terminate a portion of the 2025 Capped Calls in a notional amount corresponding to the amount of 2025 Notes repurchased. The Company received $22.5 million in cash consideration, the fair value of the terminated portion, upon settlement. The terms of the remaining 2025 Capped Calls remain unchanged and continue to be classified as long-term derivative assets. For additional information on LivaNova’s capped call and embedded derivatives, refer to “Note 3. Derivatives and Risk Management.”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2029 Notes</w:t>
      </w:r>
    </w:p>
    <w:p>
      <w:pPr>
        <w:spacing w:after="0" w:line="9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 sale of the 2029 Notes resulted in $332.1 million in net proceeds to the Company after deducting issuance costs. Interest is payable semiannually in arrears on March 15 and September 15 of each year. The effective interest rate of the 2029 Notes was 9.79% as of September 30,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The 2029 Notes mature on March 15, 2029, unless earlier repurchased, redeemed or converted.</w:t>
      </w:r>
    </w:p>
    <w:p>
      <w:pPr>
        <w:spacing w:after="0" w:line="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Debt discount and issuance costs related to the 2029 Notes were $99.6 million, including $87.5 million of discount attributable to the embedded derivative and $12.1 million of new debt issuance costs related to the 2029 Notes. The debt discount and issuance costs are amortized as interest expense using the effective interest method over the term of the 2029 Notes. The unamortized debt discount and issuance costs related to the 2029 Notes as of September 30, 2024 were $91.1 million.</w:t>
      </w:r>
    </w:p>
    <w:p>
      <w:pPr>
        <w:spacing w:after="0" w:line="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Holders are entitled to convert the 2029 Notes at any time during specified periods, at their option, subject to certain conditions. This includes the right to convert the 2029 Notes during any calendar quarter if the last reported sale price of LivaNova’s ordinary shares is greater than or equal to 130% of the conversion price, or $90.22 per share, for at least 20 trading days (whether or not consecutive) during a period of 30 consecutive trading days ending on, and including, the last trading day of the immediately preceding calendar quarter. The initial conversion rate for the 2029 Notes is 14.4085 ordinary shares per $1,000 principal amount of 2029 Notes (equivalent to an initial conversion price of $69.40 per share). The conversion rate is subject to adjustment in certain circumstances, as set forth in the indenture governing the 2029 Notes.</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jc w:val="both"/>
        <w:spacing w:after="0" w:line="303" w:lineRule="auto"/>
        <w:rPr>
          <w:sz w:val="20"/>
          <w:szCs w:val="20"/>
          <w:color w:val="auto"/>
        </w:rPr>
      </w:pPr>
      <w:r>
        <w:rPr>
          <w:rFonts w:ascii="Times New Roman" w:cs="Times New Roman" w:eastAsia="Times New Roman" w:hAnsi="Times New Roman"/>
          <w:sz w:val="14"/>
          <w:szCs w:val="14"/>
          <w:color w:val="auto"/>
        </w:rPr>
        <w:t>As of September 30, 2024, the conditions for conversion were not met. As a result, the Company included its obligations from the 2029 Notes and the associated embedded derivative as long-term liabilities on the condensed consolidated balance sheet as of September 30, 2024, and the 2029 Notes are not convertible during the three months ending December 31, 2024.</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Upon any conversion of the 2029 Notes, LivaNova will be required to pay cash up to the aggregate principal amount of the 2029 Notes to be converted and may elect to settle the conversion obligation in excess of the aggregate principal amount of the 2029 Notes being converted in cash, shares, or a combination of the two.</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or after December 15, 2028, holders may convert their 2029 Notes at their option at any time until the close of business on the second Scheduled Trading Day (as defined in the indenture governing the 2029 Notes) immediately preceding the maturity date.</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may redeem the 2029 Notes, in whole or in part, at its option on or after March 22, 2027 for cash if the last reported sale price of LivaNova’s ordinary share has been at least 130% of the conversion price, or $90.22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Additionally, the Company may redeem the 2029 Notes at its option, prior to the stated maturity, in whole but not in part, in connection with certain tax-related events.</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Holders may require the Company to repurchase their 2029 Notes upon the occurrence of a Fundamental Change (as defined in the indenture governing the 2029 Notes) at a repurchase price equal to the principal amount thereof plus accrued and unpaid interest to, but excluding, the repurchase date. In addition, in connection with certain corporate events or if the Company issues a notice of redemption, the Company will, under certain circumstances, increase the conversion rate for holders who elect to convert their 2029 Notes in connection with such corporate event or during the relevant redemption period.</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indenture governing the 2029 Notes contains customary terms and covenants, including that upon certain events of default occurring and continuing, either the Trustee (as defined in the indenture governing the 2029 Notes) or holders of at least 25% in aggregate principal amount of the 2029 Notes then outstanding may declare the entire principal amount of all the 2029 Notes, and accrued and unpaid interest on such 2029 Notes, to be immediately due and payable. Upon events of default in connection with specified bankruptcy events involving the Company, the 2029 Notes will become due and payable immediately.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 Notes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June 17, 2020, LivaNova USA issued $287.5 million aggregate principal amount of 3.00% notes due 2025 by private placement to qualified institutional buyers pursuant to Rule 144A under the Securities Act. The 2025 Notes are senior unsecured obligations of the Company. The sale of the 2025 Notes resulted in $278.0 million in net proceeds to the Company after deducting issuance costs. Interest is payable semiannually in arrears on June 15 and December 15 of each year. On March 8, 2024, in connection with the issuance of the 2029 Notes, the Company used part of the net proceeds to repurchase $230.0 million aggregate principal amount of the 2025 Notes in privately-negotiated transactions. For additional information, refer to “2029 Notes Issuance and 2025 Notes Repurchase Transactions” above. The effective interest rate of the 2025 Notes was 9.16% as of September 30, 2024. The 2025 Notes mature on December 15, 2025, unless earlier exchanged, repurchased, or redeemed.</w:t>
      </w:r>
    </w:p>
    <w:p>
      <w:pPr>
        <w:spacing w:after="0" w:line="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Debt discount and issuance costs related to the 2025 Notes were $82.0 million, including $75.0 million of discount attributable to the embedded derivative and $7.0 million of allocated issuance costs to the 2025 Notes related to legal, bank, and accounting fees. The debt discount and issuance costs are amortized as interest expense using the effective interest method over the term of the 2025 Notes. Upon the closing of the 2025 Notes Repurchase Transaction in March 2024, the remaining unamortized debt discount and issuance costs related to the 2025 Notes were $5.8 million. The unamortized debt discount and issuance costs related to the 2025 Notes as of September 30, 2024 and December 31, 2023 were $4.6 million and $32.0 million, respectively.</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Holders are entitled to exchange the 2025 Notes at any time during specified periods, at their option, subject to certain conditions. This includes the right to exchange the 2025 Notes during any calendar quarter if the last reported sale price of LivaNova’s ordinary shares is greater than or equal to 130% of the exchange price, or $79.27 per share, for at least 20 trading days (whether or not consecutive) during a period of 30 consecutive trading days ending on, and including, the last trading day of the immediately preceding calendar quarter. The 2025 Notes are exchangeable solely into cash and are not exchangeable into ordinary shares of LivaNova or any other security under any circumstances. The initial exchange rate for the 2025 Notes is 16.3980 ordinary shares per $1,000 principal amount of 2025 Notes (equivalent to an initial exchange price of $60.98 per share). The exchange rate is subject to adjustment in certain circumstances, as set forth in the indenture governing the 2025 Notes.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jc w:val="both"/>
        <w:spacing w:after="0" w:line="303" w:lineRule="auto"/>
        <w:rPr>
          <w:sz w:val="20"/>
          <w:szCs w:val="20"/>
          <w:color w:val="auto"/>
        </w:rPr>
      </w:pPr>
      <w:r>
        <w:rPr>
          <w:rFonts w:ascii="Times New Roman" w:cs="Times New Roman" w:eastAsia="Times New Roman" w:hAnsi="Times New Roman"/>
          <w:sz w:val="14"/>
          <w:szCs w:val="14"/>
          <w:color w:val="auto"/>
        </w:rPr>
        <w:t>As of September 30, 2024, the conditions for exchange were not met. As a result, the Company included its obligations from the 2025 Notes and the associated embedded derivative as long-term liabilities on the condensed consolidated balance sheet as of September 30, 2024, and the 2025 Notes are not exchangeable during the three months ending December 31, 2024.</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On or after September 15, 2025, holders may exchange their 2025 Notes at their option at any time until the close of business on the second Scheduled Trading Day (as defined in the indenture governing the 2025 Notes) immediately preceding the maturity date.</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Company may redeem the 2025 Notes, in whole or in part, at its option prior to the 51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trading day immediately preceding the maturity date if the last reported sale price per ordinary share has been at least 130% of the exchange price, or $79.27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2025 Notes to be redeemed, plus accrued and unpaid interest to, but excluding, the redemption date. Additionally, the Company may redeem the 2025 Notes at its option, prior to the stated maturity, in whole but not in part, in connection with certain tax-related events.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Saluggia Site Hazardous Substances</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September 30, 2024 was €35.5 million ($39.6 million), which represented the low end of the estimated range of loss of €35.5 million ($39.6 million) to €45.3 million ($50.6 million). The estimated liability as of December 31, 2023 was €35.8 million ($39.7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Litigation</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Sorin was created as a result of a spin-off from SNIA in 2004 and in 2015, Sorin was merged into LivaNova. SNIA subsequently became insolvent, and the Public Administrations sought compensation from SNIA in an aggregate amount of approximately $3.8 billion for remediation costs relating to the environmental damage at chemical sites previously operated by SNIA’s other subsidiaries.</w:t>
      </w: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Italian Supreme Court. Similarly, in 2014, the Bankruptcy Court of Milan held that the Public Administrations were not creditors of either SNIA or its subsidiaries. The Public Administrations appealed. In April 2022, the Bankruptcy Court of Milan declared the Public Administrations to be a non-privileged creditor of SNIA for up to €454.0 million, and the Public Administrations appealed to the Italian Supreme Court.</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($326,191 as of September 30,</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jc w:val="both"/>
        <w:spacing w:after="0" w:line="278" w:lineRule="auto"/>
        <w:rPr>
          <w:sz w:val="20"/>
          <w:szCs w:val="20"/>
          <w:color w:val="auto"/>
        </w:rPr>
      </w:pPr>
      <w:r>
        <w:rPr>
          <w:rFonts w:ascii="Times New Roman" w:cs="Times New Roman" w:eastAsia="Times New Roman" w:hAnsi="Times New Roman"/>
          <w:sz w:val="14"/>
          <w:szCs w:val="14"/>
          <w:color w:val="auto"/>
        </w:rPr>
        <w:t>2024)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spin-off of Sorin from SNIA in 2004, an estimated €572.1 million ($639.1 million as of September 30, 2024). LivaNova appealed the partial decision on liability to the Italian Supreme Court in August 2019.</w:t>
      </w:r>
    </w:p>
    <w:p>
      <w:pPr>
        <w:spacing w:after="0" w:line="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In 2021, the Court of Appeal delivered the remainder of its decision, ordering LivaNova to pay damages of €453.6 million ($506.7 million as of September 30, 2024).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($301.6 million as of September 30, 2024) within 30 calendar days, and on March 21, 2022, LivaNova delivered the guarantee, thereby satisfying the condition. For additional information on the financing of the guarantee, refer to “Note 12. Supplemental Financial Information.”</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2022, in response to one of a number of appeals asserted by LivaNova, the Italian Supreme Court issued an ordinance, a procedural document, whereby the Italian Supreme Court referred a question on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On July 29, 2024, the ECJ issued a judgment in response to the ordinance. The ECJ judgment states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 The Italian Supreme Court is expected to issue a decision in response to all of the appeals of LivaNova, and counter-appeals submitted by the Public Administrations. While the timing of the decision by the Italian Supreme Court is uncertain, the Company does not expect that a decision will be issued until at least 2025. LivaNova has not recognized a liability in connection with this matter because any potential loss is not currently probable.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Litigation</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continues to be involved in litigation involving LivaNova’s 3T device. The litigation includes the cases remaining in the MDL, various U.S. state court cases, and claims in jurisdictions outside the U.S. As of October 30, 2024, the Company was aware of approximately 65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During the three and nine months ended September 30, 2024, LivaNova recorded an additional liability of $7.7 million and $16.8 million, respectively, due to new information received about the nature of certain claims. As of September 30, 2024 and December 31, 2023, the provision for these matters was $19.2 million and $13.9 million, respectively. While the amount accrued represents LivaNova’s best estimate for those filed and unfiled claims worldwide of which LivaNova is aware and believes are both probable and estimable at this time, the actual liability for resolution of these matters may vary from the Company’s provision. A provision for the remaining claims has not been recorded, because a potential loss is not determined to be probable, or a potential loss or range of potential loss is not reasonably estimable at this time.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litigation provision liability for the nine months ended September 30, 2024 (in thousands):</w:t>
            </w: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2"/>
        </w:trPr>
        <w:tc>
          <w:tcPr>
            <w:tcW w:w="8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December 31, 2023</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w:t>
            </w:r>
          </w:p>
        </w:tc>
      </w:tr>
      <w:tr>
        <w:trPr>
          <w:trHeight w:val="180"/>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0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(11,515)</w:t>
            </w:r>
          </w:p>
        </w:tc>
      </w:tr>
      <w:tr>
        <w:trPr>
          <w:trHeight w:val="180"/>
        </w:trPr>
        <w:tc>
          <w:tcPr>
            <w:tcW w:w="8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16,798</w:t>
            </w:r>
          </w:p>
        </w:tc>
      </w:tr>
      <w:tr>
        <w:trPr>
          <w:trHeight w:val="18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FX and other</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litigation provision liability at September 30, 2024</w:t>
            </w:r>
          </w:p>
        </w:tc>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19,229</w:t>
            </w:r>
          </w:p>
        </w:tc>
      </w:tr>
      <w:tr>
        <w:trPr>
          <w:trHeight w:val="18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litigation provision liability at September 30, 2024</w:t>
            </w: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16,098</w:t>
            </w:r>
          </w:p>
        </w:tc>
      </w:tr>
      <w:tr>
        <w:trPr>
          <w:trHeight w:val="196"/>
        </w:trPr>
        <w:tc>
          <w:tcPr>
            <w:tcW w:w="886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of litigation provision liability at September 30, 2024 </w:t>
            </w:r>
            <w:r>
              <w:rPr>
                <w:rFonts w:ascii="Times New Roman" w:cs="Times New Roman" w:eastAsia="Times New Roman" w:hAnsi="Times New Roman"/>
                <w:sz w:val="18"/>
                <w:szCs w:val="18"/>
                <w:color w:val="auto"/>
                <w:vertAlign w:val="superscript"/>
              </w:rPr>
              <w:t>(2)</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109"/>
        </w:trPr>
        <w:tc>
          <w:tcPr>
            <w:tcW w:w="18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85"/>
              </w:rPr>
              <w:t>(1)</w:t>
            </w:r>
          </w:p>
        </w:tc>
        <w:tc>
          <w:tcPr>
            <w:tcW w:w="7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7"/>
              </w:rPr>
              <w:t>Adjustments to the litigation provision are included in other operating expenses on the condensed consolidated statements of income (loss).</w:t>
            </w:r>
          </w:p>
        </w:tc>
        <w:tc>
          <w:tcPr>
            <w:tcW w:w="0" w:type="dxa"/>
            <w:vAlign w:val="bottom"/>
          </w:tcPr>
          <w:p>
            <w:pPr>
              <w:spacing w:after="0"/>
              <w:rPr>
                <w:sz w:val="1"/>
                <w:szCs w:val="1"/>
                <w:color w:val="auto"/>
              </w:rPr>
            </w:pPr>
          </w:p>
        </w:tc>
      </w:tr>
      <w:tr>
        <w:trPr>
          <w:trHeight w:val="56"/>
        </w:trPr>
        <w:tc>
          <w:tcPr>
            <w:tcW w:w="180" w:type="dxa"/>
            <w:vAlign w:val="bottom"/>
          </w:tcPr>
          <w:p>
            <w:pPr>
              <w:spacing w:after="0"/>
              <w:rPr>
                <w:sz w:val="4"/>
                <w:szCs w:val="4"/>
                <w:color w:val="auto"/>
              </w:rPr>
            </w:pPr>
          </w:p>
        </w:tc>
        <w:tc>
          <w:tcPr>
            <w:tcW w:w="7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ind w:left="500" w:hanging="240"/>
        <w:spacing w:after="0"/>
        <w:tabs>
          <w:tab w:leader="none" w:pos="5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Included in other long-term liabilities on the condensed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Italian MedTech Payback Measure</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In response, LivaNova filed an appeal at the Administrative Court against the Decree of the Ministry of Health, assessing the amount payable and against the payback law. LivaNova also filed appeals against the regions requesting payments. In August 2023, the Administrative Court upheld LivaNova’s request to suspend the effect of the requests for payment by the regions, pending the decision by the Administrative Court on the merits of the case. In November 2023, the Administrative Court, in a separate matter, asked the Constitutional Court whether the payback law was compliant with the Italian Constitution and pending the decision by the Constitutional Court, all cases brought by medical device companies in this matter were suspended. On July 22, 2024, the Constitutional Court determined that the payback law is compliant with the Italian Constitution and that companies may reduce their payment obligations between 2015-2018 to 48% of the amount originally charged to companies. Based on market and product information, as previously disclosed, and the recent ruling by the Constitutional Court, the amount reserved for this matter was $16.8 million and $8.2 million as of September 30, 2024 and December 31, 2023, respectively, and is included in accrued liabilities and other in the condensed consolidated balance sheets. However, the actual liability could vary. Amounts recognized associated with the Italian MedTech payback measure are recorded as a reduction to net revenue in the condensed consolidated statements of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 Litigation</w:t>
      </w:r>
    </w:p>
    <w:p>
      <w:pPr>
        <w:spacing w:after="0" w:line="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the cybersecurity incident initially reported on November 20, 2023, LivaNova USA was named as a defendant in six putative class action lawsuits filed in the United States District Court for the Southern District of Texas in June 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have agreed to a settlement, for which the Company recorded an accrual of $1.2 million during the quarter ended September 30, 2024. The settlement is currently being memorialized and will be subject to court approval.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Matters</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Note 7. Stockholders' Equity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the condensed consolidated statements of stockholders’ equity as of and for the three and nine months ended September 30, 2024 and 2023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100" w:type="dxa"/>
            <w:vAlign w:val="bottom"/>
          </w:tcPr>
          <w:p>
            <w:pPr>
              <w:spacing w:after="0"/>
              <w:rPr>
                <w:sz w:val="11"/>
                <w:szCs w:val="1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80" w:type="dxa"/>
            <w:vAlign w:val="bottom"/>
          </w:tcPr>
          <w:p>
            <w:pPr>
              <w:spacing w:after="0"/>
              <w:rPr>
                <w:sz w:val="11"/>
                <w:szCs w:val="11"/>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11"/>
                <w:szCs w:val="11"/>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83,070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2,204,580</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(992,094)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1,242,542</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8,433</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32,953</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26,116</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2,212,932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1,310,044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2,169,346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(975,505)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1,240,608</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11,404</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(19,222)</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1,225,472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21"/>
                <w:szCs w:val="21"/>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w w:val="99"/>
              </w:rPr>
              <w:t>Total Stockholders'</w:t>
            </w:r>
          </w:p>
        </w:tc>
        <w:tc>
          <w:tcPr>
            <w:tcW w:w="0" w:type="dxa"/>
            <w:vAlign w:val="bottom"/>
          </w:tcPr>
          <w:p>
            <w:pPr>
              <w:spacing w:after="0"/>
              <w:rPr>
                <w:sz w:val="1"/>
                <w:szCs w:val="1"/>
                <w:color w:val="auto"/>
              </w:rPr>
            </w:pPr>
          </w:p>
        </w:tc>
      </w:tr>
      <w:tr>
        <w:trPr>
          <w:trHeight w:val="154"/>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53,942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82,533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2,189,517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(27,883)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(966,484)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1,277,628</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23,415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23,893</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54,406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83,112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2,212,932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(26,703)</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(959,141)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1,310,044</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53,852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82,424</w:t>
            </w: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2,157,724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(48,119)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(984,030)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1,207,624</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23,323</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(6,682)</w:t>
            </w:r>
          </w:p>
        </w:tc>
        <w:tc>
          <w:tcPr>
            <w:tcW w:w="0" w:type="dxa"/>
            <w:vAlign w:val="bottom"/>
          </w:tcPr>
          <w:p>
            <w:pPr>
              <w:spacing w:after="0"/>
              <w:rPr>
                <w:sz w:val="1"/>
                <w:szCs w:val="1"/>
                <w:color w:val="auto"/>
              </w:rPr>
            </w:pP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53,904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82,491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2,180,661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(54,801)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(982,823)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1,225,472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23" w:name="page24"/>
    <w:bookmarkEnd w:id="23"/>
    <w:p>
      <w:pPr>
        <w:spacing w:after="0" w:line="283" w:lineRule="auto"/>
        <w:rPr>
          <w:sz w:val="20"/>
          <w:szCs w:val="20"/>
          <w:color w:val="auto"/>
        </w:rPr>
      </w:pPr>
      <w:r>
        <w:rPr>
          <w:rFonts w:ascii="Times New Roman" w:cs="Times New Roman" w:eastAsia="Times New Roman" w:hAnsi="Times New Roman"/>
          <w:sz w:val="14"/>
          <w:szCs w:val="14"/>
          <w:color w:val="auto"/>
        </w:rPr>
        <w:t>The tables below present the change in each component of AOCI, net of tax, and the reclassifications out of AOCI into net income for the nine months ended September 30, 2024 and 2023 (in thousands):</w:t>
      </w:r>
    </w:p>
    <w:tbl>
      <w:tblPr>
        <w:tblLayout w:type="fixed"/>
        <w:tblInd w:w="0" w:type="dxa"/>
        <w:tblCellMar>
          <w:top w:w="0" w:type="dxa"/>
          <w:left w:w="0" w:type="dxa"/>
          <w:bottom w:w="0" w:type="dxa"/>
          <w:right w:w="0" w:type="dxa"/>
        </w:tblCellMar>
      </w:tblPr>
      <w:tr>
        <w:trPr>
          <w:trHeight w:val="146"/>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ind w:right="149"/>
              <w:spacing w:after="0" w:line="146"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Translation Adjustments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reclassifications, before tax</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reclassifications, before tax</w:t>
            </w:r>
          </w:p>
        </w:tc>
        <w:tc>
          <w:tcPr>
            <w:tcW w:w="1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income, net of tax</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7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(26,703)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Unrealized Gain</w:t>
            </w:r>
          </w:p>
        </w:tc>
        <w:tc>
          <w:tcPr>
            <w:tcW w:w="220" w:type="dxa"/>
            <w:vAlign w:val="bottom"/>
          </w:tcPr>
          <w:p>
            <w:pPr>
              <w:spacing w:after="0" w:line="20" w:lineRule="exact"/>
              <w:rPr>
                <w:sz w:val="1"/>
                <w:szCs w:val="1"/>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840" w:type="dxa"/>
            <w:vAlign w:val="bottom"/>
          </w:tcPr>
          <w:p>
            <w:pPr>
              <w:spacing w:after="0"/>
              <w:rPr>
                <w:sz w:val="24"/>
                <w:szCs w:val="24"/>
                <w:color w:val="auto"/>
              </w:rPr>
            </w:pPr>
          </w:p>
        </w:tc>
        <w:tc>
          <w:tcPr>
            <w:tcW w:w="18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on Cash Flow Hedges</w:t>
            </w:r>
          </w:p>
        </w:tc>
        <w:tc>
          <w:tcPr>
            <w:tcW w:w="1860" w:type="dxa"/>
            <w:vAlign w:val="bottom"/>
            <w:gridSpan w:val="3"/>
          </w:tcPr>
          <w:p>
            <w:pPr>
              <w:jc w:val="right"/>
              <w:ind w:right="160"/>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Translation Adjustments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6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before tax</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16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loss, after tax</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(6,682)</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Taxes were not provided for foreign currency translation adjustments as translation adjustments are related to earnings that are intended to be reinvested in the countries where earned.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Stock-Based Incentive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Plans</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nine months ended September 30, 2024, LivaNova issued stock-based compensatory awards with terms approved by the Compensation and Human Capital Management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2026, relative to the total shareholder returns of the S&amp;P Healthcare Equipment Select Constituents index. The adjusted free cash flow and return on invested capital operating performance-based awards that were issued cliff vest after three years, subject to the achievement of certain thresholds of cumulative results for the three-year period ending December 31, 2026. Compensation expense related to awards granted during 2024 for the three and nine months ended September 30, 2024 was $3.4 million and $6.0 million, respectively.</w:t>
      </w:r>
    </w:p>
    <w:p>
      <w:pPr>
        <w:spacing w:after="0" w:line="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Stock-based awards may be granted under the 2015 Plan and the A&amp;R 2022 Plan in the form of stock options, SARs, RSUs, and other stock-based and cash-based awards. As of September 30, 2024, under the 2015 Plan, there were 90,081 shares available for future grants to LivaNova’s non-executive directors and under the A&amp;R 2022 Plan, there were 1,496,770 shares pursuant to stock options or SARs and 948,029 shares pursuant to other types of awards available for future grants to LivaNova’s employees. In June 2024, the Company’s shareholders approved amendments to the 2015 Plan and the A&amp;R 2022 Plan. The 2015 Plan Amendment increased the number of shares that can be issued from 50,000 to 150,000. The A&amp;R 2022 Plan Amendment increased the number of shares that can be issued pursuant to options or SARs from 2,250,000 to 2,950,000, and the number of shares that can be issued pursuant to other types of awards from 1,500,000 to 2,000,000.</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Stock-based incentive plan compensation expense is as follows (in thousands):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5260" w:type="dxa"/>
            <w:vAlign w:val="bottom"/>
          </w:tcPr>
          <w:p>
            <w:pPr>
              <w:spacing w:after="0"/>
              <w:rPr>
                <w:sz w:val="18"/>
                <w:szCs w:val="18"/>
                <w:color w:val="auto"/>
              </w:rPr>
            </w:pPr>
          </w:p>
        </w:tc>
        <w:tc>
          <w:tcPr>
            <w:tcW w:w="30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8"/>
                <w:szCs w:val="18"/>
                <w:color w:val="auto"/>
              </w:rPr>
            </w:pPr>
          </w:p>
        </w:tc>
        <w:tc>
          <w:tcPr>
            <w:tcW w:w="270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26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16,103</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10,713</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RSUs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RSUs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share purchase plan</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171"/>
        </w:trPr>
        <w:tc>
          <w:tcPr>
            <w:tcW w:w="5260" w:type="dxa"/>
            <w:vAlign w:val="bottom"/>
          </w:tcPr>
          <w:p>
            <w:pPr>
              <w:spacing w:after="0"/>
              <w:rPr>
                <w:sz w:val="14"/>
                <w:szCs w:val="14"/>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26,984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28,069</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Stock-based compensation agreements issued during the nine months ended September 30, 2024, representing potential shares and their weighted average grant date fair values by type, is as follows (shares in thousands, fair value in dollars):</w:t>
      </w:r>
    </w:p>
    <w:p>
      <w:pPr>
        <w:ind w:left="79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000" w:type="dxa"/>
            <w:vAlign w:val="bottom"/>
          </w:tcPr>
          <w:p>
            <w:pPr>
              <w:spacing w:after="0"/>
              <w:rPr>
                <w:sz w:val="11"/>
                <w:szCs w:val="11"/>
                <w:color w:val="auto"/>
              </w:rPr>
            </w:pPr>
          </w:p>
        </w:tc>
        <w:tc>
          <w:tcPr>
            <w:tcW w:w="1420" w:type="dxa"/>
            <w:vAlign w:val="bottom"/>
            <w:tcBorders>
              <w:top w:val="single" w:sz="8" w:color="auto"/>
            </w:tcBorders>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SARs</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729,482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0" w:type="dxa"/>
            <w:vAlign w:val="bottom"/>
          </w:tcPr>
          <w:p>
            <w:pPr>
              <w:spacing w:after="0"/>
              <w:rPr>
                <w:sz w:val="1"/>
                <w:szCs w:val="1"/>
                <w:color w:val="auto"/>
              </w:rPr>
            </w:pPr>
          </w:p>
        </w:tc>
      </w:tr>
      <w:tr>
        <w:trPr>
          <w:trHeight w:val="18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411,799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0" w:type="dxa"/>
            <w:vAlign w:val="bottom"/>
          </w:tcPr>
          <w:p>
            <w:pPr>
              <w:spacing w:after="0"/>
              <w:rPr>
                <w:sz w:val="1"/>
                <w:szCs w:val="1"/>
                <w:color w:val="auto"/>
              </w:rPr>
            </w:pPr>
          </w:p>
        </w:tc>
      </w:tr>
      <w:tr>
        <w:trPr>
          <w:trHeight w:val="18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RSUs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0" w:type="dxa"/>
            <w:vAlign w:val="bottom"/>
          </w:tcPr>
          <w:p>
            <w:pPr>
              <w:spacing w:after="0"/>
              <w:rPr>
                <w:sz w:val="1"/>
                <w:szCs w:val="1"/>
                <w:color w:val="auto"/>
              </w:rPr>
            </w:pPr>
          </w:p>
        </w:tc>
      </w:tr>
      <w:tr>
        <w:trPr>
          <w:trHeight w:val="18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performance-based RSUs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Income Taxes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PLC is a resident in the UK. LivaNova’s effective income tax rate fluctuates based on, among other factors, changes in pre-tax income in countries with varying statutory tax rates, valuation allowances, tax credits and incentives, and unrecognized tax benefits associated with uncertain tax positions.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effective income tax rate for the three and nine months ended September 30, 2024 was 25.9% and 76.9%, respectively, compared to (268.4)% and 90.1% for the three and nine months ended September 30, 2023, respectively. The change in the effective tax rate for both the three and nine months ended September 30, 2024, compared to the prior year periods, was primarily attributable to changes in valuation allowances, year-over-year changes in income before tax in countries with varying statutory tax rates, and certain discrete tax items.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July 11, 2023, the UK Act implemented the Pillar Two framework, providing a minimum effective tax rate of 15.0%, including both a multinational top-up tax and a domestic top-up tax for accounting periods beginning on or after December 31, 2023. The UK Act also included a transitional safe harbor election for accounting periods beginning on or before December 31, 2026. This minimum tax is treated as a period cost beginning in 2024 and has not had a material impact on the Company's consolidated results of operations for the current period. LivaNova will continue to monitor related guidance in the UK and other jurisdictions that impact LivaNova’s operations.</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Note 10. Earnings Per Share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basic and diluted earnings per share: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8"/>
                <w:szCs w:val="18"/>
                <w:color w:val="auto"/>
              </w:rPr>
            </w:pPr>
          </w:p>
        </w:tc>
        <w:tc>
          <w:tcPr>
            <w:tcW w:w="274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2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income (loss) per share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84"/>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(loss) per share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reconciliations of net income (loss) and weighted average shares outstanding used in the calculations of basic and diluted earnings per share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Numerator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52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 basic and diluted</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53,837</w:t>
            </w:r>
          </w:p>
        </w:tc>
        <w:tc>
          <w:tcPr>
            <w:tcW w:w="0" w:type="dxa"/>
            <w:vAlign w:val="bottom"/>
          </w:tcPr>
          <w:p>
            <w:pPr>
              <w:spacing w:after="0"/>
              <w:rPr>
                <w:sz w:val="1"/>
                <w:szCs w:val="1"/>
                <w:color w:val="auto"/>
              </w:rPr>
            </w:pPr>
          </w:p>
        </w:tc>
      </w:tr>
      <w:tr>
        <w:trPr>
          <w:trHeight w:val="180"/>
        </w:trPr>
        <w:tc>
          <w:tcPr>
            <w:tcW w:w="52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Add: Dilutive effect of share-based compensation and convertible debt instruments </w:t>
            </w:r>
            <w:r>
              <w:rPr>
                <w:rFonts w:ascii="Times New Roman" w:cs="Times New Roman" w:eastAsia="Times New Roman" w:hAnsi="Times New Roman"/>
                <w:sz w:val="18"/>
                <w:szCs w:val="18"/>
                <w:color w:val="auto"/>
                <w:vertAlign w:val="superscript"/>
              </w:rPr>
              <w:t>(1) (2)</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1"/>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9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54,585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53,989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54,526</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54,107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260"/>
        <w:spacing w:after="0" w:line="225" w:lineRule="auto"/>
        <w:tabs>
          <w:tab w:leader="none" w:pos="51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and nine months ended September 30, 2024, the 2029 Notes were outstanding and potentially dilutive securities, but were excluded from the computation of diluted earnings per share, because their effect would have been anti-dilutive.</w:t>
      </w:r>
    </w:p>
    <w:p>
      <w:pPr>
        <w:spacing w:after="0" w:line="1" w:lineRule="exact"/>
        <w:rPr>
          <w:rFonts w:ascii="Times New Roman" w:cs="Times New Roman" w:eastAsia="Times New Roman" w:hAnsi="Times New Roman"/>
          <w:sz w:val="17"/>
          <w:szCs w:val="17"/>
          <w:color w:val="auto"/>
          <w:vertAlign w:val="superscript"/>
        </w:rPr>
      </w:pPr>
    </w:p>
    <w:p>
      <w:pPr>
        <w:ind w:left="520" w:hanging="260"/>
        <w:spacing w:after="0" w:line="221" w:lineRule="auto"/>
        <w:tabs>
          <w:tab w:leader="none" w:pos="51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Excluded from the computation of diluted earnings per share were stock options, SARs, and RSUs totaling 3.1 million and 4.0 million for the three months ended September 30, 2024 and 2023, respectively, and 2.8 million and 3.1 million for the nine months ended September 30, 2024 and 2023, respectively, because to include them would have been anti-dilutive under the treasury stock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Geographic and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Information</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LivaNova identifies operating segments based on how it manages, evaluates, and internally reports its business activities to develop and execute its strategy, allocate resources, and assess performance. Prior to the first quarter of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will be discontinued by the end of 2024. For additional information, refer to “Note 2. Restructuring.”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Net revenue of the Company’s reportable segments includes revenues from the sale of products that each reportable segment develops and manufactures or distributes. The segment financial information presented herein reflects these changes for all periods presented.</w:t>
      </w:r>
    </w:p>
    <w:p>
      <w:pPr>
        <w:spacing w:after="0" w:line="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selling of cardiopulmonary products, including heart-lung machines, oxygenators, autotransfusion systems, perfusion tubing systems, cannulae, and other related accessories.</w:t>
      </w:r>
    </w:p>
    <w:p>
      <w:pPr>
        <w:spacing w:after="0" w:line="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selling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the Company’s former heart failure program, which the Company wound down during 2023.</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LivaNova operates under three geographic regions: U.S., Europe, and Rest of World. The following table presents net revenue by operating segment and geographic region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5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141,891</w:t>
            </w:r>
          </w:p>
        </w:tc>
        <w:tc>
          <w:tcPr>
            <w:tcW w:w="0" w:type="dxa"/>
            <w:vAlign w:val="bottom"/>
          </w:tcPr>
          <w:p>
            <w:pPr>
              <w:spacing w:after="0"/>
              <w:rPr>
                <w:sz w:val="1"/>
                <w:szCs w:val="1"/>
                <w:color w:val="auto"/>
              </w:rPr>
            </w:pPr>
          </w:p>
        </w:tc>
      </w:tr>
      <w:tr>
        <w:trPr>
          <w:trHeight w:val="180"/>
        </w:trPr>
        <w:tc>
          <w:tcPr>
            <w:tcW w:w="52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111,208</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203,503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185,713</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172,239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148,955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501,844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438,812</w:t>
            </w:r>
          </w:p>
        </w:tc>
        <w:tc>
          <w:tcPr>
            <w:tcW w:w="0" w:type="dxa"/>
            <w:vAlign w:val="bottom"/>
          </w:tcPr>
          <w:p>
            <w:pPr>
              <w:spacing w:after="0"/>
              <w:rPr>
                <w:sz w:val="1"/>
                <w:szCs w:val="1"/>
                <w:color w:val="auto"/>
              </w:rPr>
            </w:pPr>
          </w:p>
        </w:tc>
      </w:tr>
      <w:tr>
        <w:trPr>
          <w:trHeight w:val="16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301,029</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41,066</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45,172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40,689</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139,861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128,880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416,609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382,784</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21,817</w:t>
            </w:r>
          </w:p>
        </w:tc>
        <w:tc>
          <w:tcPr>
            <w:tcW w:w="0" w:type="dxa"/>
            <w:vAlign w:val="bottom"/>
          </w:tcPr>
          <w:p>
            <w:pPr>
              <w:spacing w:after="0"/>
              <w:rPr>
                <w:sz w:val="1"/>
                <w:szCs w:val="1"/>
                <w:color w:val="auto"/>
              </w:rPr>
            </w:pPr>
          </w:p>
        </w:tc>
      </w:tr>
      <w:tr>
        <w:trPr>
          <w:trHeight w:val="160"/>
        </w:trPr>
        <w:tc>
          <w:tcPr>
            <w:tcW w:w="52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Totals </w:t>
            </w:r>
            <w:r>
              <w:rPr>
                <w:rFonts w:ascii="Times New Roman" w:cs="Times New Roman" w:eastAsia="Times New Roman" w:hAnsi="Times New Roman"/>
                <w:sz w:val="18"/>
                <w:szCs w:val="18"/>
                <w:b w:val="1"/>
                <w:bCs w:val="1"/>
                <w:color w:val="auto"/>
                <w:vertAlign w:val="superscript"/>
              </w:rPr>
              <w:t>(3)</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179,828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461,823</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152,231</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85,477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76,401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253,208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229,359</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318,120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286,113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931,607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843,413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countries in Europe where the Company has a direct sales presence. Countries in Europe where sales are made through distributors are included in “Rest of World.”</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Revenue” includes revenue from the Company’s former ACS reportable segment, as discussed above, as well as rental and site services income not allocated to segments.</w:t>
      </w:r>
    </w:p>
    <w:p>
      <w:pPr>
        <w:spacing w:after="0" w:line="8"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single customer represented over 10% of the Company’s consolidated net revenue. No country’s net revenue exceeded 10% of the Company’s consolidated net revenue except for the U.S.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defines segment income as operating income before restructuring expense, amortization of intangible assets, merger and integration expense, and other income and expense not allocated to segments. Other income and expense not allocated to segments primarily includes corporate expense, rental income, and the results of LivaNova’s former ACS reportable segment, as discussed above. The following table presents a reconciliation of segment income to consolidated income (loss) before tax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26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19,794</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49,533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41,930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107,084</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126,878</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income/(expense)</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(35,584)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(35,280)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(107,386)</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19,492</w:t>
            </w:r>
          </w:p>
        </w:tc>
      </w:tr>
      <w:tr>
        <w:trPr>
          <w:trHeight w:val="180"/>
        </w:trPr>
        <w:tc>
          <w:tcPr>
            <w:tcW w:w="5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(43,232)</w:t>
            </w: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24,701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36,810</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tax</w:t>
            </w:r>
          </w:p>
        </w:tc>
        <w:tc>
          <w:tcPr>
            <w:tcW w:w="90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520" w:hanging="260"/>
        <w:spacing w:after="0" w:line="225" w:lineRule="auto"/>
        <w:tabs>
          <w:tab w:leader="none" w:pos="51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“Interest expense” includes contractual interest expense associated with LivaNova’s short and long-term financing arrangements and the amortization of debt discount and issuance costs of $5.5 million and $15.7 million for the three and nine months ended September 30, 2024, respectively, and $4.7 million and $14.2 million for the three and nine months ended September 30, 2023, respectively.</w:t>
      </w: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assets by reportable segment (in thousands):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966,769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964,735</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647,391</w:t>
            </w:r>
          </w:p>
        </w:tc>
      </w:tr>
      <w:tr>
        <w:trPr>
          <w:trHeight w:val="180"/>
        </w:trPr>
        <w:tc>
          <w:tcPr>
            <w:tcW w:w="7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919,917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817,437</w:t>
            </w:r>
          </w:p>
        </w:tc>
      </w:tr>
      <w:tr>
        <w:trPr>
          <w:trHeight w:val="171"/>
        </w:trPr>
        <w:tc>
          <w:tcPr>
            <w:tcW w:w="72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2,521,958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2,429,563</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assets” primarily includes corporate assets not allocated to segments and the assets of LivaNova’s former ACS reportable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capital expenditures by reportable segment (in thousands):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526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11,485</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r>
      <w:tr>
        <w:trPr>
          <w:trHeight w:val="180"/>
        </w:trPr>
        <w:tc>
          <w:tcPr>
            <w:tcW w:w="5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capital expenditures </w:t>
            </w:r>
            <w:r>
              <w:rPr>
                <w:rFonts w:ascii="Times New Roman" w:cs="Times New Roman" w:eastAsia="Times New Roman" w:hAnsi="Times New Roman"/>
                <w:sz w:val="18"/>
                <w:szCs w:val="18"/>
                <w:color w:val="auto"/>
                <w:vertAlign w:val="superscript"/>
              </w:rPr>
              <w:t>(1)</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9,514</w:t>
            </w:r>
          </w:p>
        </w:tc>
      </w:tr>
      <w:tr>
        <w:trPr>
          <w:trHeight w:val="171"/>
        </w:trPr>
        <w:tc>
          <w:tcPr>
            <w:tcW w:w="526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34,278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22,088</w:t>
            </w: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capital expenditures” primarily includes corporate capital expenditures not allocated to segments and capital expenditures of LivaNova’s former ACS reportable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changes in the carrying amount of goodwill by reportable segment for the nine months ended September 30, 2024 (in thousands):</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2"/>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6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460" w:type="dxa"/>
            <w:vAlign w:val="bottom"/>
          </w:tcPr>
          <w:p>
            <w:pPr>
              <w:spacing w:after="0"/>
              <w:rPr>
                <w:sz w:val="17"/>
                <w:szCs w:val="17"/>
                <w:color w:val="auto"/>
              </w:rPr>
            </w:pPr>
          </w:p>
        </w:tc>
        <w:tc>
          <w:tcPr>
            <w:tcW w:w="150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384,187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782,941</w:t>
            </w: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19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781,553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Geographic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property, plant, and equipment, net by geographic region (in thousands):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62,701</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85,606</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r>
      <w:tr>
        <w:trPr>
          <w:trHeight w:val="171"/>
        </w:trPr>
        <w:tc>
          <w:tcPr>
            <w:tcW w:w="72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169,317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154,181</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Supplemental Financial Information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inventories (in thousands):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81,878</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12,901</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53,108</w:t>
            </w:r>
          </w:p>
        </w:tc>
      </w:tr>
      <w:tr>
        <w:trPr>
          <w:trHeight w:val="171"/>
        </w:trPr>
        <w:tc>
          <w:tcPr>
            <w:tcW w:w="72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162,264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147,887</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2024 and December 31, 2023, inventories included adjustments totaling $21.1 million and $24.4 million, respectively, to record balances at lower of cost or net realizable value.</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accrued liabilities and other (in thousands):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2"/>
        </w:trPr>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professional costs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Italian MedTech payback measure</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8,223</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Royalty accrual</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liability</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24,446</w:t>
            </w: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As of September 30, 2024 and December 31, 2023, contract liabilities totaling $13.7 million and $15.3 million, respectively, were included in accrued liabilities and other long-term liabilities on the condensed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items included in foreign exchange and other income/(expense) on the condensed consolidated statements of income (loss)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1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Embedded derivative fair value adjustment (2025 Notes)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r>
      <w:tr>
        <w:trPr>
          <w:trHeight w:val="180"/>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Embedded derivative fair value adjustment (2029 Notes) </w:t>
            </w:r>
            <w:r>
              <w:rPr>
                <w:rFonts w:ascii="Times New Roman" w:cs="Times New Roman" w:eastAsia="Times New Roman" w:hAnsi="Times New Roman"/>
                <w:sz w:val="18"/>
                <w:szCs w:val="18"/>
                <w:color w:val="auto"/>
                <w:vertAlign w:val="superscript"/>
              </w:rPr>
              <w:t>(1)</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(2025 Notes)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(10,724)</w:t>
            </w:r>
          </w:p>
        </w:tc>
      </w:tr>
      <w:tr>
        <w:trPr>
          <w:trHeight w:val="180"/>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(2029 Notes) </w:t>
            </w:r>
            <w:r>
              <w:rPr>
                <w:rFonts w:ascii="Times New Roman" w:cs="Times New Roman" w:eastAsia="Times New Roman" w:hAnsi="Times New Roman"/>
                <w:sz w:val="18"/>
                <w:szCs w:val="18"/>
                <w:color w:val="auto"/>
                <w:vertAlign w:val="superscript"/>
              </w:rPr>
              <w:t>(1)</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Impairment of investment in ShiraTronics </w:t>
            </w:r>
            <w:r>
              <w:rPr>
                <w:rFonts w:ascii="Times New Roman" w:cs="Times New Roman" w:eastAsia="Times New Roman" w:hAnsi="Times New Roman"/>
                <w:sz w:val="18"/>
                <w:szCs w:val="18"/>
                <w:color w:val="auto"/>
                <w:vertAlign w:val="superscript"/>
              </w:rPr>
              <w:t>(2)</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rate fluctuations</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15,985</w:t>
            </w:r>
          </w:p>
        </w:tc>
      </w:tr>
      <w:tr>
        <w:trPr>
          <w:trHeight w:val="18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96"/>
        </w:trPr>
        <w:tc>
          <w:tcPr>
            <w:tcW w:w="5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24,701</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Refer to “Note 4. Fair Value Measurements.”</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Impairment of equity investment related to LivaNova’s preferred share ownership converting into common stock during the second quarter of 2024.</w:t>
      </w:r>
    </w:p>
    <w:p>
      <w:pPr>
        <w:spacing w:after="0" w:line="7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cash, cash equivalents, and restricted cash reported on the condensed consolidated balance sheets that sum to the total of the amounts shown on the condensed consolidated statements of cash flows (in thousands):</w:t>
      </w: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r>
      <w:tr>
        <w:trPr>
          <w:trHeight w:val="180"/>
        </w:trPr>
        <w:tc>
          <w:tcPr>
            <w:tcW w:w="72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320,210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311,368</w:t>
            </w: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666,576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520" w:hanging="260"/>
        <w:spacing w:after="0" w:line="239" w:lineRule="auto"/>
        <w:tabs>
          <w:tab w:leader="none" w:pos="51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which is presented as restricted cash on the condensed consolidated balance sheet. For additional information, refer to “Note 6. Commitments and Contingencies.”</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Note 13. New Accounting Pronouncements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description of future adoptions of new accounting standards that may have an impact on LivaNova’s consolidated financial statements when adopted: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Issue Date &amp; Standard</w:t>
            </w:r>
          </w:p>
        </w:tc>
        <w:tc>
          <w:tcPr>
            <w:tcW w:w="46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8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20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Assessment</w:t>
            </w:r>
          </w:p>
        </w:tc>
      </w:tr>
      <w:tr>
        <w:trPr>
          <w:trHeight w:val="129"/>
        </w:trPr>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November 2023</w:t>
            </w:r>
          </w:p>
        </w:tc>
        <w:tc>
          <w:tcPr>
            <w:tcW w:w="100" w:type="dxa"/>
            <w:vAlign w:val="bottom"/>
            <w:tcBorders>
              <w:top w:val="single" w:sz="8" w:color="CCEEFF"/>
            </w:tcBorders>
            <w:shd w:val="clear" w:color="auto" w:fill="CCEEFF"/>
          </w:tcPr>
          <w:p>
            <w:pPr>
              <w:spacing w:after="0"/>
              <w:rPr>
                <w:sz w:val="11"/>
                <w:szCs w:val="11"/>
                <w:color w:val="auto"/>
              </w:rPr>
            </w:pPr>
          </w:p>
        </w:tc>
        <w:tc>
          <w:tcPr>
            <w:tcW w:w="45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This ASU expands public entities’ reportable segment disclosures by requiring</w:t>
            </w:r>
          </w:p>
        </w:tc>
        <w:tc>
          <w:tcPr>
            <w:tcW w:w="1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This ASU will be effective for annual</w:t>
            </w: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LivaNova is currently evaluating</w:t>
            </w:r>
          </w:p>
        </w:tc>
      </w:tr>
      <w:tr>
        <w:trPr>
          <w:trHeight w:val="142"/>
        </w:trPr>
        <w:tc>
          <w:tcPr>
            <w:tcW w:w="19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 xml:space="preserve">ASU No. 2023-07, </w:t>
            </w:r>
            <w:r>
              <w:rPr>
                <w:rFonts w:ascii="Times New Roman" w:cs="Times New Roman" w:eastAsia="Times New Roman" w:hAnsi="Times New Roman"/>
                <w:sz w:val="14"/>
                <w:szCs w:val="14"/>
                <w:i w:val="1"/>
                <w:iCs w:val="1"/>
                <w:color w:val="auto"/>
              </w:rPr>
              <w:t>Segment</w:t>
            </w:r>
          </w:p>
        </w:tc>
        <w:tc>
          <w:tcPr>
            <w:tcW w:w="462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disclosure of significant segment expenses that are regularly provided to the</w:t>
            </w:r>
          </w:p>
        </w:tc>
        <w:tc>
          <w:tcPr>
            <w:tcW w:w="268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periods beginning after December 15, 2023</w:t>
            </w:r>
          </w:p>
        </w:tc>
        <w:tc>
          <w:tcPr>
            <w:tcW w:w="20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the effect this standard will have on</w:t>
            </w:r>
          </w:p>
        </w:tc>
      </w:tr>
      <w:tr>
        <w:trPr>
          <w:trHeight w:val="144"/>
        </w:trPr>
        <w:tc>
          <w:tcPr>
            <w:tcW w:w="19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i w:val="1"/>
                <w:iCs w:val="1"/>
                <w:color w:val="auto"/>
              </w:rPr>
              <w:t>Reporting (Topic 280):</w:t>
            </w:r>
          </w:p>
        </w:tc>
        <w:tc>
          <w:tcPr>
            <w:tcW w:w="462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CODM and included in each reported measure of segment profit or loss, the</w:t>
            </w:r>
          </w:p>
        </w:tc>
        <w:tc>
          <w:tcPr>
            <w:tcW w:w="268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and interim periods within fiscal years</w:t>
            </w:r>
          </w:p>
        </w:tc>
        <w:tc>
          <w:tcPr>
            <w:tcW w:w="20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its consolidated financial</w:t>
            </w:r>
          </w:p>
        </w:tc>
      </w:tr>
      <w:tr>
        <w:trPr>
          <w:trHeight w:val="138"/>
        </w:trPr>
        <w:tc>
          <w:tcPr>
            <w:tcW w:w="19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i w:val="1"/>
                <w:iCs w:val="1"/>
                <w:color w:val="auto"/>
              </w:rPr>
              <w:t>Improvements to Reportable</w:t>
            </w:r>
          </w:p>
        </w:tc>
        <w:tc>
          <w:tcPr>
            <w:tcW w:w="46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amount and description of other segment items, and the title and position of the</w:t>
            </w:r>
          </w:p>
        </w:tc>
        <w:tc>
          <w:tcPr>
            <w:tcW w:w="268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beginning after December 15, 2024, on a</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statements and related disclosures.</w:t>
            </w:r>
          </w:p>
        </w:tc>
      </w:tr>
      <w:tr>
        <w:trPr>
          <w:trHeight w:val="144"/>
        </w:trPr>
        <w:tc>
          <w:tcPr>
            <w:tcW w:w="19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i w:val="1"/>
                <w:iCs w:val="1"/>
                <w:color w:val="auto"/>
              </w:rPr>
              <w:t>Segment Disclosures</w:t>
            </w:r>
          </w:p>
        </w:tc>
        <w:tc>
          <w:tcPr>
            <w:tcW w:w="46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Company’s CODM, as well as an explanation of how the CODM uses the</w:t>
            </w:r>
          </w:p>
        </w:tc>
        <w:tc>
          <w:tcPr>
            <w:tcW w:w="26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retrospective basis.</w:t>
            </w:r>
          </w:p>
        </w:tc>
        <w:tc>
          <w:tcPr>
            <w:tcW w:w="2040" w:type="dxa"/>
            <w:vAlign w:val="bottom"/>
            <w:shd w:val="clear" w:color="auto" w:fill="CCEEFF"/>
          </w:tcPr>
          <w:p>
            <w:pPr>
              <w:spacing w:after="0"/>
              <w:rPr>
                <w:sz w:val="12"/>
                <w:szCs w:val="12"/>
                <w:color w:val="auto"/>
              </w:rPr>
            </w:pPr>
          </w:p>
        </w:tc>
      </w:tr>
      <w:tr>
        <w:trPr>
          <w:trHeight w:val="142"/>
        </w:trPr>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Company’s reported measures of segment profit or loss in assessing segment</w:t>
            </w: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r>
      <w:tr>
        <w:trPr>
          <w:trHeight w:val="180"/>
        </w:trPr>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and deciding how to allocate resources.</w:t>
            </w:r>
          </w:p>
        </w:tc>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80"/>
          </w:cols>
          <w:pgMar w:left="300" w:top="819" w:right="319" w:bottom="1440" w:gutter="0" w:footer="0" w:header="0"/>
        </w:sectPr>
      </w:pPr>
    </w:p>
    <w:p>
      <w:pPr>
        <w:ind w:left="20"/>
        <w:spacing w:after="0" w:line="223" w:lineRule="auto"/>
        <w:tabs>
          <w:tab w:leader="none" w:pos="1940" w:val="left"/>
        </w:tabs>
        <w:rPr>
          <w:sz w:val="20"/>
          <w:szCs w:val="20"/>
          <w:color w:val="auto"/>
        </w:rPr>
      </w:pPr>
      <w:r>
        <w:rPr>
          <w:rFonts w:ascii="Times New Roman" w:cs="Times New Roman" w:eastAsia="Times New Roman" w:hAnsi="Times New Roman"/>
          <w:sz w:val="14"/>
          <w:szCs w:val="14"/>
          <w:color w:val="auto"/>
        </w:rPr>
        <w:t>December 2023 ASU No.</w:t>
      </w:r>
      <w:r>
        <w:rPr>
          <w:sz w:val="20"/>
          <w:szCs w:val="20"/>
          <w:color w:val="auto"/>
        </w:rPr>
        <w:tab/>
      </w:r>
      <w:r>
        <w:rPr>
          <w:rFonts w:ascii="Times New Roman" w:cs="Times New Roman" w:eastAsia="Times New Roman" w:hAnsi="Times New Roman"/>
          <w:sz w:val="14"/>
          <w:szCs w:val="14"/>
          <w:color w:val="auto"/>
        </w:rPr>
        <w:t>This ASU expands annual income tax disclosures primarily related to the rate</w:t>
      </w:r>
    </w:p>
    <w:p>
      <w:pPr>
        <w:ind w:left="20"/>
        <w:spacing w:after="0" w:line="221" w:lineRule="auto"/>
        <w:tabs>
          <w:tab w:leader="none" w:pos="1940" w:val="left"/>
        </w:tabs>
        <w:rPr>
          <w:sz w:val="20"/>
          <w:szCs w:val="20"/>
          <w:color w:val="auto"/>
        </w:rPr>
      </w:pPr>
      <w:r>
        <w:rPr>
          <w:rFonts w:ascii="Times New Roman" w:cs="Times New Roman" w:eastAsia="Times New Roman" w:hAnsi="Times New Roman"/>
          <w:sz w:val="14"/>
          <w:szCs w:val="14"/>
          <w:color w:val="auto"/>
        </w:rPr>
        <w:t xml:space="preserve">2023-09, </w:t>
      </w:r>
      <w:r>
        <w:rPr>
          <w:rFonts w:ascii="Times New Roman" w:cs="Times New Roman" w:eastAsia="Times New Roman" w:hAnsi="Times New Roman"/>
          <w:sz w:val="14"/>
          <w:szCs w:val="14"/>
          <w:i w:val="1"/>
          <w:iCs w:val="1"/>
          <w:color w:val="auto"/>
        </w:rPr>
        <w:t>Income Taxes (Topic</w:t>
      </w:r>
      <w:r>
        <w:rPr>
          <w:sz w:val="20"/>
          <w:szCs w:val="20"/>
          <w:color w:val="auto"/>
        </w:rPr>
        <w:tab/>
      </w:r>
      <w:r>
        <w:rPr>
          <w:rFonts w:ascii="Times New Roman" w:cs="Times New Roman" w:eastAsia="Times New Roman" w:hAnsi="Times New Roman"/>
          <w:sz w:val="14"/>
          <w:szCs w:val="14"/>
          <w:color w:val="auto"/>
        </w:rPr>
        <w:t>reconciliation and income taxes paid.</w:t>
      </w:r>
    </w:p>
    <w:p>
      <w:pPr>
        <w:ind w:left="20"/>
        <w:spacing w:after="0" w:line="206" w:lineRule="auto"/>
        <w:rPr>
          <w:sz w:val="20"/>
          <w:szCs w:val="20"/>
          <w:color w:val="auto"/>
        </w:rPr>
      </w:pPr>
      <w:r>
        <w:rPr>
          <w:rFonts w:ascii="Times New Roman" w:cs="Times New Roman" w:eastAsia="Times New Roman" w:hAnsi="Times New Roman"/>
          <w:sz w:val="14"/>
          <w:szCs w:val="14"/>
          <w:i w:val="1"/>
          <w:iCs w:val="1"/>
          <w:color w:val="auto"/>
        </w:rPr>
        <w:t>740): Improvements to Income</w:t>
      </w:r>
    </w:p>
    <w:p>
      <w:pPr>
        <w:ind w:left="20"/>
        <w:spacing w:after="0"/>
        <w:rPr>
          <w:sz w:val="20"/>
          <w:szCs w:val="20"/>
          <w:color w:val="auto"/>
        </w:rPr>
      </w:pPr>
      <w:r>
        <w:rPr>
          <w:rFonts w:ascii="Times New Roman" w:cs="Times New Roman" w:eastAsia="Times New Roman" w:hAnsi="Times New Roman"/>
          <w:sz w:val="14"/>
          <w:szCs w:val="14"/>
          <w:i w:val="1"/>
          <w:iCs w:val="1"/>
          <w:color w:val="auto"/>
        </w:rPr>
        <w:t>Tax Disclosures</w:t>
      </w:r>
    </w:p>
    <w:p>
      <w:pPr>
        <w:spacing w:after="0" w:line="20" w:lineRule="exact"/>
        <w:rPr>
          <w:sz w:val="20"/>
          <w:szCs w:val="20"/>
          <w:color w:val="auto"/>
        </w:rPr>
      </w:pPr>
      <w:r>
        <w:rPr>
          <w:sz w:val="20"/>
          <w:szCs w:val="20"/>
          <w:color w:val="auto"/>
        </w:rPr>
        <w:br w:type="column"/>
      </w:r>
    </w:p>
    <w:p>
      <w:pPr>
        <w:spacing w:after="0" w:line="223" w:lineRule="auto"/>
        <w:tabs>
          <w:tab w:leader="none" w:pos="2640" w:val="left"/>
        </w:tabs>
        <w:rPr>
          <w:sz w:val="20"/>
          <w:szCs w:val="20"/>
          <w:color w:val="auto"/>
        </w:rPr>
      </w:pPr>
      <w:r>
        <w:rPr>
          <w:rFonts w:ascii="Times New Roman" w:cs="Times New Roman" w:eastAsia="Times New Roman" w:hAnsi="Times New Roman"/>
          <w:sz w:val="14"/>
          <w:szCs w:val="14"/>
          <w:color w:val="auto"/>
        </w:rPr>
        <w:t>This ASU will be effective for annual</w:t>
      </w:r>
      <w:r>
        <w:rPr>
          <w:sz w:val="20"/>
          <w:szCs w:val="20"/>
          <w:color w:val="auto"/>
        </w:rPr>
        <w:tab/>
      </w:r>
      <w:r>
        <w:rPr>
          <w:rFonts w:ascii="Times New Roman" w:cs="Times New Roman" w:eastAsia="Times New Roman" w:hAnsi="Times New Roman"/>
          <w:sz w:val="14"/>
          <w:szCs w:val="14"/>
          <w:color w:val="auto"/>
        </w:rPr>
        <w:t>LivaNova is currently evaluating</w:t>
      </w:r>
    </w:p>
    <w:p>
      <w:pPr>
        <w:ind w:right="20"/>
        <w:spacing w:after="0" w:line="213" w:lineRule="auto"/>
        <w:rPr>
          <w:sz w:val="20"/>
          <w:szCs w:val="20"/>
          <w:color w:val="auto"/>
        </w:rPr>
      </w:pPr>
      <w:r>
        <w:rPr>
          <w:rFonts w:ascii="Times New Roman" w:cs="Times New Roman" w:eastAsia="Times New Roman" w:hAnsi="Times New Roman"/>
          <w:sz w:val="14"/>
          <w:szCs w:val="14"/>
          <w:color w:val="auto"/>
        </w:rPr>
        <w:t>periods beginning after December 15, 2024, the effect this standard will have on on a prospective basis, with early adoption its consolidated financial</w:t>
      </w:r>
    </w:p>
    <w:p>
      <w:pPr>
        <w:spacing w:after="0" w:line="1"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4"/>
          <w:szCs w:val="14"/>
          <w:color w:val="auto"/>
        </w:rPr>
        <w:t>and retrospective application permitted.</w:t>
      </w:r>
      <w:r>
        <w:rPr>
          <w:sz w:val="20"/>
          <w:szCs w:val="20"/>
          <w:color w:val="auto"/>
        </w:rPr>
        <w:tab/>
      </w:r>
      <w:r>
        <w:rPr>
          <w:rFonts w:ascii="Times New Roman" w:cs="Times New Roman" w:eastAsia="Times New Roman" w:hAnsi="Times New Roman"/>
          <w:sz w:val="14"/>
          <w:szCs w:val="14"/>
          <w:color w:val="auto"/>
        </w:rPr>
        <w:t>statements and related disclosures.</w:t>
      </w:r>
    </w:p>
    <w:p>
      <w:pPr>
        <w:spacing w:after="0" w:line="200" w:lineRule="exact"/>
        <w:rPr>
          <w:sz w:val="20"/>
          <w:szCs w:val="20"/>
          <w:color w:val="auto"/>
        </w:rPr>
      </w:pPr>
    </w:p>
    <w:p>
      <w:pPr>
        <w:sectPr>
          <w:pgSz w:w="11900" w:h="16838" w:orient="portrait"/>
          <w:cols w:equalWidth="0" w:num="2">
            <w:col w:w="6340" w:space="240"/>
            <w:col w:w="4700"/>
          </w:cols>
          <w:pgMar w:left="300" w:top="819" w:right="319" w:bottom="1440" w:gutter="0" w:footer="0" w:header="0"/>
          <w:type w:val="continuous"/>
        </w:sectPr>
      </w:pP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condensed consolidated financial statements and related notes, which appear elsewhere in this Report, and with LivaNova’s 2023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2023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have been defined in the “Definitions” section and in the notes to LivaNova’s condensed consolidated financial statements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Environment</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current macroeconomic environment, including inflationary pressures, geopolitical instability, and supply chain challenges, has impacted and may continue to impact LivaNova’s business and profitability.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Incident</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quickly implemented remediation measures to mitigate the impact of the incident. The Company also assessed the nature and scope of the affected data, analyzed its legal notification obligations, and notified affected individuals and regulators as required by applicable law. The Company believes the incident is contained and mitigation efforts are complete.</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Through September 30, 2024, LivaNova incurred direct costs totaling $10.8 million in connection with this cybersecurity incident, including $2.5 million and $8.2 million during the three and nine months ended September 30, 2024, respectively. These costs primarily include external cybersecurity expert and legal fees, system restoration costs, and a $1.2 million provision related to the class action settlement, as discussed in “Note 6. Commitments and Contingencies” in the condensed consolidated financial statements in this Report, and do not include business interruption losses. The Company expects to incur additional costs related to this incident in the future. LivaNova maintains insurance, including cyber insurance, which is subject to certain retentions and policy limitations that will likely limit the amount that the insurers may pay the Company. LivaNova has filed claims for insurance reimbursement of covered costs and business interruption losses related to this incident and has submitted additional claims and supplemental requests for reimbursement as new costs have been incurred. LivaNova has not yet received reimbursement or recognized a receivable. The Company’s insurance coverage will likely be insufficient to cover all costs and expenses related to this cybersecurity incident or may be unavailable to cover all costs and expenses related to this cybersecurity incident.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Prior to the first quarter of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will be discontinued by the end of 2024. For additional information, refer to “Note 2. Restructuring” in the condensed consolidated financial statements in this Report. This restructuring, along with changes in how the Company’s CODM regularly reviews information, allocates resources, and assesses performance, resulted in modifications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jc w:val="both"/>
        <w:spacing w:after="0" w:line="275" w:lineRule="auto"/>
        <w:rPr>
          <w:sz w:val="20"/>
          <w:szCs w:val="20"/>
          <w:color w:val="auto"/>
        </w:rPr>
      </w:pPr>
      <w:r>
        <w:rPr>
          <w:rFonts w:ascii="Times New Roman" w:cs="Times New Roman" w:eastAsia="Times New Roman" w:hAnsi="Times New Roman"/>
          <w:sz w:val="14"/>
          <w:szCs w:val="14"/>
          <w:color w:val="auto"/>
        </w:rPr>
        <w:t>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The segment financial information presented herein reflects these changes for all periods presented. For additional information regarding LivaNova’s reportable segments, historical financial information, and its methodology for the presentation of financial results, refer to the condensed consolidated financial statements and accompanying notes of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Cardiopulmonary segment is engaged in the design, development, manufacture, marketing, and selling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 making during cardiopulmonary bypass procedures.</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Information on the Cardiopulmonary segment that could potentially impact LivaNova’s condensed consolidated financial statements and related disclosures is incorporated by reference to Part I. “Note 6. Commitments and Contingencies: Product Liability Litigation.”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LivaNova’s Neuromodulation segment is engaged in the design, development, manufacture, marketing, and selling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equipment and instruction manuals enabling a treating physician to set parameters for a patient’s pulse generator; and for epilepsy, magnets to manually suspend or induce nerve stimulation. The lead does not need to be removed to replace a generator with a depleted battery.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Obstructive Sleep Apnea</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 LivaNova’s OSPREY clinical trial seeks to confirm the safety and effectiveness of the aura6000 System.</w:t>
      </w:r>
    </w:p>
    <w:p>
      <w:pPr>
        <w:spacing w:after="0" w:line="4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March 2024, the Company announced that the OSPREY clinical study had achieved a positive predictive outcome, and as a result, enrollment concluded early. This development signified that there is a greater than 97.5% probability that the OSPREY trial will successfully meet its primary endpoint.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Depression</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Neuromodulation segment also includes the VNS Therapy System for the adjunctive treatment of chronic or recurrent depression for patients 18 years or older who are experiencing a major depressive episode and have not had an adequate response to four or more antidepressant treatments. LivaNova initiated the RECOVER clinical study, a CMS-approved, double-blind, randomized, placebo-controlled trial, in connection with its request that CMS reconsider its previous non-coverage determination.</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June 2024, the Company announced the preliminary results for the unipolar patient cohort of the RECOVER clinical study, assessing the use of VNS Therapy in treatment-resistant depression. The study did not meet its primary endpoint for the unipolar cohort; however, statistical significance was achieved in select secondary endpoints. The Company expects to publish two manuscripts on the unipolar cohort data, including details on the primary endpoint and secondary endpoints, in peer-reviewed journals in the fourth quarter of 2024. The Company intends to continue pursuing coverage for VNS Therapy while reducing investment in the DTD program in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Heart Failure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LivaNova’s Neuromodulation segment also includes costs associated with the Company’s former heart failure program, which the Company wound down during 2023.</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87"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For a discussion of LivaNova’s critical accounting estimates, see “Management’s Discussion and Analysis of Financial Condition and Results of Operations” included in the 2023 Form 10-K. During the nine months ended September 30, 2024, there were no material changes to the application of critical accounting policies and estimates previously disclosed in LivaNova’s 2023 Form 10-K.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LivaNova’s condensed consolidated results of operations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1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18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931,607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843,413</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92,856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280,088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262,330</w:t>
            </w:r>
          </w:p>
        </w:tc>
      </w:tr>
      <w:tr>
        <w:trPr>
          <w:trHeight w:val="171"/>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651,519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581,083</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384,795</w:t>
            </w:r>
          </w:p>
        </w:tc>
      </w:tr>
      <w:tr>
        <w:trPr>
          <w:trHeight w:val="18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147,651</w:t>
            </w:r>
          </w:p>
        </w:tc>
      </w:tr>
      <w:tr>
        <w:trPr>
          <w:trHeight w:val="180"/>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29,145</w:t>
            </w:r>
          </w:p>
        </w:tc>
      </w:tr>
      <w:tr>
        <w:trPr>
          <w:trHeight w:val="171"/>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19,492</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(43,232)</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9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36,810</w:t>
            </w:r>
          </w:p>
        </w:tc>
      </w:tr>
      <w:tr>
        <w:trPr>
          <w:trHeight w:val="171"/>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before tax</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13,070</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11,776</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investments</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5180" w:type="dxa"/>
            <w:vAlign w:val="bottom"/>
          </w:tcPr>
          <w:p>
            <w:pPr>
              <w:spacing w:after="0"/>
              <w:rPr>
                <w:sz w:val="24"/>
                <w:szCs w:val="24"/>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51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Net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 presents net revenue by operating segment and geographic region (in thousands, except for percentages):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8"/>
                <w:szCs w:val="18"/>
                <w:color w:val="auto"/>
              </w:rPr>
            </w:pPr>
          </w:p>
        </w:tc>
        <w:tc>
          <w:tcPr>
            <w:tcW w:w="3560" w:type="dxa"/>
            <w:vAlign w:val="bottom"/>
            <w:gridSpan w:val="6"/>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141,891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203,503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185,713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172,239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148,955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501,844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438,812</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6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45,172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40,689</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139,861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128,880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416,609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382,784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Other Revenue </w:t>
            </w:r>
            <w:r>
              <w:rPr>
                <w:rFonts w:ascii="Times New Roman" w:cs="Times New Roman" w:eastAsia="Times New Roman" w:hAnsi="Times New Roman"/>
                <w:sz w:val="18"/>
                <w:szCs w:val="18"/>
                <w:b w:val="1"/>
                <w:bCs w:val="1"/>
                <w:color w:val="auto"/>
                <w:vertAlign w:val="superscript"/>
              </w:rPr>
              <w:t>(2)</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21,817</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6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519,985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152,231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85,477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76,401</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253,208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229,359</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286,113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931,607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843,413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countries in Europe where the Company has a direct sales presence. Countries in Europe where sales are made through distributors are included in “Rest of World.”</w:t>
      </w:r>
    </w:p>
    <w:p>
      <w:pPr>
        <w:spacing w:after="0" w:line="7" w:lineRule="exact"/>
        <w:rPr>
          <w:rFonts w:ascii="Times New Roman" w:cs="Times New Roman" w:eastAsia="Times New Roman" w:hAnsi="Times New Roman"/>
          <w:sz w:val="17"/>
          <w:szCs w:val="17"/>
          <w:color w:val="auto"/>
          <w:vertAlign w:val="superscript"/>
        </w:rPr>
      </w:pPr>
    </w:p>
    <w:p>
      <w:pPr>
        <w:ind w:left="500" w:hanging="240"/>
        <w:spacing w:after="0" w:line="185" w:lineRule="auto"/>
        <w:tabs>
          <w:tab w:leader="none" w:pos="50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Revenue” includes revenue from the Company’s former ACS reportable segment, as discussed above, as well as rental and site services income not allocated to segments.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presents segment income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 thousands, except for percentages):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80" w:type="dxa"/>
            <w:vAlign w:val="bottom"/>
            <w:tcBorders>
              <w:bottom w:val="single" w:sz="8" w:color="auto"/>
            </w:tcBorders>
          </w:tcPr>
          <w:p>
            <w:pPr>
              <w:spacing w:after="0"/>
              <w:rPr>
                <w:sz w:val="14"/>
                <w:szCs w:val="14"/>
                <w:color w:val="auto"/>
              </w:rPr>
            </w:pPr>
          </w:p>
        </w:tc>
      </w:tr>
      <w:tr>
        <w:trPr>
          <w:trHeight w:val="171"/>
        </w:trPr>
        <w:tc>
          <w:tcPr>
            <w:tcW w:w="25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(2,192)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182.9 %</w:t>
            </w:r>
          </w:p>
        </w:tc>
      </w:tr>
      <w:tr>
        <w:trPr>
          <w:trHeight w:val="18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49,533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41,930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151,023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107,084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41.0 %</w:t>
            </w:r>
          </w:p>
        </w:tc>
      </w:tr>
      <w:tr>
        <w:trPr>
          <w:trHeight w:val="196"/>
        </w:trPr>
        <w:tc>
          <w:tcPr>
            <w:tcW w:w="2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39,738</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79.2 %</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207,030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126,878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63.2 %</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260" w:right="360"/>
        <w:spacing w:after="0" w:line="341" w:lineRule="auto"/>
        <w:tabs>
          <w:tab w:leader="none" w:pos="505"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a reconciliation of segment income to consolidated income (loss) before tax, refer to “Note 11. Geographic and Segment Information” in the condensed consolidated financial statements in this Report. NM - Indicates that variance as a percentage is not meaningful.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Cardiopulmonary net revenue for the three and nine months ended September 30, 2024 increased 15.6% to $172.2 million and 14.4% to $501.8 million, respectively, compared to the three and nine months ended September 30, 2023, with growth across all regions, driven by Essenz Perfusion System sales and strong consumables demand.</w:t>
      </w:r>
    </w:p>
    <w:p>
      <w:pPr>
        <w:spacing w:after="0" w:line="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Cardiopulmonary segment income for the three and nine months ended September 30, 2024 was $21.7 million and $56.0 million, respectively, compared to segment loss of $2.2 million and segment income of $19.8 million for the three and nine months ended September 30, 2023, respectively. These increases in segment income were primarily due to increases in net revenue, as described above, as well as decreases in the litigation provision related to LivaNova’s 3T Heater-Cooler device of $5.9 million and $8.9 million, for the three- and nine-month comparative periods,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Neuromodulation net revenue for the three and nine months ended September 30, 2024 increased 8.5% to $139.9 million and 8.8% to $416.6 million, respectively, compared to the three and nine months ended September 30, 2023, with growth in the U.S. and Rest of World regions, partially offset by a decline in Europe.</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6" w:right="319" w:bottom="1440" w:gutter="0" w:footer="0" w:header="0"/>
        </w:sectPr>
      </w:pPr>
    </w:p>
    <w:bookmarkStart w:id="34" w:name="page35"/>
    <w:bookmarkEnd w:id="34"/>
    <w:p>
      <w:pPr>
        <w:jc w:val="both"/>
        <w:spacing w:after="0" w:line="269" w:lineRule="auto"/>
        <w:rPr>
          <w:sz w:val="20"/>
          <w:szCs w:val="20"/>
          <w:color w:val="auto"/>
        </w:rPr>
      </w:pPr>
      <w:r>
        <w:rPr>
          <w:rFonts w:ascii="Times New Roman" w:cs="Times New Roman" w:eastAsia="Times New Roman" w:hAnsi="Times New Roman"/>
          <w:sz w:val="14"/>
          <w:szCs w:val="14"/>
          <w:color w:val="auto"/>
        </w:rPr>
        <w:t>Neuromodulation segment income for the three and nine months ended September 30, 2024 was $49.5 million and $151.0 million, respectively, compared to $41.9 million and $107.1 million for the three and nine months ended September 30, 2023, respectively. These increases in segment income were primarily due to increases in net revenue, as described above. Segment income for the nine-month comparative period also increased due to a net decrease in R&amp;D expenses, primarily associated with the winding down of the Company’s heart failure program of $21.7 million, partially offset by an increase in R&amp;D expenses associated with the Company’s DTD program of $6.5 million. For the three-month comparative period, the increase in segment income was partially offset by a net increase in R&amp;D expenses, primarily associated with the Company’s DTD program of $6.0 million, partially offset by a decrease in R&amp;D expenses associated with the winding down of the Company’s heart failure program of $4.9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 and Expenses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costs and expenses as a percentage of net revenue: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Borders>
              <w:bottom w:val="single" w:sz="8" w:color="auto"/>
            </w:tcBorders>
          </w:tcPr>
          <w:p>
            <w:pPr>
              <w:spacing w:after="0"/>
              <w:rPr>
                <w:sz w:val="16"/>
                <w:szCs w:val="16"/>
                <w:color w:val="auto"/>
              </w:rPr>
            </w:pPr>
          </w:p>
        </w:tc>
      </w:tr>
      <w:tr>
        <w:trPr>
          <w:trHeight w:val="171"/>
        </w:trPr>
        <w:tc>
          <w:tcPr>
            <w:tcW w:w="33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sales consists primarily of direct labor, allocated manufacturing overhead, and the acquisition of raw materials and components.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Cost of sales as a percentage of net revenue was 29.2% and 30.1% for the three and nine months ended September 30, 2024, respectively, down 0.3 and 1.0 percentage points compared to the three and nine months ended September 30, 2023, respectively. For the nine-month comparative period, cost of sales as a percentage of net revenue decreased primarily due to a decrease in amortization resulting from the impairment of the ACS segment’s developed technology intangible asset in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are comprised of sales, marketing, general, and administrative activities.</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SG&amp;A expense as a percentage of net revenue was 41.4% and 41.9% for the three and nine months ended September 30, 2024, respectively, down 5.7 and 3.7 percentage points compared to the three and nine months ended September 30, 2023, respectively. These decreases were primarily due to a decrease in sales and marketing expenses driven by the winding down of the ACS segment, as described above, as well as an increase in net revenue, partially offset by $2.5 million and $8.2 million in costs during the three and nine months ended September 30, 2024, respectively, associated with the November 2023 cybersecurity incident, as described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R&amp;D expenses consist of product design and development efforts, clinical study programs, and regulatory activities.</w:t>
      </w:r>
    </w:p>
    <w:p>
      <w:pPr>
        <w:spacing w:after="0" w:line="1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R&amp;D expense as a percentage of net revenue was 15.3% and 14.9% for the three and nine months ended September 30, 2024, respectively, down 1.0 and 2.6 percentage points compared to both the three and nine months ended September 30, 2023, respectively. These decreases were primarily due to R&amp;D expense declines of $4.9 million and $21.7 million for the three- and nine-month comparative periods, respectively, associated with winding down the Company’s heart failure program, which was completed during the fourth quarter of 2023, and R&amp;D expense declines of $1.7 million and $4.4 million for the three- and nine-month comparative periods, respectively, associated with winding down the Company’s ACS segment, as described above. These decreases were partially offset by increases of $6.0 million and $6.5 million for the three- and nine-month comparative periods, respectively, associated with the Company’s DTD program.</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expenses primarily consists of the litigation provision related to LivaNova’s 3T Heater-Cooler device as well as restructuring expense.</w:t>
      </w:r>
    </w:p>
    <w:p>
      <w:pPr>
        <w:spacing w:after="0" w:line="9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Other operating expenses as a percentage of net revenue was 2.9% and 3.2% for the three and nine months ended September 30, 2024, respectively, decreases of 2.7 and 0.3 percentage points compared to the three and nine months ended September 30, 2023, respectively. The decreases were primarily due to declines of $5.9 million and $8.9 million in the amount recorded for the</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jc w:val="both"/>
        <w:spacing w:after="0" w:line="275" w:lineRule="auto"/>
        <w:rPr>
          <w:sz w:val="20"/>
          <w:szCs w:val="20"/>
          <w:color w:val="auto"/>
        </w:rPr>
      </w:pPr>
      <w:r>
        <w:rPr>
          <w:rFonts w:ascii="Times New Roman" w:cs="Times New Roman" w:eastAsia="Times New Roman" w:hAnsi="Times New Roman"/>
          <w:sz w:val="14"/>
          <w:szCs w:val="14"/>
          <w:color w:val="auto"/>
        </w:rPr>
        <w:t>litigation provision related to LivaNova’s 3T Heater-Cooler device for the three- and nine-month comparative periods, respectively, and a decrease in the Saluggia decommissioning provision of $2.3 million recorded during the three and nine months ended September 30, 2023. These decreases were partially offset by increases in restructuring expense of $1.4 million and $11.8 million for the three- and nine-month comparative periods, respectively, resulting from the 2024 Restructuring Plan. For additional information, refer to “Note 2. Restructuring” and “Note 6. Commitments and Contingencies” in the condensed consolidated financial statements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Interest expense increased to $15.9 million and $47.3 million for the three and nine months ended September 30, 2024, respectively, compared to $15.0 million and $43.2 million for the three and nine months ended September 30, 2023, respectively, primarily due to increases in average borrowings and the amortization of debt issuance costs. Additionally, interest expense for the nine-month comparative period increased due to an increase in interest rates. For additional information, refer to “Note 5. Financing Arrangements” in the condensed consolidated financial statements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Debt Extinguishment</w:t>
      </w:r>
    </w:p>
    <w:p>
      <w:pPr>
        <w:spacing w:after="0" w:line="8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In connection with the 2025 Notes Repurchase Transaction, during the nine months ended September 30, 2024, LivaNova incurred a loss on debt extinguishment of $25.5 million. For additional information, refer to “Note 5. Financing Arrangements” in the condensed consolidated financial statements in this Report.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an impairment of LivaNova’s investment in ShiraTronics.</w:t>
      </w:r>
    </w:p>
    <w:p>
      <w:pPr>
        <w:spacing w:after="0" w:line="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Foreign exchange and other income/(expense) was income of $24.7 million and $12.6 million for the three and nine months ended September 30, 2024, respectively, compared to income of $8.6 million and $36.8 million for the three and nine months ended September 30, 2023, respectively. For additional information, refer to “Note 12. Supplemental Financial Information” in the condensed consolidated financial statements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LivaNova PLC is a resident in the UK. LivaNova’s effective income tax rate fluctuates based on, among other factors, changes in pre-tax income in countries with varying statutory tax rates, valuation allowances, tax credits and incentives, and unrecognized tax benefits associated with uncertain tax positions.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LivaNova’s effective income tax rate for the three and nine months ended September 30, 2024 was 25.9% and 76.9%, respectively, compared to (268.4)% and 90.1% for the three and nine months ended September 30, 2023, respectively. The change in the effective tax rate for both the three and nine months ended September 30, 2024, compared to the prior year periods, was primarily attributable to changes in valuation allowances, year-over-year changes in income before tax in countries with varying statutory tax rates, and certain discrete tax items.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July 11, 2023, the UK Act implemented the Pillar Two framework, providing a minimum effective tax rate of 15.0%, including both a multinational top-up tax and a domestic top-up tax for accounting periods beginning on or after December 31, 2023. The UK Act also included a transitional safe harbor election for accounting periods beginning on or before December 31, 2026. This minimum tax is treated as a period cost beginning in 2024 and has not had a material impact on the Company's consolidated results of operations for the current period. LivaNova will continue to monitor related guidance in the UK and other jurisdictions that impact LivaNova’s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 w:name="page37"/>
    <w:bookmarkEnd w:id="36"/>
    <w:p>
      <w:pPr>
        <w:jc w:val="both"/>
        <w:spacing w:after="0" w:line="278" w:lineRule="auto"/>
        <w:rPr>
          <w:sz w:val="20"/>
          <w:szCs w:val="20"/>
          <w:color w:val="auto"/>
        </w:rPr>
      </w:pPr>
      <w:r>
        <w:rPr>
          <w:rFonts w:ascii="Times New Roman" w:cs="Times New Roman" w:eastAsia="Times New Roman" w:hAnsi="Times New Roman"/>
          <w:sz w:val="14"/>
          <w:szCs w:val="14"/>
          <w:color w:val="auto"/>
        </w:rPr>
        <w:t>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in the 2023 Form 10-K, as well as “Note 6. Commitments and Contingencies” in the condensed consolidated financial statements in this Report.</w:t>
      </w:r>
    </w:p>
    <w:p>
      <w:pPr>
        <w:spacing w:after="0" w:line="5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related to LivaNova’s liquidity (in thousands):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 Short-term Liquidity</w:t>
            </w:r>
          </w:p>
        </w:tc>
        <w:tc>
          <w:tcPr>
            <w:tcW w:w="2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8"/>
                <w:szCs w:val="18"/>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0"/>
        </w:trPr>
        <w:tc>
          <w:tcPr>
            <w:tcW w:w="726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266,504</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Availability under the 2021 First Lien Credit Agreement</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571,366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391,504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988,158</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334,983</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653,175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Short-term unsecured borrowing arrangements</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82"/>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debt obligations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w:t>
            </w:r>
          </w:p>
        </w:tc>
        <w:tc>
          <w:tcPr>
            <w:tcW w:w="0" w:type="dxa"/>
            <w:vAlign w:val="bottom"/>
          </w:tcPr>
          <w:p>
            <w:pPr>
              <w:spacing w:after="0"/>
              <w:rPr>
                <w:sz w:val="1"/>
                <w:szCs w:val="1"/>
                <w:color w:val="auto"/>
              </w:rPr>
            </w:pPr>
          </w:p>
        </w:tc>
      </w:tr>
      <w:tr>
        <w:trPr>
          <w:trHeight w:val="201"/>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604,287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568,543</w:t>
            </w:r>
          </w:p>
        </w:tc>
        <w:tc>
          <w:tcPr>
            <w:tcW w:w="0" w:type="dxa"/>
            <w:vAlign w:val="bottom"/>
          </w:tcPr>
          <w:p>
            <w:pPr>
              <w:spacing w:after="0"/>
              <w:rPr>
                <w:sz w:val="1"/>
                <w:szCs w:val="1"/>
                <w:color w:val="auto"/>
              </w:rPr>
            </w:pPr>
          </w:p>
        </w:tc>
      </w:tr>
      <w:tr>
        <w:trPr>
          <w:trHeight w:val="196"/>
        </w:trPr>
        <w:tc>
          <w:tcPr>
            <w:tcW w:w="7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626,238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586,654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8, 2024, LivaNova and LivaNova USA entered into Incremental Facility Amendment No. 3, which provides for LivaNova USA to obtain revolving commitments in an aggregate principal amount of $225.0 million. For additional information, refer to “Note 5. Financing Arrangements” in the condensed consolidated financial statements in this Report.</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March 8, 2024, LivaNova issued $345.0 million aggregate principal amount of 2.50% notes due 2029. The 2029 Notes are senior unsecured obligations of the Company. In connection with pricing the 2029 Notes, the Company entered into privately-negotiated capped call transactions with certain financial institutions. The Company used part of the proceeds from the issuance of the 2029 Notes to repurchase $230.0 million aggregate principal amount of the 2025 Notes in privately-negotiated transactions for an aggregate cash repurchase consideration of $270.5 million. Contemporaneously with the 2025 Notes Repurchase Transaction, the Company and the financial institutions party to the 2025 Capped Calls agreed to terminate a portion of the 2025 Capped Calls in a notional amount corresponding to the amount of 2025 Notes repurchased. For additional information on LivaNova’s debt obligations and Capped Call Transactions, refer to “Note 3. Derivatives and Risk Management” and “Note 5. Financing Arrangements” in the condensed consolidated financial statements in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8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following table presents net cash, cash equivalents, and restricted cash provided by (used in) operating, investing, and financing activities and the net increase in the balance of cash, cash equivalents, and restricted cash (in thousands):</w:t>
      </w: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0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104,331</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20,956</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(37,452)</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(28,193)</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0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21,995</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26,502</w:t>
            </w:r>
          </w:p>
        </w:tc>
        <w:tc>
          <w:tcPr>
            <w:tcW w:w="0" w:type="dxa"/>
            <w:vAlign w:val="bottom"/>
          </w:tcPr>
          <w:p>
            <w:pPr>
              <w:spacing w:after="0"/>
              <w:rPr>
                <w:sz w:val="1"/>
                <w:szCs w:val="1"/>
                <w:color w:val="auto"/>
              </w:rPr>
            </w:pPr>
          </w:p>
        </w:tc>
      </w:tr>
      <w:tr>
        <w:trPr>
          <w:trHeight w:val="18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20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0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88,704</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CCEEFF"/>
            </w:tcBorders>
            <w:vMerge w:val="restart"/>
          </w:tcPr>
          <w:p>
            <w:pPr>
              <w:jc w:val="right"/>
              <w:ind w:right="1229"/>
              <w:spacing w:after="0"/>
              <w:rPr>
                <w:sz w:val="20"/>
                <w:szCs w:val="20"/>
                <w:color w:val="auto"/>
              </w:rPr>
            </w:pPr>
            <w:r>
              <w:rPr>
                <w:rFonts w:ascii="Times New Roman" w:cs="Times New Roman" w:eastAsia="Times New Roman" w:hAnsi="Times New Roman"/>
                <w:sz w:val="14"/>
                <w:szCs w:val="14"/>
                <w:color w:val="auto"/>
              </w:rPr>
              <w:t>35</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50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20" w:type="dxa"/>
            <w:vAlign w:val="bottom"/>
            <w:tcBorders>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Cash provided by operating activities during the nine months ended September 30, 2024 increased $83.4 million, compared to the same prior year period, primarily due to (i) an increase in net income adjusted for non-cash items of $61.3 million, (ii) an increase in customer collections, (iii) reduced cash outflows for inventories, and (iv) a decrease in 3T Heater-Cooler litigation settlement payments of $17.1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Cash used in investing activities during the nine months ended September 30, 2024 increased $9.3 million, compared to the same prior year period, primarily due to an increase in purchases of property, plant, and equipment of $14.6 million, primarily related to purchases and development of internal-use software, partially offset by a decrease in purchases of equity investments of $5.7 million.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Cash provided by financing activities during the nine months ended September 30, 2024 decreased $4.5 million, compared to the same prior year period, primarily due to payment of the ALung contingent consideration arrangement of $13.8 million during the nine months ended September 30, 2024, partially offset by an increase in proceeds associated with net debt borrowings and repayments of $6.5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Report in “Part I, Item 1. Financial Statements, Note 3. Derivatives and Risk Management,” “Part I, Item 2. Management’s Discussion and Analysis of Financial Condition and Results of Operations,” and “Part II, Item 1A. Risk Factors” and in LivaNova’s 2023 Form 10-K in “Part II, Item 7. Management’s Discussion and Analysis of Financial Condition and Results of Operations” and “Part I, Item 1A. Risk Factors.”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(1) recorded, processed, summarized, and reported within the time periods specified in the SEC’s rules and forms and (2) accumulated and communicated to management, including LivaNova’s CEO and CFO, as appropriate, to allow timely decisions regarding required disclosure.</w:t>
      </w:r>
    </w:p>
    <w:p>
      <w:pPr>
        <w:spacing w:after="0" w:line="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Applicable SEC rules require an evaluation of the effectiveness of the Company’s disclosure controls and procedures. LivaNova’s management, under the supervision and with the participation of its CEO and CFO, evaluated the effectiveness of the design and operation of the Company’s disclosure controls and procedures as of the end of the most recent fiscal quarter reported herein. Based on that evaluation, LivaNova’s CEO and CFO concluded that the Company’s disclosure controls and procedures were effective as of September 30,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changes in LivaNova’s internal control over financial reporting (as defined in Rules 13a-15(f) and 15d-5(f) under the Exchange Act) during the quarter ended September 30, 2024 that have materially affected, or are reasonably likely to materially affect, LivaNova’s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For a description of LivaNova’s material pending legal and regulatory proceedings and settlements, refer to “Note 6. Commitments and Contingencies” in the Company’s condensed consolidated financial statements included in this Report.</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There have been no material changes in LivaNova’s risk factors from those disclosed in Part I, Item 1A of the Company’s 2023 Annual Report on Form 10-K and Part II, Item 1A of the Company’s 10-Q for the quarter ended March 31,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During the three months ended September 30, 2024,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Pursuant to Section 13(r) of the Exchange Act of 1934</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6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LivaNova’s gross revenue and net profits attributable to the above-mentioned Iranian activities were $1.4 million and $0.7 million for the three months ended September 30, 2024, respectively, and $6.7 million and $3.3 million for the nine months ended September 30, 2024, respectively.</w:t>
      </w:r>
    </w:p>
    <w:p>
      <w:pPr>
        <w:spacing w:after="0" w:line="2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LivaNova believes its activities are consistent with applicable law, including U.S., UK, European Union, and other applicable sanctions laws, though such laws are complex and continue to evolve rapidly. The Company intends to continue its business in Iran.</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0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12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8"/>
              </w:rPr>
              <w:t>10.1*†</w:t>
            </w:r>
          </w:p>
        </w:tc>
        <w:tc>
          <w:tcPr>
            <w:tcW w:w="10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Trui Hebbelinck Settlement Agreement, dated September 7, 2024</w:t>
            </w:r>
          </w:p>
        </w:tc>
        <w:tc>
          <w:tcPr>
            <w:tcW w:w="0" w:type="dxa"/>
            <w:vAlign w:val="bottom"/>
          </w:tcPr>
          <w:p>
            <w:pPr>
              <w:spacing w:after="0"/>
              <w:rPr>
                <w:sz w:val="1"/>
                <w:szCs w:val="1"/>
                <w:color w:val="auto"/>
              </w:rPr>
            </w:pPr>
          </w:p>
        </w:tc>
      </w:tr>
      <w:tr>
        <w:trPr>
          <w:trHeight w:val="180"/>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31.1*</w:t>
            </w:r>
          </w:p>
        </w:tc>
        <w:tc>
          <w:tcPr>
            <w:tcW w:w="100" w:type="dxa"/>
            <w:vAlign w:val="bottom"/>
          </w:tcPr>
          <w:p>
            <w:pPr>
              <w:spacing w:after="0"/>
              <w:rPr>
                <w:sz w:val="15"/>
                <w:szCs w:val="15"/>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31.2*</w:t>
            </w:r>
          </w:p>
        </w:tc>
        <w:tc>
          <w:tcPr>
            <w:tcW w:w="100" w:type="dxa"/>
            <w:vAlign w:val="bottom"/>
            <w:shd w:val="clear" w:color="auto" w:fill="CCEEFF"/>
          </w:tcPr>
          <w:p>
            <w:pPr>
              <w:spacing w:after="0"/>
              <w:rPr>
                <w:sz w:val="15"/>
                <w:szCs w:val="15"/>
                <w:color w:val="auto"/>
              </w:rPr>
            </w:pPr>
          </w:p>
        </w:tc>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80"/>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32.1*</w:t>
            </w:r>
          </w:p>
        </w:tc>
        <w:tc>
          <w:tcPr>
            <w:tcW w:w="100" w:type="dxa"/>
            <w:vAlign w:val="bottom"/>
          </w:tcPr>
          <w:p>
            <w:pPr>
              <w:spacing w:after="0"/>
              <w:rPr>
                <w:sz w:val="15"/>
                <w:szCs w:val="15"/>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4"/>
                <w:szCs w:val="14"/>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138"/>
        </w:trPr>
        <w:tc>
          <w:tcPr>
            <w:tcW w:w="10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101*</w:t>
            </w:r>
          </w:p>
        </w:tc>
        <w:tc>
          <w:tcPr>
            <w:tcW w:w="100" w:type="dxa"/>
            <w:vAlign w:val="bottom"/>
            <w:shd w:val="clear" w:color="auto" w:fill="CCEEFF"/>
          </w:tcPr>
          <w:p>
            <w:pPr>
              <w:spacing w:after="0"/>
              <w:rPr>
                <w:sz w:val="11"/>
                <w:szCs w:val="11"/>
                <w:color w:val="auto"/>
              </w:rPr>
            </w:pPr>
          </w:p>
        </w:tc>
        <w:tc>
          <w:tcPr>
            <w:tcW w:w="10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Interactive Data Files Pursuant to Rule 405 of Regulation S-T formatted in Inline XBRL: (i) the Condensed Consolidated Statements of Income (Loss) for the three and nine</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months ended September 30, 2024 and 2023, (ii) the Condensed Consolidated Statements of Comprehensive Income (Loss) for the three and nine months ended September 30,</w:t>
            </w: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2024 and 2023, (iii) the Condensed Consolidated Balance Sheet as of September 30, 2024 and December 31, 2023, (iv) the Condensed Consolidated Statements of Cash Flows</w:t>
            </w: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the nine months ended September 30, 2024 and 2023, and (v) the Notes to the Condensed Consolidated Financial Statements</w:t>
            </w:r>
          </w:p>
        </w:tc>
        <w:tc>
          <w:tcPr>
            <w:tcW w:w="0" w:type="dxa"/>
            <w:vAlign w:val="bottom"/>
          </w:tcPr>
          <w:p>
            <w:pPr>
              <w:spacing w:after="0"/>
              <w:rPr>
                <w:sz w:val="1"/>
                <w:szCs w:val="1"/>
                <w:color w:val="auto"/>
              </w:rPr>
            </w:pPr>
          </w:p>
        </w:tc>
      </w:tr>
      <w:tr>
        <w:trPr>
          <w:trHeight w:val="184"/>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104*</w:t>
            </w:r>
          </w:p>
        </w:tc>
        <w:tc>
          <w:tcPr>
            <w:tcW w:w="100" w:type="dxa"/>
            <w:vAlign w:val="bottom"/>
          </w:tcPr>
          <w:p>
            <w:pPr>
              <w:spacing w:after="0"/>
              <w:rPr>
                <w:sz w:val="16"/>
                <w:szCs w:val="16"/>
                <w:color w:val="auto"/>
              </w:rPr>
            </w:pPr>
          </w:p>
        </w:tc>
        <w:tc>
          <w:tcPr>
            <w:tcW w:w="10120" w:type="dxa"/>
            <w:vAlign w:val="bottom"/>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654"/>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tcPr>
          <w:p>
            <w:pPr>
              <w:ind w:left="448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0" w:name="page41"/>
    <w:bookmarkEnd w:id="40"/>
    <w:p>
      <w:pPr>
        <w:ind w:left="52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LIVANOVA PLC</w:t>
            </w:r>
          </w:p>
        </w:tc>
      </w:tr>
      <w:tr>
        <w:trPr>
          <w:trHeight w:val="647"/>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30, 2024</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VLADIMIR MAKATSARIA</w:t>
            </w:r>
          </w:p>
        </w:tc>
      </w:tr>
      <w:tr>
        <w:trPr>
          <w:trHeight w:val="175"/>
        </w:trPr>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Vladimir Makatsaria</w:t>
            </w:r>
          </w:p>
        </w:tc>
      </w:tr>
      <w:tr>
        <w:trPr>
          <w:trHeight w:val="187"/>
        </w:trPr>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02"/>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18"/>
        </w:trPr>
        <w:tc>
          <w:tcPr>
            <w:tcW w:w="1440" w:type="dxa"/>
            <w:vAlign w:val="bottom"/>
          </w:tcPr>
          <w:p>
            <w:pPr>
              <w:spacing w:after="0"/>
              <w:rPr>
                <w:sz w:val="24"/>
                <w:szCs w:val="24"/>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LIVANOVA PLC</w:t>
            </w:r>
          </w:p>
        </w:tc>
      </w:tr>
      <w:tr>
        <w:trPr>
          <w:trHeight w:val="647"/>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30, 2024</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ALEX SHVARTSBURG</w:t>
            </w:r>
          </w:p>
        </w:tc>
      </w:tr>
      <w:tr>
        <w:trPr>
          <w:trHeight w:val="175"/>
        </w:trPr>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 Shvartsburg</w:t>
            </w:r>
          </w:p>
        </w:tc>
      </w:tr>
      <w:tr>
        <w:trPr>
          <w:trHeight w:val="187"/>
        </w:trPr>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320"/>
          </w:cols>
          <w:pgMar w:left="300" w:top="728" w:right="1279" w:bottom="1440"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Vladimir Makatsaria, certify that:</w:t>
      </w:r>
    </w:p>
    <w:p>
      <w:pPr>
        <w:spacing w:after="0" w:line="94" w:lineRule="exact"/>
        <w:rPr>
          <w:sz w:val="20"/>
          <w:szCs w:val="20"/>
          <w:color w:val="auto"/>
        </w:rPr>
      </w:pPr>
    </w:p>
    <w:p>
      <w:pPr>
        <w:ind w:left="440" w:hanging="180"/>
        <w:spacing w:after="0"/>
        <w:tabs>
          <w:tab w:leader="none" w:pos="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September 30, 2024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October 30, 2024</w:t>
      </w:r>
    </w:p>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quarterly period ended September 30, 2024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October 30, 2024</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Vladimir Makatsaria, Chief Executive Officer of LivaNova PLC (the “Company”), and Alex Shvartsburg, Chief Financial Officer of the Company, each hereby certifies pursuant to 18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U.S.C. Section 1350, as adopted pursuant to Section 906 of the Sarbanes-Oxley Act of 2002, that to the best of his knowledge:</w:t>
      </w:r>
    </w:p>
    <w:p>
      <w:pPr>
        <w:spacing w:after="0" w:line="200" w:lineRule="exact"/>
        <w:rPr>
          <w:sz w:val="20"/>
          <w:szCs w:val="20"/>
          <w:color w:val="auto"/>
        </w:rPr>
      </w:pPr>
    </w:p>
    <w:p>
      <w:pPr>
        <w:spacing w:after="0" w:line="244" w:lineRule="exact"/>
        <w:rPr>
          <w:sz w:val="20"/>
          <w:szCs w:val="20"/>
          <w:color w:val="auto"/>
        </w:rPr>
      </w:pPr>
    </w:p>
    <w:p>
      <w:pPr>
        <w:ind w:firstLine="419"/>
        <w:spacing w:after="0" w:line="413" w:lineRule="auto"/>
        <w:tabs>
          <w:tab w:leader="none" w:pos="67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on Form 10-Q of the Company and its consolidated subsidiaries for the quarterly period ended September 30, 2024,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660" w:hanging="241"/>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Date: October 30, 2024</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Vladimir Makatsaria</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72" w:lineRule="exact"/>
        <w:rPr>
          <w:sz w:val="20"/>
          <w:szCs w:val="20"/>
          <w:color w:val="auto"/>
        </w:rPr>
      </w:pPr>
    </w:p>
    <w:p>
      <w:pPr>
        <w:ind w:firstLine="255"/>
        <w:spacing w:after="0" w:line="30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80"/>
      </w:cols>
      <w:pgMar w:left="30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2024-10-31T05:25:06Z</dcterms:created>
  <dcterms:modified xsi:type="dcterms:W3CDTF">2024-10-31T05:25:06Z</dcterms:modified>
</cp:coreProperties>
</file>