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jc w:val="right"/>
        <w:ind w:right="439"/>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ind w:right="399"/>
        <w:spacing w:after="0"/>
        <w:rPr>
          <w:sz w:val="20"/>
          <w:szCs w:val="20"/>
          <w:color w:val="auto"/>
        </w:rPr>
      </w:pPr>
      <w:r>
        <w:rPr>
          <w:rFonts w:ascii="Arial" w:cs="Arial" w:eastAsia="Arial" w:hAnsi="Arial"/>
          <w:sz w:val="18"/>
          <w:szCs w:val="18"/>
          <w:b w:val="1"/>
          <w:bCs w:val="1"/>
          <w:color w:val="auto"/>
        </w:rPr>
        <w:t>Registration No. 333-258359</w:t>
      </w:r>
    </w:p>
    <w:p>
      <w:pPr>
        <w:spacing w:after="0" w:line="207"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CALCULATION OF REGISTRATION FEE</w:t>
      </w:r>
    </w:p>
    <w:p>
      <w:pPr>
        <w:spacing w:after="0" w:line="115" w:lineRule="exact"/>
        <w:rPr>
          <w:sz w:val="24"/>
          <w:szCs w:val="24"/>
          <w:color w:val="auto"/>
        </w:rPr>
      </w:pPr>
    </w:p>
    <w:tbl>
      <w:tblPr>
        <w:tblLayout w:type="fixed"/>
        <w:tblInd w:w="1260" w:type="dxa"/>
        <w:tblCellMar>
          <w:top w:w="0" w:type="dxa"/>
          <w:left w:w="0" w:type="dxa"/>
          <w:bottom w:w="0" w:type="dxa"/>
          <w:right w:w="0" w:type="dxa"/>
        </w:tblCellMar>
      </w:tblPr>
      <w:tr>
        <w:trPr>
          <w:trHeight w:val="40"/>
        </w:trPr>
        <w:tc>
          <w:tcPr>
            <w:tcW w:w="564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100" w:type="dxa"/>
            <w:vAlign w:val="bottom"/>
            <w:tcBorders>
              <w:top w:val="single" w:sz="8" w:color="auto"/>
              <w:bottom w:val="single" w:sz="8" w:color="auto"/>
            </w:tcBorders>
          </w:tcPr>
          <w:p>
            <w:pPr>
              <w:spacing w:after="0"/>
              <w:rPr>
                <w:sz w:val="3"/>
                <w:szCs w:val="3"/>
                <w:color w:val="auto"/>
              </w:rPr>
            </w:pPr>
          </w:p>
        </w:tc>
      </w:tr>
      <w:tr>
        <w:trPr>
          <w:trHeight w:val="160"/>
        </w:trPr>
        <w:tc>
          <w:tcPr>
            <w:tcW w:w="56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Title of each class of</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Maximum aggregate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w:t>
            </w:r>
          </w:p>
        </w:tc>
      </w:tr>
      <w:tr>
        <w:trPr>
          <w:trHeight w:val="186"/>
        </w:trPr>
        <w:tc>
          <w:tcPr>
            <w:tcW w:w="5640" w:type="dxa"/>
            <w:vAlign w:val="bottom"/>
            <w:tcBorders>
              <w:right w:val="single" w:sz="8" w:color="auto"/>
            </w:tcBorders>
          </w:tcPr>
          <w:p>
            <w:pPr>
              <w:spacing w:after="0"/>
              <w:rPr>
                <w:sz w:val="20"/>
                <w:szCs w:val="20"/>
                <w:color w:val="auto"/>
              </w:rPr>
            </w:pPr>
            <w:r>
              <w:rPr>
                <w:rFonts w:ascii="Arial" w:cs="Arial" w:eastAsia="Arial" w:hAnsi="Arial"/>
                <w:sz w:val="14"/>
                <w:szCs w:val="14"/>
                <w:b w:val="1"/>
                <w:bCs w:val="1"/>
                <w:color w:val="auto"/>
              </w:rPr>
              <w:t>securities to be registered</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w:t>
            </w:r>
          </w:p>
        </w:tc>
        <w:tc>
          <w:tcPr>
            <w:tcW w:w="1100" w:type="dxa"/>
            <w:vAlign w:val="bottom"/>
          </w:tcPr>
          <w:p>
            <w:pPr>
              <w:jc w:val="center"/>
              <w:ind w:left="22"/>
              <w:spacing w:after="0"/>
              <w:rPr>
                <w:sz w:val="20"/>
                <w:szCs w:val="20"/>
                <w:color w:val="auto"/>
              </w:rPr>
            </w:pPr>
            <w:r>
              <w:rPr>
                <w:rFonts w:ascii="Arial" w:cs="Arial" w:eastAsia="Arial" w:hAnsi="Arial"/>
                <w:sz w:val="14"/>
                <w:szCs w:val="14"/>
                <w:b w:val="1"/>
                <w:bCs w:val="1"/>
                <w:color w:val="auto"/>
                <w:w w:val="86"/>
              </w:rPr>
              <w:t>registration fee</w:t>
            </w:r>
          </w:p>
        </w:tc>
      </w:tr>
      <w:tr>
        <w:trPr>
          <w:trHeight w:val="26"/>
        </w:trPr>
        <w:tc>
          <w:tcPr>
            <w:tcW w:w="56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64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par value £1.00</w:t>
            </w:r>
          </w:p>
        </w:tc>
        <w:tc>
          <w:tcPr>
            <w:tcW w:w="1460" w:type="dxa"/>
            <w:vAlign w:val="bottom"/>
            <w:tcBorders>
              <w:bottom w:val="single" w:sz="8" w:color="auto"/>
              <w:right w:val="single" w:sz="8" w:color="auto"/>
            </w:tcBorders>
            <w:shd w:val="clear" w:color="auto" w:fill="CCEEFF"/>
          </w:tcPr>
          <w:p>
            <w:pPr>
              <w:jc w:val="center"/>
              <w:spacing w:after="0" w:line="263" w:lineRule="exact"/>
              <w:rPr>
                <w:sz w:val="20"/>
                <w:szCs w:val="20"/>
                <w:color w:val="auto"/>
              </w:rPr>
            </w:pPr>
            <w:r>
              <w:rPr>
                <w:rFonts w:ascii="Arial" w:cs="Arial" w:eastAsia="Arial" w:hAnsi="Arial"/>
                <w:sz w:val="18"/>
                <w:szCs w:val="18"/>
                <w:color w:val="auto"/>
                <w:w w:val="91"/>
              </w:rPr>
              <w:t>$344,999,985</w:t>
            </w:r>
            <w:r>
              <w:rPr>
                <w:rFonts w:ascii="Arial" w:cs="Arial" w:eastAsia="Arial" w:hAnsi="Arial"/>
                <w:sz w:val="26"/>
                <w:szCs w:val="26"/>
                <w:color w:val="auto"/>
                <w:w w:val="91"/>
                <w:vertAlign w:val="superscript"/>
              </w:rPr>
              <w:t>(1)</w:t>
            </w:r>
          </w:p>
        </w:tc>
        <w:tc>
          <w:tcPr>
            <w:tcW w:w="1100" w:type="dxa"/>
            <w:vAlign w:val="bottom"/>
            <w:tcBorders>
              <w:bottom w:val="single" w:sz="8" w:color="auto"/>
            </w:tcBorders>
            <w:shd w:val="clear" w:color="auto" w:fill="CCEEFF"/>
          </w:tcPr>
          <w:p>
            <w:pPr>
              <w:jc w:val="center"/>
              <w:ind w:left="22"/>
              <w:spacing w:after="0" w:line="263" w:lineRule="exact"/>
              <w:rPr>
                <w:sz w:val="20"/>
                <w:szCs w:val="20"/>
                <w:color w:val="auto"/>
              </w:rPr>
            </w:pPr>
            <w:r>
              <w:rPr>
                <w:rFonts w:ascii="Arial" w:cs="Arial" w:eastAsia="Arial" w:hAnsi="Arial"/>
                <w:sz w:val="18"/>
                <w:szCs w:val="18"/>
                <w:color w:val="auto"/>
                <w:w w:val="89"/>
              </w:rPr>
              <w:t>$37,639.50</w:t>
            </w:r>
            <w:r>
              <w:rPr>
                <w:rFonts w:ascii="Arial" w:cs="Arial" w:eastAsia="Arial" w:hAnsi="Arial"/>
                <w:sz w:val="26"/>
                <w:szCs w:val="26"/>
                <w:color w:val="auto"/>
                <w:w w:val="89"/>
                <w:vertAlign w:val="superscript"/>
              </w:rPr>
              <w:t>(2)</w:t>
            </w:r>
          </w:p>
        </w:tc>
      </w:tr>
      <w:tr>
        <w:trPr>
          <w:trHeight w:val="20"/>
        </w:trPr>
        <w:tc>
          <w:tcPr>
            <w:tcW w:w="56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4"/>
          <w:szCs w:val="24"/>
          <w:color w:val="auto"/>
        </w:rPr>
      </w:pPr>
    </w:p>
    <w:p>
      <w:pPr>
        <w:ind w:left="1620" w:hanging="360"/>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Assuming exercise in full of the underwriters’ over-allotment option.</w:t>
      </w:r>
    </w:p>
    <w:p>
      <w:pPr>
        <w:spacing w:after="0" w:line="76" w:lineRule="exact"/>
        <w:rPr>
          <w:rFonts w:ascii="Arial" w:cs="Arial" w:eastAsia="Arial" w:hAnsi="Arial"/>
          <w:sz w:val="18"/>
          <w:szCs w:val="18"/>
          <w:color w:val="auto"/>
        </w:rPr>
      </w:pPr>
    </w:p>
    <w:p>
      <w:pPr>
        <w:ind w:left="1620" w:hanging="360"/>
        <w:spacing w:after="0"/>
        <w:tabs>
          <w:tab w:leader="none" w:pos="1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filing fee of $37,639.50 is calculated in accordance with Rule 457(r)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2315210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(To Prospectus dated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306070</wp:posOffset>
            </wp:positionV>
            <wp:extent cx="215138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13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860"/>
        <w:spacing w:after="0"/>
        <w:rPr>
          <w:sz w:val="20"/>
          <w:szCs w:val="20"/>
          <w:color w:val="auto"/>
        </w:rPr>
      </w:pPr>
      <w:r>
        <w:rPr>
          <w:rFonts w:ascii="Arial" w:cs="Arial" w:eastAsia="Arial" w:hAnsi="Arial"/>
          <w:sz w:val="32"/>
          <w:szCs w:val="32"/>
          <w:b w:val="1"/>
          <w:bCs w:val="1"/>
          <w:i w:val="1"/>
          <w:iCs w:val="1"/>
          <w:color w:val="auto"/>
        </w:rPr>
        <w:t>LivaNova PLC</w:t>
      </w:r>
    </w:p>
    <w:p>
      <w:pPr>
        <w:spacing w:after="0" w:line="215" w:lineRule="exact"/>
        <w:rPr>
          <w:sz w:val="20"/>
          <w:szCs w:val="20"/>
          <w:color w:val="auto"/>
        </w:rPr>
      </w:pPr>
    </w:p>
    <w:p>
      <w:pPr>
        <w:ind w:left="4020"/>
        <w:spacing w:after="0"/>
        <w:rPr>
          <w:sz w:val="20"/>
          <w:szCs w:val="20"/>
          <w:color w:val="auto"/>
        </w:rPr>
      </w:pPr>
      <w:r>
        <w:rPr>
          <w:rFonts w:ascii="Arial" w:cs="Arial" w:eastAsia="Arial" w:hAnsi="Arial"/>
          <w:sz w:val="25"/>
          <w:szCs w:val="25"/>
          <w:b w:val="1"/>
          <w:bCs w:val="1"/>
          <w:i w:val="1"/>
          <w:iCs w:val="1"/>
          <w:color w:val="auto"/>
        </w:rPr>
        <w:t>3,636,364 Ordinary Shares</w:t>
      </w:r>
    </w:p>
    <w:p>
      <w:pPr>
        <w:spacing w:after="0" w:line="200" w:lineRule="exact"/>
        <w:rPr>
          <w:sz w:val="20"/>
          <w:szCs w:val="20"/>
          <w:color w:val="auto"/>
        </w:rPr>
      </w:pPr>
    </w:p>
    <w:p>
      <w:pPr>
        <w:spacing w:after="0" w:line="231"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i w:val="1"/>
          <w:iCs w:val="1"/>
          <w:color w:val="auto"/>
        </w:rPr>
        <w:t>We are offering 3,636,364 ordinary shares. Our ordinary shares are listed on The Nasdaq Global Market, or NASDAQ, under the symbol “LIVN.” On August 2, 2021, the last reported sales price of our ordinary shares on NASDAQ was $87.88 per share.</w:t>
      </w:r>
    </w:p>
    <w:p>
      <w:pPr>
        <w:spacing w:after="0" w:line="116" w:lineRule="exact"/>
        <w:rPr>
          <w:sz w:val="20"/>
          <w:szCs w:val="20"/>
          <w:color w:val="auto"/>
        </w:rPr>
      </w:pPr>
    </w:p>
    <w:p>
      <w:pPr>
        <w:ind w:left="1260" w:right="479" w:firstLine="360"/>
        <w:spacing w:after="0" w:line="263"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in our ordinary shares involves certain risks. You should carefully consider the risks identified in the “Risk Factors” section beginning on page </w:t>
      </w:r>
      <w:hyperlink w:anchor="page13">
        <w:r>
          <w:rPr>
            <w:rFonts w:ascii="Arial" w:cs="Arial" w:eastAsia="Arial" w:hAnsi="Arial"/>
            <w:sz w:val="18"/>
            <w:szCs w:val="18"/>
            <w:b w:val="1"/>
            <w:bCs w:val="1"/>
            <w:i w:val="1"/>
            <w:iCs w:val="1"/>
            <w:u w:val="single" w:color="auto"/>
            <w:color w:val="0000EE"/>
          </w:rPr>
          <w:t>S-12</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b w:val="1"/>
          <w:bCs w:val="1"/>
          <w:i w:val="1"/>
          <w:iCs w:val="1"/>
          <w:color w:val="auto"/>
        </w:rPr>
        <w:t>of this prospectus supplement and the documents incorporated by reference.</w:t>
      </w:r>
    </w:p>
    <w:p>
      <w:pPr>
        <w:spacing w:after="0" w:line="125" w:lineRule="exact"/>
        <w:rPr>
          <w:sz w:val="20"/>
          <w:szCs w:val="20"/>
          <w:color w:val="auto"/>
        </w:rPr>
      </w:pPr>
    </w:p>
    <w:tbl>
      <w:tblPr>
        <w:tblLayout w:type="fixed"/>
        <w:tblInd w:w="1620" w:type="dxa"/>
        <w:tblCellMar>
          <w:top w:w="0" w:type="dxa"/>
          <w:left w:w="0" w:type="dxa"/>
          <w:bottom w:w="0" w:type="dxa"/>
          <w:right w:w="0" w:type="dxa"/>
        </w:tblCellMar>
      </w:tblPr>
      <w:tr>
        <w:trPr>
          <w:trHeight w:val="182"/>
        </w:trPr>
        <w:tc>
          <w:tcPr>
            <w:tcW w:w="508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i w:val="1"/>
                <w:iCs w:val="1"/>
                <w:color w:val="auto"/>
              </w:rPr>
              <w:t>Per Ordinary Share</w:t>
            </w:r>
          </w:p>
        </w:tc>
        <w:tc>
          <w:tcPr>
            <w:tcW w:w="100" w:type="dxa"/>
            <w:vAlign w:val="bottom"/>
          </w:tcPr>
          <w:p>
            <w:pPr>
              <w:spacing w:after="0"/>
              <w:rPr>
                <w:sz w:val="15"/>
                <w:szCs w:val="15"/>
                <w:color w:val="auto"/>
              </w:rPr>
            </w:pPr>
          </w:p>
        </w:tc>
        <w:tc>
          <w:tcPr>
            <w:tcW w:w="900" w:type="dxa"/>
            <w:vAlign w:val="bottom"/>
          </w:tcPr>
          <w:p>
            <w:pPr>
              <w:jc w:val="right"/>
              <w:ind w:right="275"/>
              <w:spacing w:after="0"/>
              <w:rPr>
                <w:sz w:val="20"/>
                <w:szCs w:val="20"/>
                <w:color w:val="auto"/>
              </w:rPr>
            </w:pPr>
            <w:r>
              <w:rPr>
                <w:rFonts w:ascii="Arial" w:cs="Arial" w:eastAsia="Arial" w:hAnsi="Arial"/>
                <w:sz w:val="14"/>
                <w:szCs w:val="14"/>
                <w:b w:val="1"/>
                <w:bCs w:val="1"/>
                <w:i w:val="1"/>
                <w:iCs w:val="1"/>
                <w:color w:val="auto"/>
              </w:rPr>
              <w:t>Total</w:t>
            </w:r>
          </w:p>
        </w:tc>
      </w:tr>
      <w:tr>
        <w:trPr>
          <w:trHeight w:val="26"/>
        </w:trPr>
        <w:tc>
          <w:tcPr>
            <w:tcW w:w="5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Public offering price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88"/>
              </w:rPr>
              <w:t>82.50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300,000,030</w:t>
            </w:r>
          </w:p>
        </w:tc>
      </w:tr>
      <w:tr>
        <w:trPr>
          <w:trHeight w:val="270"/>
        </w:trPr>
        <w:tc>
          <w:tcPr>
            <w:tcW w:w="5080" w:type="dxa"/>
            <w:vAlign w:val="bottom"/>
          </w:tcPr>
          <w:p>
            <w:pPr>
              <w:spacing w:after="0" w:line="270" w:lineRule="exact"/>
              <w:rPr>
                <w:sz w:val="20"/>
                <w:szCs w:val="20"/>
                <w:color w:val="auto"/>
              </w:rPr>
            </w:pPr>
            <w:r>
              <w:rPr>
                <w:rFonts w:ascii="Arial" w:cs="Arial" w:eastAsia="Arial" w:hAnsi="Arial"/>
                <w:sz w:val="18"/>
                <w:szCs w:val="18"/>
                <w:i w:val="1"/>
                <w:iCs w:val="1"/>
                <w:color w:val="auto"/>
              </w:rPr>
              <w:t>Underwriting discounts and commissions</w:t>
            </w:r>
            <w:r>
              <w:rPr>
                <w:rFonts w:ascii="Arial" w:cs="Arial" w:eastAsia="Arial" w:hAnsi="Arial"/>
                <w:sz w:val="26"/>
                <w:szCs w:val="26"/>
                <w:i w:val="1"/>
                <w:iCs w:val="1"/>
                <w:color w:val="auto"/>
                <w:vertAlign w:val="superscript"/>
              </w:rPr>
              <w:t>(1)</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760" w:type="dxa"/>
            <w:vAlign w:val="bottom"/>
          </w:tcPr>
          <w:p>
            <w:pPr>
              <w:jc w:val="right"/>
              <w:ind w:right="250"/>
              <w:spacing w:after="0"/>
              <w:rPr>
                <w:sz w:val="20"/>
                <w:szCs w:val="20"/>
                <w:color w:val="auto"/>
              </w:rPr>
            </w:pPr>
            <w:r>
              <w:rPr>
                <w:rFonts w:ascii="Arial" w:cs="Arial" w:eastAsia="Arial" w:hAnsi="Arial"/>
                <w:sz w:val="18"/>
                <w:szCs w:val="18"/>
                <w:i w:val="1"/>
                <w:iCs w:val="1"/>
                <w:color w:val="auto"/>
              </w:rPr>
              <w:t>4.95</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i w:val="1"/>
                <w:iCs w:val="1"/>
                <w:color w:val="auto"/>
                <w:w w:val="97"/>
              </w:rPr>
              <w:t>18,000,002</w:t>
            </w:r>
          </w:p>
        </w:tc>
      </w:tr>
      <w:tr>
        <w:trPr>
          <w:trHeight w:val="256"/>
        </w:trPr>
        <w:tc>
          <w:tcPr>
            <w:tcW w:w="50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Proceeds to us, before expenses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760" w:type="dxa"/>
            <w:vAlign w:val="bottom"/>
            <w:shd w:val="clear" w:color="auto" w:fill="CCEEFF"/>
          </w:tcPr>
          <w:p>
            <w:pPr>
              <w:jc w:val="right"/>
              <w:ind w:right="250"/>
              <w:spacing w:after="0"/>
              <w:rPr>
                <w:sz w:val="20"/>
                <w:szCs w:val="20"/>
                <w:color w:val="auto"/>
              </w:rPr>
            </w:pPr>
            <w:r>
              <w:rPr>
                <w:rFonts w:ascii="Arial" w:cs="Arial" w:eastAsia="Arial" w:hAnsi="Arial"/>
                <w:sz w:val="18"/>
                <w:szCs w:val="18"/>
                <w:i w:val="1"/>
                <w:iCs w:val="1"/>
                <w:color w:val="auto"/>
                <w:w w:val="88"/>
              </w:rPr>
              <w:t>77.55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87"/>
              </w:rPr>
              <w:t>282,000,028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-504825</wp:posOffset>
            </wp:positionV>
            <wp:extent cx="4105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right="539" w:hanging="360"/>
        <w:spacing w:after="0" w:line="277" w:lineRule="auto"/>
        <w:tabs>
          <w:tab w:leader="none" w:pos="1620" w:val="left"/>
        </w:tabs>
        <w:numPr>
          <w:ilvl w:val="0"/>
          <w:numId w:val="2"/>
        </w:numPr>
        <w:rPr>
          <w:rFonts w:ascii="Arial" w:cs="Arial" w:eastAsia="Arial" w:hAnsi="Arial"/>
          <w:sz w:val="18"/>
          <w:szCs w:val="18"/>
          <w:i w:val="1"/>
          <w:iCs w:val="1"/>
          <w:color w:val="auto"/>
        </w:rPr>
      </w:pPr>
      <w:r>
        <w:rPr>
          <w:rFonts w:ascii="Arial" w:cs="Arial" w:eastAsia="Arial" w:hAnsi="Arial"/>
          <w:sz w:val="18"/>
          <w:szCs w:val="18"/>
          <w:color w:val="auto"/>
        </w:rPr>
        <w:t>See “Underwriting” for additional information regarding underwriting discounts and commissions and information regarding estimated expenses</w:t>
      </w:r>
    </w:p>
    <w:p>
      <w:pPr>
        <w:spacing w:after="0" w:line="103" w:lineRule="exact"/>
        <w:rPr>
          <w:sz w:val="20"/>
          <w:szCs w:val="20"/>
          <w:color w:val="auto"/>
        </w:rPr>
      </w:pPr>
    </w:p>
    <w:p>
      <w:pPr>
        <w:ind w:left="1260" w:right="679" w:firstLine="360"/>
        <w:spacing w:after="0" w:line="263" w:lineRule="auto"/>
        <w:rPr>
          <w:sz w:val="20"/>
          <w:szCs w:val="20"/>
          <w:color w:val="auto"/>
        </w:rPr>
      </w:pPr>
      <w:r>
        <w:rPr>
          <w:rFonts w:ascii="Arial" w:cs="Arial" w:eastAsia="Arial" w:hAnsi="Arial"/>
          <w:sz w:val="18"/>
          <w:szCs w:val="18"/>
          <w:i w:val="1"/>
          <w:iCs w:val="1"/>
          <w:color w:val="auto"/>
        </w:rPr>
        <w:t>We have granted the underwriters an option to acquire a maximum of 545,454 additional ordinary shares (representing 15% of the firm shares) at the public offering price, less underwriting discounts and commissions, within 30 days from the date of this prospectus supplement.</w:t>
      </w:r>
    </w:p>
    <w:p>
      <w:pPr>
        <w:spacing w:after="0" w:line="103" w:lineRule="exact"/>
        <w:rPr>
          <w:sz w:val="20"/>
          <w:szCs w:val="20"/>
          <w:color w:val="auto"/>
        </w:rPr>
      </w:pPr>
    </w:p>
    <w:p>
      <w:pPr>
        <w:jc w:val="both"/>
        <w:ind w:left="1260" w:right="519" w:firstLine="360"/>
        <w:spacing w:after="0" w:line="286" w:lineRule="auto"/>
        <w:rPr>
          <w:sz w:val="20"/>
          <w:szCs w:val="20"/>
          <w:color w:val="auto"/>
        </w:rPr>
      </w:pPr>
      <w:r>
        <w:rPr>
          <w:rFonts w:ascii="Arial" w:cs="Arial" w:eastAsia="Arial" w:hAnsi="Arial"/>
          <w:sz w:val="17"/>
          <w:szCs w:val="17"/>
          <w:i w:val="1"/>
          <w:i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98"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i w:val="1"/>
          <w:iCs w:val="1"/>
          <w:color w:val="auto"/>
        </w:rPr>
        <w:t>Delivery of the ordinary shares will be made through the facilities of the Depositary Trust Company (“DTC”) on or about August 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Joint Bookrunners</w:t>
      </w:r>
    </w:p>
    <w:p>
      <w:pPr>
        <w:sectPr>
          <w:pgSz w:w="11900" w:h="16838" w:orient="portrait"/>
          <w:cols w:equalWidth="0" w:num="1">
            <w:col w:w="9879"/>
          </w:cols>
          <w:pgMar w:left="580" w:top="131" w:right="1440" w:bottom="1440" w:gutter="0" w:footer="0" w:header="0"/>
        </w:sectPr>
      </w:pPr>
    </w:p>
    <w:p>
      <w:pPr>
        <w:spacing w:after="0" w:line="152" w:lineRule="exact"/>
        <w:rPr>
          <w:sz w:val="20"/>
          <w:szCs w:val="20"/>
          <w:color w:val="auto"/>
        </w:rPr>
      </w:pPr>
    </w:p>
    <w:p>
      <w:pPr>
        <w:ind w:left="1260"/>
        <w:spacing w:after="0"/>
        <w:rPr>
          <w:sz w:val="20"/>
          <w:szCs w:val="20"/>
          <w:color w:val="auto"/>
        </w:rPr>
      </w:pPr>
      <w:r>
        <w:rPr>
          <w:rFonts w:ascii="Arial" w:cs="Arial" w:eastAsia="Arial" w:hAnsi="Arial"/>
          <w:sz w:val="24"/>
          <w:szCs w:val="24"/>
          <w:b w:val="1"/>
          <w:bCs w:val="1"/>
          <w:i w:val="1"/>
          <w:iCs w:val="1"/>
          <w:color w:val="auto"/>
        </w:rPr>
        <w:t>Goldman Sachs &amp; Co. LLC</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Barclays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24"/>
          <w:szCs w:val="24"/>
          <w:b w:val="1"/>
          <w:bCs w:val="1"/>
          <w:i w:val="1"/>
          <w:iCs w:val="1"/>
          <w:color w:val="auto"/>
        </w:rPr>
        <w:t>UBS Investment Bank</w:t>
      </w:r>
    </w:p>
    <w:p>
      <w:pPr>
        <w:spacing w:after="0" w:line="200" w:lineRule="exact"/>
        <w:rPr>
          <w:sz w:val="20"/>
          <w:szCs w:val="20"/>
          <w:color w:val="auto"/>
        </w:rPr>
      </w:pPr>
    </w:p>
    <w:p>
      <w:pPr>
        <w:sectPr>
          <w:pgSz w:w="11900" w:h="16838" w:orient="portrait"/>
          <w:cols w:equalWidth="0" w:num="3">
            <w:col w:w="4400" w:space="620"/>
            <w:col w:w="1180" w:space="720"/>
            <w:col w:w="2959"/>
          </w:cols>
          <w:pgMar w:left="580" w:top="131" w:right="1440" w:bottom="1440" w:gutter="0" w:footer="0" w:header="0"/>
          <w:type w:val="continuous"/>
        </w:sectPr>
      </w:pPr>
    </w:p>
    <w:p>
      <w:pPr>
        <w:spacing w:after="0" w:line="70"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Co-Managers</w:t>
      </w:r>
    </w:p>
    <w:p>
      <w:pPr>
        <w:sectPr>
          <w:pgSz w:w="11900" w:h="16838" w:orient="portrait"/>
          <w:cols w:equalWidth="0" w:num="1">
            <w:col w:w="9879"/>
          </w:cols>
          <w:pgMar w:left="580" w:top="131" w:right="1440" w:bottom="1440" w:gutter="0" w:footer="0" w:header="0"/>
          <w:type w:val="continuous"/>
        </w:sectPr>
      </w:pPr>
    </w:p>
    <w:p>
      <w:pPr>
        <w:spacing w:after="0" w:line="168" w:lineRule="exact"/>
        <w:rPr>
          <w:sz w:val="20"/>
          <w:szCs w:val="20"/>
          <w:color w:val="auto"/>
        </w:rPr>
      </w:pPr>
    </w:p>
    <w:p>
      <w:pPr>
        <w:ind w:left="4560"/>
        <w:spacing w:after="0"/>
        <w:rPr>
          <w:sz w:val="20"/>
          <w:szCs w:val="20"/>
          <w:color w:val="auto"/>
        </w:rPr>
      </w:pPr>
      <w:r>
        <w:rPr>
          <w:rFonts w:ascii="Arial" w:cs="Arial" w:eastAsia="Arial" w:hAnsi="Arial"/>
          <w:sz w:val="22"/>
          <w:szCs w:val="22"/>
          <w:b w:val="1"/>
          <w:bCs w:val="1"/>
          <w:i w:val="1"/>
          <w:iCs w:val="1"/>
          <w:color w:val="auto"/>
        </w:rPr>
        <w:t>Baird</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Stifel</w:t>
      </w:r>
    </w:p>
    <w:p>
      <w:pPr>
        <w:spacing w:after="0" w:line="211" w:lineRule="exact"/>
        <w:rPr>
          <w:sz w:val="20"/>
          <w:szCs w:val="20"/>
          <w:color w:val="auto"/>
        </w:rPr>
      </w:pPr>
    </w:p>
    <w:p>
      <w:pPr>
        <w:sectPr>
          <w:pgSz w:w="11900" w:h="16838" w:orient="portrait"/>
          <w:cols w:equalWidth="0" w:num="2">
            <w:col w:w="5140" w:space="500"/>
            <w:col w:w="4239"/>
          </w:cols>
          <w:pgMar w:left="580" w:top="131" w:right="1440" w:bottom="1440" w:gutter="0" w:footer="0" w:header="0"/>
          <w:type w:val="continuous"/>
        </w:sectPr>
      </w:pPr>
    </w:p>
    <w:p>
      <w:pPr>
        <w:spacing w:after="0" w:line="200" w:lineRule="exact"/>
        <w:rPr>
          <w:sz w:val="20"/>
          <w:szCs w:val="20"/>
          <w:color w:val="auto"/>
        </w:rPr>
      </w:pPr>
    </w:p>
    <w:p>
      <w:pPr>
        <w:spacing w:after="0" w:line="281" w:lineRule="exact"/>
        <w:rPr>
          <w:sz w:val="20"/>
          <w:szCs w:val="20"/>
          <w:color w:val="auto"/>
        </w:rPr>
      </w:pPr>
    </w:p>
    <w:p>
      <w:pPr>
        <w:ind w:left="3660"/>
        <w:spacing w:after="0"/>
        <w:rPr>
          <w:sz w:val="20"/>
          <w:szCs w:val="20"/>
          <w:color w:val="auto"/>
        </w:rPr>
      </w:pPr>
      <w:r>
        <w:rPr>
          <w:rFonts w:ascii="Arial" w:cs="Arial" w:eastAsia="Arial" w:hAnsi="Arial"/>
          <w:sz w:val="16"/>
          <w:szCs w:val="16"/>
          <w:i w:val="1"/>
          <w:iCs w:val="1"/>
          <w:color w:val="auto"/>
        </w:rPr>
        <w:t>Prospectus Supplement dated 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Prospectus Supplement</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2660" w:type="dxa"/>
            <w:vAlign w:val="bottom"/>
            <w:tcBorders>
              <w:bottom w:val="single" w:sz="8" w:color="0000EE"/>
            </w:tcBorders>
            <w:gridSpan w:val="13"/>
            <w:shd w:val="clear" w:color="auto" w:fill="CCEEFF"/>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5160" w:type="dxa"/>
            <w:vAlign w:val="bottom"/>
            <w:tcBorders>
              <w:bottom w:val="single" w:sz="8" w:color="CCEEFF"/>
            </w:tcBorders>
            <w:gridSpan w:val="6"/>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S-2</w:t>
              </w:r>
            </w:hyperlink>
          </w:p>
        </w:tc>
      </w:tr>
      <w:tr>
        <w:trPr>
          <w:trHeight w:val="216"/>
        </w:trPr>
        <w:tc>
          <w:tcPr>
            <w:tcW w:w="782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 Regarding Forward-Looking Statements</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S-3</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254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Prospectus Supplement Summary</w:t>
              </w:r>
            </w:hyperlink>
          </w:p>
        </w:tc>
        <w:tc>
          <w:tcPr>
            <w:tcW w:w="5280" w:type="dxa"/>
            <w:vAlign w:val="bottom"/>
            <w:tcBorders>
              <w:bottom w:val="single" w:sz="8" w:color="CCEEFF"/>
            </w:tcBorders>
            <w:gridSpan w:val="7"/>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S-6</w:t>
              </w:r>
            </w:hyperlink>
          </w:p>
        </w:tc>
      </w:tr>
      <w:tr>
        <w:trPr>
          <w:trHeight w:val="229"/>
        </w:trPr>
        <w:tc>
          <w:tcPr>
            <w:tcW w:w="7820" w:type="dxa"/>
            <w:vAlign w:val="bottom"/>
            <w:gridSpan w:val="1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80" w:type="dxa"/>
            <w:vAlign w:val="bottom"/>
            <w:gridSpan w:val="6"/>
          </w:tcPr>
          <w:p>
            <w:pPr>
              <w:jc w:val="right"/>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S-12</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1220" w:type="dxa"/>
            <w:vAlign w:val="bottom"/>
            <w:gridSpan w:val="6"/>
            <w:shd w:val="clear" w:color="auto" w:fill="CCEEFF"/>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Use of Proceeds</w:t>
              </w:r>
            </w:hyperlink>
          </w:p>
        </w:tc>
        <w:tc>
          <w:tcPr>
            <w:tcW w:w="6600" w:type="dxa"/>
            <w:vAlign w:val="bottom"/>
            <w:gridSpan w:val="13"/>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S-16</w:t>
              </w:r>
            </w:hyperlink>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220" w:type="dxa"/>
            <w:vAlign w:val="bottom"/>
            <w:gridSpan w:val="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Capitalization</w:t>
              </w:r>
            </w:hyperlink>
          </w:p>
        </w:tc>
        <w:tc>
          <w:tcPr>
            <w:tcW w:w="6600" w:type="dxa"/>
            <w:vAlign w:val="bottom"/>
            <w:gridSpan w:val="13"/>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S-17</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2700" w:type="dxa"/>
            <w:vAlign w:val="bottom"/>
            <w:gridSpan w:val="14"/>
            <w:shd w:val="clear" w:color="auto" w:fill="CCEEFF"/>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Description of Our Ordinary Shares</w:t>
              </w:r>
            </w:hyperlink>
          </w:p>
        </w:tc>
        <w:tc>
          <w:tcPr>
            <w:tcW w:w="5120" w:type="dxa"/>
            <w:vAlign w:val="bottom"/>
            <w:gridSpan w:val="5"/>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S-18</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70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U.S. Federal Tax Considerations</w:t>
              </w:r>
            </w:hyperlink>
          </w:p>
        </w:tc>
        <w:tc>
          <w:tcPr>
            <w:tcW w:w="5120" w:type="dxa"/>
            <w:vAlign w:val="bottom"/>
            <w:gridSpan w:val="5"/>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S-22</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2480" w:type="dxa"/>
            <w:vAlign w:val="bottom"/>
            <w:gridSpan w:val="11"/>
            <w:shd w:val="clear" w:color="auto" w:fill="CCEEFF"/>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Certain U.K. Tax Considerations</w:t>
              </w:r>
            </w:hyperlink>
          </w:p>
        </w:tc>
        <w:tc>
          <w:tcPr>
            <w:tcW w:w="5340" w:type="dxa"/>
            <w:vAlign w:val="bottom"/>
            <w:gridSpan w:val="8"/>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S-25</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2480" w:type="dxa"/>
            <w:vAlign w:val="bottom"/>
            <w:gridSpan w:val="1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Underwriting</w:t>
              </w:r>
            </w:hyperlink>
          </w:p>
        </w:tc>
        <w:tc>
          <w:tcPr>
            <w:tcW w:w="5340" w:type="dxa"/>
            <w:vAlign w:val="bottom"/>
            <w:gridSpan w:val="8"/>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1">
              <w:r>
                <w:rPr>
                  <w:rFonts w:ascii="Arial" w:cs="Arial" w:eastAsia="Arial" w:hAnsi="Arial"/>
                  <w:sz w:val="18"/>
                  <w:szCs w:val="18"/>
                  <w:color w:val="0000EE"/>
                  <w:w w:val="94"/>
                </w:rPr>
                <w:t>S-30</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0"/>
        </w:trPr>
        <w:tc>
          <w:tcPr>
            <w:tcW w:w="1060" w:type="dxa"/>
            <w:vAlign w:val="bottom"/>
            <w:gridSpan w:val="5"/>
            <w:shd w:val="clear" w:color="auto" w:fill="CCEEFF"/>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Legal Matters</w:t>
              </w:r>
            </w:hyperlink>
          </w:p>
        </w:tc>
        <w:tc>
          <w:tcPr>
            <w:tcW w:w="6760" w:type="dxa"/>
            <w:vAlign w:val="bottom"/>
            <w:gridSpan w:val="14"/>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S-37</w:t>
              </w:r>
            </w:hyperlink>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060" w:type="dxa"/>
            <w:vAlign w:val="bottom"/>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6760" w:type="dxa"/>
            <w:vAlign w:val="bottom"/>
            <w:gridSpan w:val="14"/>
          </w:tcPr>
          <w:p>
            <w:pPr>
              <w:spacing w:after="0"/>
              <w:rPr>
                <w:sz w:val="19"/>
                <w:szCs w:val="19"/>
                <w:color w:val="auto"/>
              </w:rPr>
            </w:pPr>
          </w:p>
        </w:tc>
        <w:tc>
          <w:tcPr>
            <w:tcW w:w="380" w:type="dxa"/>
            <w:vAlign w:val="bottom"/>
            <w:gridSpan w:val="6"/>
          </w:tcPr>
          <w:p>
            <w:pPr>
              <w:jc w:val="right"/>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S-37</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50"/>
        </w:trPr>
        <w:tc>
          <w:tcPr>
            <w:tcW w:w="7820" w:type="dxa"/>
            <w:vAlign w:val="bottom"/>
            <w:gridSpan w:val="19"/>
            <w:shd w:val="clear" w:color="auto" w:fill="CCEEFF"/>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Enforcement of Judgments</w:t>
              </w:r>
            </w:hyperlink>
          </w:p>
        </w:tc>
        <w:tc>
          <w:tcPr>
            <w:tcW w:w="380" w:type="dxa"/>
            <w:vAlign w:val="bottom"/>
            <w:gridSpan w:val="6"/>
            <w:shd w:val="clear" w:color="auto" w:fill="CCEEFF"/>
          </w:tcPr>
          <w:p>
            <w:pPr>
              <w:jc w:val="right"/>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S-37</w:t>
              </w:r>
            </w:hyperlink>
          </w:p>
        </w:tc>
      </w:tr>
      <w:tr>
        <w:trPr>
          <w:trHeight w:val="432"/>
        </w:trPr>
        <w:tc>
          <w:tcPr>
            <w:tcW w:w="5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gridSpan w:val="3"/>
          </w:tcPr>
          <w:p>
            <w:pPr>
              <w:ind w:left="700"/>
              <w:spacing w:after="0"/>
              <w:rPr>
                <w:sz w:val="20"/>
                <w:szCs w:val="20"/>
                <w:color w:val="auto"/>
              </w:rPr>
            </w:pPr>
            <w:r>
              <w:rPr>
                <w:rFonts w:ascii="Arial" w:cs="Arial" w:eastAsia="Arial" w:hAnsi="Arial"/>
                <w:sz w:val="18"/>
                <w:szCs w:val="18"/>
                <w:b w:val="1"/>
                <w:bCs w:val="1"/>
                <w:color w:val="auto"/>
              </w:rPr>
              <w:t>Prospectus</w:t>
            </w: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25"/>
        </w:trPr>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About This Prospectus</w:t>
              </w:r>
            </w:hyperlink>
          </w:p>
        </w:tc>
        <w:tc>
          <w:tcPr>
            <w:tcW w:w="6100" w:type="dxa"/>
            <w:vAlign w:val="bottom"/>
            <w:tcBorders>
              <w:bottom w:val="single" w:sz="8" w:color="CCEEFF"/>
            </w:tcBorders>
            <w:gridSpan w:val="11"/>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w:t>
              </w:r>
            </w:hyperlink>
          </w:p>
        </w:tc>
      </w:tr>
      <w:tr>
        <w:trPr>
          <w:trHeight w:val="216"/>
        </w:trPr>
        <w:tc>
          <w:tcPr>
            <w:tcW w:w="782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80" w:type="dxa"/>
            <w:vAlign w:val="bottom"/>
            <w:tcBorders>
              <w:bottom w:val="single" w:sz="8" w:color="0000EE"/>
            </w:tcBorders>
            <w:gridSpan w:val="17"/>
            <w:shd w:val="clear" w:color="auto" w:fill="CCEEFF"/>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Incorporation of Certain Documents by Reference</w:t>
              </w:r>
            </w:hyperlink>
          </w:p>
        </w:tc>
        <w:tc>
          <w:tcPr>
            <w:tcW w:w="4040" w:type="dxa"/>
            <w:vAlign w:val="bottom"/>
            <w:tcBorders>
              <w:bottom w:val="single" w:sz="8" w:color="CCEEFF"/>
            </w:tcBorders>
            <w:gridSpan w:val="2"/>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ii</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0"/>
        </w:trPr>
        <w:tc>
          <w:tcPr>
            <w:tcW w:w="782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Cautionary Statement Regarding Forward-Looking Statements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jc w:val="right"/>
              <w:ind w:right="60"/>
              <w:spacing w:after="0"/>
              <w:rPr>
                <w:rFonts w:ascii="Arial" w:cs="Arial" w:eastAsia="Arial" w:hAnsi="Arial"/>
                <w:sz w:val="17"/>
                <w:szCs w:val="17"/>
                <w:color w:val="0000EE"/>
                <w:w w:val="70"/>
              </w:rPr>
            </w:pPr>
            <w:hyperlink w:anchor="page42">
              <w:r>
                <w:rPr>
                  <w:rFonts w:ascii="Arial" w:cs="Arial" w:eastAsia="Arial" w:hAnsi="Arial"/>
                  <w:sz w:val="17"/>
                  <w:szCs w:val="17"/>
                  <w:color w:val="0000EE"/>
                  <w:w w:val="70"/>
                </w:rPr>
                <w:t>iii</w:t>
              </w:r>
            </w:hyperlink>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7820" w:type="dxa"/>
            <w:vAlign w:val="bottom"/>
            <w:gridSpan w:val="19"/>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Summary</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1</w:t>
              </w:r>
            </w:hyperlink>
          </w:p>
        </w:tc>
        <w:tc>
          <w:tcPr>
            <w:tcW w:w="60" w:type="dxa"/>
            <w:vAlign w:val="bottom"/>
            <w:shd w:val="clear" w:color="auto" w:fill="CCEEFF"/>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2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320" w:type="dxa"/>
            <w:vAlign w:val="bottom"/>
            <w:gridSpan w:val="5"/>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2</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6600" w:type="dxa"/>
            <w:vAlign w:val="bottom"/>
            <w:tcBorders>
              <w:bottom w:val="single" w:sz="8" w:color="CCEEFF"/>
            </w:tcBorders>
            <w:gridSpan w:val="13"/>
            <w:shd w:val="clear" w:color="auto" w:fill="CCEEFF"/>
          </w:tcPr>
          <w:p>
            <w:pPr>
              <w:spacing w:after="0"/>
              <w:rPr>
                <w:sz w:val="21"/>
                <w:szCs w:val="21"/>
                <w:color w:val="auto"/>
              </w:rPr>
            </w:pPr>
          </w:p>
        </w:tc>
        <w:tc>
          <w:tcPr>
            <w:tcW w:w="220" w:type="dxa"/>
            <w:vAlign w:val="bottom"/>
            <w:tcBorders>
              <w:bottom w:val="single" w:sz="8" w:color="CCEEFF"/>
              <w:right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9"/>
        </w:trPr>
        <w:tc>
          <w:tcPr>
            <w:tcW w:w="7820" w:type="dxa"/>
            <w:vAlign w:val="bottom"/>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Description of Our Ordinary Shares</w:t>
              </w:r>
            </w:hyperlink>
          </w:p>
        </w:tc>
        <w:tc>
          <w:tcPr>
            <w:tcW w:w="320" w:type="dxa"/>
            <w:vAlign w:val="bottom"/>
            <w:gridSpan w:val="5"/>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3</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20" w:type="dxa"/>
            <w:vAlign w:val="bottom"/>
            <w:gridSpan w:val="19"/>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Our Preferred Shares</w:t>
              </w:r>
            </w:hyperlink>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7</w:t>
              </w:r>
            </w:hyperlink>
          </w:p>
        </w:tc>
        <w:tc>
          <w:tcPr>
            <w:tcW w:w="60" w:type="dxa"/>
            <w:vAlign w:val="bottom"/>
            <w:shd w:val="clear" w:color="auto" w:fill="CCEEFF"/>
          </w:tcPr>
          <w:p>
            <w:pPr>
              <w:spacing w:after="0"/>
              <w:rPr>
                <w:sz w:val="21"/>
                <w:szCs w:val="21"/>
                <w:color w:val="auto"/>
              </w:rPr>
            </w:pPr>
          </w:p>
        </w:tc>
      </w:tr>
      <w:tr>
        <w:trPr>
          <w:trHeight w:val="230"/>
        </w:trPr>
        <w:tc>
          <w:tcPr>
            <w:tcW w:w="2720" w:type="dxa"/>
            <w:vAlign w:val="bottom"/>
            <w:tcBorders>
              <w:top w:val="single" w:sz="8" w:color="0000EE"/>
            </w:tcBorders>
            <w:gridSpan w:val="15"/>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Description of Our Rights</w:t>
              </w:r>
            </w:hyperlink>
          </w:p>
        </w:tc>
        <w:tc>
          <w:tcPr>
            <w:tcW w:w="5100" w:type="dxa"/>
            <w:vAlign w:val="bottom"/>
            <w:tcBorders>
              <w:top w:val="single" w:sz="8" w:color="CCEEFF"/>
            </w:tcBorders>
            <w:gridSpan w:val="4"/>
          </w:tcPr>
          <w:p>
            <w:pPr>
              <w:spacing w:after="0"/>
              <w:rPr>
                <w:sz w:val="19"/>
                <w:szCs w:val="19"/>
                <w:color w:val="auto"/>
              </w:rPr>
            </w:pPr>
          </w:p>
        </w:tc>
        <w:tc>
          <w:tcPr>
            <w:tcW w:w="220" w:type="dxa"/>
            <w:vAlign w:val="bottom"/>
            <w:tcBorders>
              <w:top w:val="single" w:sz="8" w:color="CCEEFF"/>
            </w:tcBorders>
            <w:gridSpan w:val="4"/>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8</w:t>
              </w:r>
            </w:hyperlink>
          </w:p>
        </w:tc>
        <w:tc>
          <w:tcPr>
            <w:tcW w:w="60" w:type="dxa"/>
            <w:vAlign w:val="bottom"/>
            <w:tcBorders>
              <w:top w:val="single" w:sz="8" w:color="CCEEFF"/>
            </w:tcBorders>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Plan of Distribution</w:t>
              </w:r>
            </w:hyperlink>
          </w:p>
        </w:tc>
        <w:tc>
          <w:tcPr>
            <w:tcW w:w="6320" w:type="dxa"/>
            <w:vAlign w:val="bottom"/>
            <w:tcBorders>
              <w:bottom w:val="single" w:sz="8" w:color="CCEEFF"/>
            </w:tcBorders>
            <w:gridSpan w:val="12"/>
            <w:shd w:val="clear" w:color="auto" w:fill="CCEEFF"/>
          </w:tcPr>
          <w:p>
            <w:pPr>
              <w:spacing w:after="0"/>
              <w:rPr>
                <w:sz w:val="21"/>
                <w:szCs w:val="21"/>
                <w:color w:val="auto"/>
              </w:rPr>
            </w:pPr>
          </w:p>
        </w:tc>
        <w:tc>
          <w:tcPr>
            <w:tcW w:w="220" w:type="dxa"/>
            <w:vAlign w:val="bottom"/>
            <w:tcBorders>
              <w:bottom w:val="single" w:sz="8" w:color="CCEEFF"/>
              <w:right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320" w:type="dxa"/>
            <w:vAlign w:val="bottom"/>
            <w:gridSpan w:val="5"/>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80" w:type="dxa"/>
            <w:vAlign w:val="bottom"/>
            <w:shd w:val="clear" w:color="auto" w:fill="CCEEFF"/>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Experts</w:t>
              </w:r>
            </w:hyperlink>
          </w:p>
        </w:tc>
        <w:tc>
          <w:tcPr>
            <w:tcW w:w="7240" w:type="dxa"/>
            <w:vAlign w:val="bottom"/>
            <w:gridSpan w:val="18"/>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10</w:t>
              </w:r>
            </w:hyperlink>
          </w:p>
        </w:tc>
        <w:tc>
          <w:tcPr>
            <w:tcW w:w="60" w:type="dxa"/>
            <w:vAlign w:val="bottom"/>
            <w:shd w:val="clear" w:color="auto" w:fill="CCEEFF"/>
          </w:tcPr>
          <w:p>
            <w:pPr>
              <w:spacing w:after="0"/>
              <w:rPr>
                <w:sz w:val="19"/>
                <w:szCs w:val="19"/>
                <w:color w:val="auto"/>
              </w:rPr>
            </w:pPr>
          </w:p>
        </w:tc>
      </w:tr>
      <w:tr>
        <w:trPr>
          <w:trHeight w:val="20"/>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2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Enforcement of Judgments</w:t>
              </w:r>
            </w:hyperlink>
          </w:p>
        </w:tc>
        <w:tc>
          <w:tcPr>
            <w:tcW w:w="320" w:type="dxa"/>
            <w:vAlign w:val="bottom"/>
            <w:gridSpan w:val="5"/>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-5074285</wp:posOffset>
            </wp:positionV>
            <wp:extent cx="4972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-2365375</wp:posOffset>
            </wp:positionV>
            <wp:extent cx="5006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 SUPPLEMENT</w:t>
      </w:r>
    </w:p>
    <w:p>
      <w:pPr>
        <w:spacing w:after="0" w:line="148"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This prospectus supplement and the accompanying prospectus form part of a registration statement on Form S-3 that we filed with the Securities and Exchange Commission, or SEC, utilizing an automatic shelf registration process. This document is in two parts. The first part is this prospectus supplement, which describes the specific terms of this offering of ordinary shares and also adds to and updates information contained in the accompanying prospectus and the documents incorporated by reference therein. The second part, the accompanying prospectus, provides more general information. Generally, when we refer to this prospectus, we are referring to both parts of this document combined. We urge you to carefully read this prospectus supplement and the accompanying prospectus, and the documents incorporated therein, before buying any of the securities being offered under this prospectus supplement.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statements made in the accompanying prospectus and documents incorporated by reference therein.</w:t>
      </w:r>
    </w:p>
    <w:p>
      <w:pPr>
        <w:spacing w:after="0" w:line="11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We and the underwriters have not authorized anyone to provide any information or to make any representations other than those contained in this prospectus supplement and the accompanying prospectus, the documents incorporated by reference in the accompanying prospectus, or in any free writing prospectuses prepared by us or on our behalf or to which we have referred you. We have not, and the underwriters have not, authorized anyone to give you any other information, and we take no responsibility for any other information that others may give you. We and the underwriter are not making an offer to sell these securities in any jurisdiction where the offer or sale is not permitted. You should not assume that the information contained in this prospectus supplement and the accompanying prospectus or the documents incorporated therein by reference is accurate as of any date other than their respective dates. Our business, financial condition, and results of operations may have changed since those dates. It is important for you to read and consider all information contained in this prospectus supplement and the accompanying prospectus, including the documents incorporated by reference therein, and any related free writing prospectus, in making your investment decision. You should also read and consider the information in the documents to which we have referred you in the sections entitled “Where You Can Find Additional Information” and “Information Incorporated by Reference” in the accompanying prospectus.</w:t>
      </w:r>
    </w:p>
    <w:p>
      <w:pPr>
        <w:spacing w:after="0" w:line="120"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7"/>
          <w:szCs w:val="17"/>
          <w:color w:val="auto"/>
        </w:rPr>
        <w:t>Unless expressly indicated or the context suggests otherwise, references in this prospectus to “LivaNova,” the “Company,” “we,” “us” and “our” refer to LivaNova PLC and its consolidated subsidiaries.</w:t>
      </w:r>
    </w:p>
    <w:p>
      <w:pPr>
        <w:spacing w:after="0" w:line="143"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PRIIPS Regulation/Prohibition of Sales to EEA Retail Investors</w:t>
      </w:r>
    </w:p>
    <w:p>
      <w:pPr>
        <w:spacing w:after="0" w:line="148"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In any European Economic Area (“EEA”) Member State (each, a “Member State”), this communication is only addressed to and is only directed at qualified investors (“Qualified Investors”) in that Member State within the meaning of Regulation (EU) 2017/1129 (the “Prospectus Regulation”).</w:t>
      </w:r>
    </w:p>
    <w:p>
      <w:pPr>
        <w:spacing w:after="0" w:line="114"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This prospectus supplement has been prepared on the basis that any offer of ordinary shares in any Member State will be made pursuant to an exemption under the Prospectus Regulation from the requirement to publish a prospectus for offers of ordinary shares. Accordingly, any person making or intending to make any offer within the EEA of ordinary shares which are the subject of the offering contemplated in this prospectus supplement may only do so in circumstances in which no obligation arises for LivaNova or the underwriters to publish a prospectus pursuant to Article 3 of the Prospectus Regulation or supplement a prospectus pursuant to Article 23 of the Prospectus Regulation, in each case, in relation to such offer. Neither LivaNova nor the underwriters have authorized, nor do they authorize, the making of any offer of ordinary shares in circumstances in which an obligation arises for LivaNova or the underwriters to publish a prospectus for such offer. Neither LivaNova nor the underwriters have authorized, nor do they authorize, the making of any offer of ordinary shares through any financial intermediary, other than offers made by the underwriters, which constitute the final placement of ordinary shares contemplated in this prospectus supplement.</w:t>
      </w:r>
    </w:p>
    <w:p>
      <w:pPr>
        <w:spacing w:after="0" w:line="12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The ordinary shares are not intended to be offered, sold or otherwise made available to, and should not be offered, sold or otherwise made available to, any retail investor in the EEA. For these purposes, a “retail investor” means a person who is one (or more) of: (i) a retail client as defined in point (11) of Article 4(1) of</w:t>
      </w: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Directive 2014/65/EU (as amended, “MiFID II”); or (ii) a customer within the meaning of Directive</w:t>
      </w:r>
    </w:p>
    <w:p>
      <w:pPr>
        <w:spacing w:after="0" w:line="12" w:lineRule="exact"/>
        <w:rPr>
          <w:sz w:val="20"/>
          <w:szCs w:val="20"/>
          <w:color w:val="auto"/>
        </w:rPr>
      </w:pPr>
    </w:p>
    <w:p>
      <w:pPr>
        <w:ind w:left="1260" w:right="499"/>
        <w:spacing w:after="0" w:line="253" w:lineRule="auto"/>
        <w:rPr>
          <w:sz w:val="20"/>
          <w:szCs w:val="20"/>
          <w:color w:val="auto"/>
        </w:rPr>
      </w:pPr>
      <w:r>
        <w:rPr>
          <w:rFonts w:ascii="Arial" w:cs="Arial" w:eastAsia="Arial" w:hAnsi="Arial"/>
          <w:sz w:val="17"/>
          <w:szCs w:val="17"/>
          <w:color w:val="auto"/>
        </w:rPr>
        <w:t>(EU) 2016/97 (as amended, the “Insurance Distribution Directive”), where that customer would not qualify as a professional client as defined in point (10) of Article 4(1) of MiFID II. Consequently, no key information document required by Regulation (EU) No 1286/2014 (as amended, the “PRIIPs Regulation”) for offering or selling the ordinary shares or otherwise making them available to retail investors in the EEA has been prepared and therefore offering or selling the ordinary shares or otherwise making them available to any retail investor in the EEA may be unlawful under the PRIIPs Regulation.</w:t>
      </w:r>
    </w:p>
    <w:p>
      <w:pPr>
        <w:spacing w:after="0" w:line="9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We, the underwriters, their affiliates, and others will rely upon the truth and accuracy of the foregoing representation, acknowledgment and agreement. Notwithstanding the above, a person who is not a Qualified Investor may, with the consent of the underwriters, be permitted to purchase our ordinary shares in the offering.</w:t>
      </w:r>
    </w:p>
    <w:p>
      <w:pPr>
        <w:spacing w:after="0" w:line="120"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color w:val="auto"/>
        </w:rPr>
        <w:t>In this section, the expression an “offer” in relation to any ordinary shares in any Member State means the communication in any form and by any means of sufficient information on the terms of the offer and our ordinary shares to be offered so as to enable an investor to decide to purchase or subscribe for our ordinary shares and the expression “Prospectus Regulation” means Regulation (EU) 2017/1129 (as amended or superseded).</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PRIIPS Regulation/Prohibition of Sales to UK Retail Investors</w:t>
      </w:r>
    </w:p>
    <w:p>
      <w:pPr>
        <w:spacing w:after="0" w:line="162"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The ordinary shares are not intended to be offered, sold or otherwise made available 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Consequently no key information document required by Regulation (EU) No 1286/2014 as it forms part of domestic law by virtue of the EUWA (the “UK PRIIPs Regulation”) for offering or selling the ordinary shares or otherwise making them available to retail investors in the UK has been prepared and therefore offering or selling the ordinary shares or otherwise making them available to any retail investor in the UK may be unlawful under the UK PRIIPs Regulation.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UK Financial Promotion</w:t>
      </w:r>
    </w:p>
    <w:p>
      <w:pPr>
        <w:spacing w:after="0" w:line="148" w:lineRule="exact"/>
        <w:rPr>
          <w:sz w:val="20"/>
          <w:szCs w:val="20"/>
          <w:color w:val="auto"/>
        </w:rPr>
      </w:pPr>
    </w:p>
    <w:p>
      <w:pPr>
        <w:ind w:left="1260" w:right="479" w:firstLine="360"/>
        <w:spacing w:after="0" w:line="241" w:lineRule="auto"/>
        <w:rPr>
          <w:sz w:val="20"/>
          <w:szCs w:val="20"/>
          <w:color w:val="auto"/>
        </w:rPr>
      </w:pPr>
      <w:r>
        <w:rPr>
          <w:rFonts w:ascii="Arial" w:cs="Arial" w:eastAsia="Arial" w:hAnsi="Arial"/>
          <w:sz w:val="18"/>
          <w:szCs w:val="18"/>
          <w:color w:val="auto"/>
        </w:rPr>
        <w:t>This communication is only being distributed to and is only directed at: (i) persons who are outside the United Kingdom or (ii) investment professionals falling within Article 19(5) of the Financial Services and Markets Act 2000 (Financial Promotion) Order 2005 (the “Order”) or (iii) high net worth companies, and other persons to whom it may lawfully be communicated, falling within Article 49(2)(a) to (d) of the Order (all such persons together being referred to as “relevant persons”).</w:t>
      </w:r>
    </w:p>
    <w:p>
      <w:pPr>
        <w:spacing w:after="0" w:line="122" w:lineRule="exact"/>
        <w:rPr>
          <w:sz w:val="20"/>
          <w:szCs w:val="20"/>
          <w:color w:val="auto"/>
        </w:rPr>
      </w:pPr>
    </w:p>
    <w:p>
      <w:pPr>
        <w:jc w:val="both"/>
        <w:ind w:left="1260" w:right="439" w:firstLine="360"/>
        <w:spacing w:after="0" w:line="248" w:lineRule="auto"/>
        <w:rPr>
          <w:sz w:val="20"/>
          <w:szCs w:val="20"/>
          <w:color w:val="auto"/>
        </w:rPr>
      </w:pPr>
      <w:r>
        <w:rPr>
          <w:rFonts w:ascii="Arial" w:cs="Arial" w:eastAsia="Arial" w:hAnsi="Arial"/>
          <w:sz w:val="18"/>
          <w:szCs w:val="18"/>
          <w:color w:val="auto"/>
        </w:rPr>
        <w:t>The ordinary shares are only available to, and any invitation, offer or agreement to subscribe, purchase or otherwise acquire such ordinary shares will be engaged in only with, relevant persons. Any person who is not a relevant person should not act or rely on this document or any of its contents.</w:t>
      </w:r>
    </w:p>
    <w:p>
      <w:pPr>
        <w:spacing w:after="0" w:line="17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CAUTIONARY STATEMENT REGARDING FORWARD-LOOKING STATEMENTS AND MARKET</w:t>
      </w:r>
    </w:p>
    <w:p>
      <w:pPr>
        <w:spacing w:after="0" w:line="1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DATA</w:t>
      </w:r>
    </w:p>
    <w:p>
      <w:pPr>
        <w:spacing w:after="0" w:line="128"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Certain statements made in this prospectus supplement, the accompanying prospectus and the documents incorporated by reference herein are “forward- 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statements relating to LivaNova’s plans, objectives, strategies, financial performance and outlook, trends, prospects or future events and involve known and unknown risks that are difficult to predict. As a result, our actual financial results, performance,</w:t>
      </w: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52" w:lineRule="auto"/>
        <w:rPr>
          <w:sz w:val="20"/>
          <w:szCs w:val="20"/>
          <w:color w:val="auto"/>
        </w:rPr>
      </w:pPr>
      <w:r>
        <w:rPr>
          <w:rFonts w:ascii="Arial" w:cs="Arial" w:eastAsia="Arial" w:hAnsi="Arial"/>
          <w:sz w:val="17"/>
          <w:szCs w:val="17"/>
          <w:color w:val="auto"/>
        </w:rPr>
        <w:t>achievements or prospects may differ materially from those expressed or implied by these forward-looking statements. In some cases, you can identify forward -looking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 looking statements. There are a number of risks, uncertainties and other important factors, many of which are beyond our control, that could cause our actual results to differ materially from the forward- looking statements contained in this prospectus supplement, the accompanying prospectus or the documents incorporated by reference herein. Such risks, uncertainties and other important factors include, but are not limited to the risks and uncertainties summarized below:</w:t>
      </w:r>
    </w:p>
    <w:p>
      <w:pPr>
        <w:spacing w:after="0" w:line="59"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ordinary share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62" w:lineRule="exact"/>
        <w:rPr>
          <w:rFonts w:ascii="Arial" w:cs="Arial" w:eastAsia="Arial" w:hAnsi="Arial"/>
          <w:sz w:val="18"/>
          <w:szCs w:val="18"/>
          <w:color w:val="auto"/>
        </w:rPr>
      </w:pPr>
    </w:p>
    <w:p>
      <w:pPr>
        <w:ind w:left="1800" w:right="519" w:hanging="180"/>
        <w:spacing w:after="0" w:line="275"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obtain or maintain coverage and reimbursement for our products’ approved indications;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03"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 liability, intellectual property, shareholder-related, environmental-related, income tax and other litigation, disputes, losses and costs;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of new acquisitions to further our strategic objectives or strengthen our existing businesses;</w:t>
      </w:r>
    </w:p>
    <w:p>
      <w:pPr>
        <w:spacing w:after="0" w:line="128" w:lineRule="exact"/>
        <w:rPr>
          <w:rFonts w:ascii="Arial" w:cs="Arial" w:eastAsia="Arial" w:hAnsi="Arial"/>
          <w:sz w:val="17"/>
          <w:szCs w:val="17"/>
          <w:color w:val="auto"/>
        </w:rPr>
      </w:pPr>
    </w:p>
    <w:p>
      <w:pPr>
        <w:ind w:left="1800" w:right="77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amount of liability or damages imposed by the Appeals Court or the Supreme Court in Italy with respect to SNIA S.p.A;</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exchangeability of our exchangeable senior notes;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accounting rules that adversely affect the characterization of our consolidated financial position, results of operations or cash flows;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jc w:val="both"/>
        <w:ind w:left="1800" w:right="719" w:hanging="180"/>
        <w:spacing w:after="0" w:line="263"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UK’s withdrawal from the European Union (“Brexit”) and/or changes to existing trade agreements and relationships between the U.S. and other countries;</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outbreak and spread of the COVID-19 pandemic or any other pandemic around the world;</w:t>
      </w:r>
    </w:p>
    <w:p>
      <w:pPr>
        <w:spacing w:after="0" w:line="62"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44" w:lineRule="exact"/>
        <w:rPr>
          <w:sz w:val="20"/>
          <w:szCs w:val="20"/>
          <w:color w:val="auto"/>
        </w:rPr>
      </w:pPr>
    </w:p>
    <w:p>
      <w:pPr>
        <w:jc w:val="both"/>
        <w:ind w:left="1260" w:right="479" w:firstLine="360"/>
        <w:spacing w:after="0" w:line="286" w:lineRule="auto"/>
        <w:rPr>
          <w:sz w:val="20"/>
          <w:szCs w:val="20"/>
          <w:color w:val="auto"/>
        </w:rPr>
      </w:pPr>
      <w:r>
        <w:rPr>
          <w:rFonts w:ascii="Arial" w:cs="Arial" w:eastAsia="Arial" w:hAnsi="Arial"/>
          <w:sz w:val="17"/>
          <w:szCs w:val="17"/>
          <w:color w:val="auto"/>
        </w:rPr>
        <w:t>Other factors that could cause our actual results to differ from our projected results are described in the “Risk Factors” section of this prospectus supplement, our Annual Reports on Form 10-K and our Quarterly Reports on Form 10-Q as well as other documents that we have filed or will file with the SEC.</w:t>
      </w:r>
    </w:p>
    <w:p>
      <w:pPr>
        <w:spacing w:after="0" w:line="9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The afore-referenced risks and uncertainties are not necessarily all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124"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You should carefully consider the risks specified under the caption “Risk Factors” in this prospectus supplement and the documents incorporated by reference and in subsequent public statements or reports we file with the SEC, before making any investment decision with respect to our securities. If any of these trends, risks or uncertainties actually occurs or continues, our business, financial condition or results of operations could be materially adversely affected, the trading price of our securities could decline and you could lose all or part of your investment. All forward-looking statements attributable to us or persons acting on our behalf are expressly qualified in their entirety by this cautionary statement.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8027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PROSPECTUS SUPPLEMENT SUMMARY</w:t>
      </w:r>
    </w:p>
    <w:p>
      <w:pPr>
        <w:spacing w:after="0" w:line="162" w:lineRule="exact"/>
        <w:rPr>
          <w:sz w:val="20"/>
          <w:szCs w:val="20"/>
          <w:color w:val="auto"/>
        </w:rPr>
      </w:pPr>
    </w:p>
    <w:p>
      <w:pPr>
        <w:ind w:left="1280" w:right="519" w:firstLine="360"/>
        <w:spacing w:after="0" w:line="253" w:lineRule="auto"/>
        <w:rPr>
          <w:rFonts w:ascii="Arial" w:cs="Arial" w:eastAsia="Arial" w:hAnsi="Arial"/>
          <w:sz w:val="18"/>
          <w:szCs w:val="18"/>
          <w:i w:val="1"/>
          <w:iCs w:val="1"/>
          <w:u w:val="single" w:color="auto"/>
          <w:color w:val="0000EE"/>
        </w:rPr>
      </w:pPr>
      <w:r>
        <w:rPr>
          <w:rFonts w:ascii="Arial" w:cs="Arial" w:eastAsia="Arial" w:hAnsi="Arial"/>
          <w:sz w:val="18"/>
          <w:szCs w:val="18"/>
          <w:i w:val="1"/>
          <w:iCs w:val="1"/>
          <w:color w:val="auto"/>
        </w:rPr>
        <w:t xml:space="preserve">This summary description about us and our business highlights selected information contained elsewhere in this prospectus supplement or the accompanying prospectus or incorporated by reference in the accompanying prospectus. This summary does not contain all of the information you should consider before deciding to invest in our ordinary shares. You should carefully read this entire prospectus supplement, the accompanying prospectus and any related free writing prospectus, including each of the documents incorporated therein by reference, before making an investment decision. Investors should carefully consider the information set forth under “Risk Factors” in this prospectus supplement on page S-12, and in any related free writing prospectus, and under similar headings in the other documents that are </w:t>
      </w:r>
      <w:hyperlink r:id="rId21">
        <w:r>
          <w:rPr>
            <w:rFonts w:ascii="Arial" w:cs="Arial" w:eastAsia="Arial" w:hAnsi="Arial"/>
            <w:sz w:val="18"/>
            <w:szCs w:val="18"/>
            <w:i w:val="1"/>
            <w:iCs w:val="1"/>
            <w:color w:val="auto"/>
          </w:rPr>
          <w:t xml:space="preserve">incorporated by reference into the accompanying prospectus, including our Annual Report on </w:t>
        </w:r>
        <w:r>
          <w:rPr>
            <w:rFonts w:ascii="Arial" w:cs="Arial" w:eastAsia="Arial" w:hAnsi="Arial"/>
            <w:sz w:val="18"/>
            <w:szCs w:val="18"/>
            <w:i w:val="1"/>
            <w:iCs w:val="1"/>
            <w:u w:val="single" w:color="auto"/>
            <w:color w:val="0000EE"/>
          </w:rPr>
          <w:t>Form 10-K</w:t>
        </w:r>
      </w:hyperlink>
      <w:r>
        <w:rPr>
          <w:rFonts w:ascii="Arial" w:cs="Arial" w:eastAsia="Arial" w:hAnsi="Arial"/>
          <w:sz w:val="18"/>
          <w:szCs w:val="18"/>
          <w:i w:val="1"/>
          <w:iCs w:val="1"/>
          <w:color w:val="auto"/>
        </w:rPr>
        <w:t xml:space="preserve"> </w:t>
      </w:r>
      <w:hyperlink r:id="rId22">
        <w:r>
          <w:rPr>
            <w:rFonts w:ascii="Arial" w:cs="Arial" w:eastAsia="Arial" w:hAnsi="Arial"/>
            <w:sz w:val="18"/>
            <w:szCs w:val="18"/>
            <w:i w:val="1"/>
            <w:iCs w:val="1"/>
            <w:u w:val="single" w:color="auto"/>
            <w:color w:val="0000EE"/>
          </w:rPr>
          <w:t>for the year ended December 31, 2020</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and our</w:t>
        </w:r>
        <w:r>
          <w:rPr>
            <w:rFonts w:ascii="Arial" w:cs="Arial" w:eastAsia="Arial" w:hAnsi="Arial"/>
            <w:sz w:val="18"/>
            <w:szCs w:val="18"/>
            <w:i w:val="1"/>
            <w:iCs w:val="1"/>
            <w:color w:val="0000EE"/>
          </w:rPr>
          <w:t xml:space="preserve"> </w:t>
        </w:r>
        <w:r>
          <w:rPr>
            <w:rFonts w:ascii="Arial" w:cs="Arial" w:eastAsia="Arial" w:hAnsi="Arial"/>
            <w:sz w:val="18"/>
            <w:szCs w:val="18"/>
            <w:i w:val="1"/>
            <w:iCs w:val="1"/>
            <w:u w:val="single" w:color="auto"/>
            <w:color w:val="0000EE"/>
          </w:rPr>
          <w:t>Quarterly Report on Form 10-Q for the quarter ended</w:t>
        </w:r>
      </w:hyperlink>
      <w:r>
        <w:rPr>
          <w:rFonts w:ascii="Arial" w:cs="Arial" w:eastAsia="Arial" w:hAnsi="Arial"/>
          <w:sz w:val="18"/>
          <w:szCs w:val="18"/>
          <w:i w:val="1"/>
          <w:iCs w:val="1"/>
          <w:color w:val="0000EE"/>
        </w:rPr>
        <w:t xml:space="preserve"> </w:t>
      </w:r>
      <w:hyperlink r:id="rId22">
        <w:r>
          <w:rPr>
            <w:rFonts w:ascii="Arial" w:cs="Arial" w:eastAsia="Arial" w:hAnsi="Arial"/>
            <w:sz w:val="18"/>
            <w:szCs w:val="18"/>
            <w:i w:val="1"/>
            <w:iCs w:val="1"/>
            <w:u w:val="single" w:color="auto"/>
            <w:color w:val="0000EE"/>
          </w:rPr>
          <w:t>June 30, 2021.</w:t>
        </w:r>
      </w:hyperlink>
    </w:p>
    <w:p>
      <w:pPr>
        <w:spacing w:after="0" w:line="124" w:lineRule="exact"/>
        <w:rPr>
          <w:rFonts w:ascii="Arial" w:cs="Arial" w:eastAsia="Arial" w:hAnsi="Arial"/>
          <w:sz w:val="18"/>
          <w:szCs w:val="18"/>
          <w:i w:val="1"/>
          <w:iCs w:val="1"/>
          <w:color w:val="auto"/>
        </w:rPr>
      </w:pPr>
    </w:p>
    <w:p>
      <w:pPr>
        <w:ind w:left="1280" w:right="539" w:firstLine="360"/>
        <w:spacing w:after="0" w:line="263" w:lineRule="auto"/>
        <w:rPr>
          <w:sz w:val="20"/>
          <w:szCs w:val="20"/>
          <w:color w:val="auto"/>
        </w:rPr>
      </w:pPr>
      <w:r>
        <w:rPr>
          <w:rFonts w:ascii="Arial" w:cs="Arial" w:eastAsia="Arial" w:hAnsi="Arial"/>
          <w:sz w:val="18"/>
          <w:szCs w:val="18"/>
          <w:i w:val="1"/>
          <w:iCs w:val="1"/>
          <w:color w:val="auto"/>
        </w:rPr>
        <w:t>You also should carefully read the information incorporated by reference into the accompanying prospectus, including our financial statements, and the other information in the exhibits to the registration statement of which the accompanying prospectus is a part.</w:t>
      </w:r>
    </w:p>
    <w:p>
      <w:pPr>
        <w:spacing w:after="0" w:line="180" w:lineRule="exact"/>
        <w:rPr>
          <w:rFonts w:ascii="Arial" w:cs="Arial" w:eastAsia="Arial" w:hAnsi="Arial"/>
          <w:sz w:val="18"/>
          <w:szCs w:val="18"/>
          <w:i w:val="1"/>
          <w:iCs w:val="1"/>
          <w:color w:val="auto"/>
        </w:rPr>
      </w:pPr>
    </w:p>
    <w:p>
      <w:pPr>
        <w:jc w:val="center"/>
        <w:ind w:right="-880"/>
        <w:spacing w:after="0"/>
        <w:rPr>
          <w:sz w:val="20"/>
          <w:szCs w:val="20"/>
          <w:color w:val="auto"/>
        </w:rPr>
      </w:pPr>
      <w:r>
        <w:rPr>
          <w:rFonts w:ascii="Arial" w:cs="Arial" w:eastAsia="Arial" w:hAnsi="Arial"/>
          <w:sz w:val="18"/>
          <w:szCs w:val="18"/>
          <w:b w:val="1"/>
          <w:bCs w:val="1"/>
          <w:color w:val="auto"/>
        </w:rPr>
        <w:t>Company Overview</w:t>
      </w:r>
    </w:p>
    <w:p>
      <w:pPr>
        <w:spacing w:after="0" w:line="148" w:lineRule="exact"/>
        <w:rPr>
          <w:rFonts w:ascii="Arial" w:cs="Arial" w:eastAsia="Arial" w:hAnsi="Arial"/>
          <w:sz w:val="18"/>
          <w:szCs w:val="18"/>
          <w:i w:val="1"/>
          <w:iCs w:val="1"/>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LivaNova PLC (together with its subsidiaries “us”, “we”, “our”, “LivaNova” or the “Company”)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27" w:lineRule="exact"/>
        <w:rPr>
          <w:rFonts w:ascii="Arial" w:cs="Arial" w:eastAsia="Arial" w:hAnsi="Arial"/>
          <w:sz w:val="18"/>
          <w:szCs w:val="18"/>
          <w:i w:val="1"/>
          <w:iCs w:val="1"/>
          <w:color w:val="auto"/>
        </w:rPr>
      </w:pPr>
    </w:p>
    <w:p>
      <w:pPr>
        <w:ind w:left="1280" w:right="419" w:firstLine="360"/>
        <w:spacing w:after="0" w:line="257" w:lineRule="auto"/>
        <w:rPr>
          <w:sz w:val="20"/>
          <w:szCs w:val="20"/>
          <w:color w:val="auto"/>
        </w:rPr>
      </w:pPr>
      <w:r>
        <w:rPr>
          <w:rFonts w:ascii="Arial" w:cs="Arial" w:eastAsia="Arial" w:hAnsi="Arial"/>
          <w:sz w:val="18"/>
          <w:szCs w:val="18"/>
          <w:color w:val="auto"/>
        </w:rPr>
        <w:t>We were organized under the laws of England and Wales on February 20, 2015 for the purpose of facilitating the business combination of Cyberonics, Inc., a Delaware corporation, and Sorin S.p.A. (“Sorin”), a joint stock company organized under the laws of Italy. The business combination became effective in October 2015. LivaNova’s ordinary shares are listed for trading on the NASDAQ Global Market under the symbol “LIVN.”</w:t>
      </w:r>
    </w:p>
    <w:p>
      <w:pPr>
        <w:spacing w:after="0" w:line="120" w:lineRule="exact"/>
        <w:rPr>
          <w:rFonts w:ascii="Arial" w:cs="Arial" w:eastAsia="Arial" w:hAnsi="Arial"/>
          <w:sz w:val="18"/>
          <w:szCs w:val="18"/>
          <w:i w:val="1"/>
          <w:iCs w:val="1"/>
          <w:color w:val="auto"/>
        </w:rPr>
      </w:pPr>
    </w:p>
    <w:p>
      <w:pPr>
        <w:ind w:left="1640"/>
        <w:spacing w:after="0"/>
        <w:rPr>
          <w:sz w:val="20"/>
          <w:szCs w:val="20"/>
          <w:color w:val="auto"/>
        </w:rPr>
      </w:pPr>
      <w:r>
        <w:rPr>
          <w:rFonts w:ascii="Arial" w:cs="Arial" w:eastAsia="Arial" w:hAnsi="Arial"/>
          <w:sz w:val="17"/>
          <w:szCs w:val="17"/>
          <w:color w:val="auto"/>
        </w:rPr>
        <w:t>LivaNova is comprised of two principal business franchises, which are also our reportable segments:</w:t>
      </w:r>
    </w:p>
    <w:p>
      <w:pPr>
        <w:spacing w:after="0" w:line="35" w:lineRule="exact"/>
        <w:rPr>
          <w:rFonts w:ascii="Arial" w:cs="Arial" w:eastAsia="Arial" w:hAnsi="Arial"/>
          <w:sz w:val="18"/>
          <w:szCs w:val="18"/>
          <w:i w:val="1"/>
          <w:iCs w:val="1"/>
          <w:color w:val="auto"/>
        </w:rPr>
      </w:pPr>
    </w:p>
    <w:p>
      <w:pPr>
        <w:ind w:left="1280"/>
        <w:spacing w:after="0"/>
        <w:rPr>
          <w:sz w:val="20"/>
          <w:szCs w:val="20"/>
          <w:color w:val="auto"/>
        </w:rPr>
      </w:pPr>
      <w:r>
        <w:rPr>
          <w:rFonts w:ascii="Arial" w:cs="Arial" w:eastAsia="Arial" w:hAnsi="Arial"/>
          <w:sz w:val="18"/>
          <w:szCs w:val="18"/>
          <w:color w:val="auto"/>
        </w:rPr>
        <w:t>Cardiovascular and Neuromodulation, corresponding to our primary therapeutic areas.</w:t>
      </w:r>
    </w:p>
    <w:p>
      <w:pPr>
        <w:spacing w:after="0" w:line="130" w:lineRule="exact"/>
        <w:rPr>
          <w:rFonts w:ascii="Arial" w:cs="Arial" w:eastAsia="Arial" w:hAnsi="Arial"/>
          <w:sz w:val="18"/>
          <w:szCs w:val="18"/>
          <w:i w:val="1"/>
          <w:iCs w:val="1"/>
          <w:color w:val="auto"/>
        </w:rPr>
      </w:pPr>
    </w:p>
    <w:p>
      <w:pPr>
        <w:ind w:left="1280" w:right="639" w:firstLine="360"/>
        <w:spacing w:after="0" w:line="257"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and advanced circulatory support products. Cardiopulmonary products include oxygenators, heart-lung machines, autotransfusion systems, perfusion tubing systems, cannulae and other related accessories. Advanced circulatory support includes temporary life support product kits that can include a combination of pumps, oxygenators and cannulae.</w:t>
      </w:r>
    </w:p>
    <w:p>
      <w:pPr>
        <w:spacing w:after="0" w:line="120" w:lineRule="exact"/>
        <w:rPr>
          <w:rFonts w:ascii="Arial" w:cs="Arial" w:eastAsia="Arial" w:hAnsi="Arial"/>
          <w:sz w:val="18"/>
          <w:szCs w:val="18"/>
          <w:i w:val="1"/>
          <w:iCs w:val="1"/>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Our Neuromodulation business franchise designs, develops and markets neuromodulation-based medical devices for the treatment of epilepsy, depression and obstructive sleep apnea. We are also developing and conducting clinical testing of the VITARIA System for treating heart failure through vagus nerve stimulation (“VNS”). Our seminal Neuromodulation product, the LivaNova Vagus Nerve Stimulation Therapy (“VNS Therapy”) System, is an implantable device authorized for the treatment of drug-resistant epilepsy and difficult-to-treat depression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ectPr>
          <w:pgSz w:w="11900" w:h="16838" w:orient="portrait"/>
          <w:cols w:equalWidth="0" w:num="1">
            <w:col w:w="9879"/>
          </w:cols>
          <w:pgMar w:left="580" w:top="131" w:right="1440" w:bottom="1440" w:gutter="0" w:footer="0" w:header="0"/>
        </w:sect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75" w:lineRule="exact"/>
        <w:rPr>
          <w:rFonts w:ascii="Arial" w:cs="Arial" w:eastAsia="Arial" w:hAnsi="Arial"/>
          <w:sz w:val="18"/>
          <w:szCs w:val="18"/>
          <w:i w:val="1"/>
          <w:iCs w:val="1"/>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of Offering Structure</w:t>
      </w:r>
    </w:p>
    <w:p>
      <w:pPr>
        <w:spacing w:after="0" w:line="162" w:lineRule="exact"/>
        <w:rPr>
          <w:sz w:val="20"/>
          <w:szCs w:val="20"/>
          <w:color w:val="auto"/>
        </w:rPr>
      </w:pPr>
    </w:p>
    <w:p>
      <w:pPr>
        <w:ind w:left="1280" w:right="419" w:firstLine="360"/>
        <w:spacing w:after="0" w:line="253" w:lineRule="auto"/>
        <w:rPr>
          <w:sz w:val="20"/>
          <w:szCs w:val="20"/>
          <w:color w:val="auto"/>
        </w:rPr>
      </w:pPr>
      <w:r>
        <w:rPr>
          <w:rFonts w:ascii="Arial" w:cs="Arial" w:eastAsia="Arial" w:hAnsi="Arial"/>
          <w:sz w:val="18"/>
          <w:szCs w:val="18"/>
          <w:color w:val="auto"/>
        </w:rPr>
        <w:t>The sale of the ordinary shares offered herein is expected to close on August 6, 2021 (the “Closing”). The sale of the ordinary shares offered herein will be made on a non-preemptive basis. At the Closing, we will issue 3,636,364 ordinary shares for non-cash consideration. Goldman Sachs &amp; Co. LLC(“Goldman Sachs”), in its capacity as subscriber of certain ordinary shares and redeemable preference shares of JerseyCo (the “JerseyCo Subscriber”), will subscribe for redeemable preference shares in Project Tau Funding Limited, a company registered in Jersey (“JerseyCo”) for an amount in cash equal to the net proceeds of the sale of the ordinary shares offered herein. We will allot and issue the new ordinary shares on a non-pre-emptive basis in consideration for the transfer by the JerseyCo Subscriber to us of the ordinary shares and redeemable preference shares in JerseyCo.</w:t>
      </w:r>
    </w:p>
    <w:p>
      <w:pPr>
        <w:spacing w:after="0" w:line="129" w:lineRule="exact"/>
        <w:rPr>
          <w:sz w:val="20"/>
          <w:szCs w:val="20"/>
          <w:color w:val="auto"/>
        </w:rPr>
      </w:pPr>
    </w:p>
    <w:p>
      <w:pPr>
        <w:ind w:left="1280" w:right="399" w:firstLine="360"/>
        <w:spacing w:after="0" w:line="272" w:lineRule="auto"/>
        <w:rPr>
          <w:sz w:val="20"/>
          <w:szCs w:val="20"/>
          <w:color w:val="auto"/>
        </w:rPr>
      </w:pPr>
      <w:r>
        <w:rPr>
          <w:rFonts w:ascii="Arial" w:cs="Arial" w:eastAsia="Arial" w:hAnsi="Arial"/>
          <w:sz w:val="17"/>
          <w:szCs w:val="17"/>
          <w:color w:val="auto"/>
        </w:rPr>
        <w:t>If the option to acquire additional ordinary shares is exercised in whole or in part, we will issue the relevant number of ordinary shares for non-cash consideration on the relevant closing date. The JerseyCo Subscriber will subscribe for further redeemable preference shares in JerseyCo for an amount in cash equal to the net proceeds of the option to acquire additional ordinary shares (and, depending on the relevant closing date, may also subscribe for additional ordinary shares in JerseyCo). We will allot and issue the new ordinary shares on a non-pre-emptive basis in consideration for the transfer by the JerseyCo Subscriber to us of those redeemable preference shares (and, if applicable, ordinary shares) in JerseyCo.</w:t>
      </w:r>
    </w:p>
    <w:p>
      <w:pPr>
        <w:spacing w:after="0" w:line="96" w:lineRule="exact"/>
        <w:rPr>
          <w:sz w:val="20"/>
          <w:szCs w:val="20"/>
          <w:color w:val="auto"/>
        </w:rPr>
      </w:pPr>
    </w:p>
    <w:p>
      <w:pPr>
        <w:ind w:left="1280" w:right="819" w:firstLine="360"/>
        <w:spacing w:after="0" w:line="308" w:lineRule="auto"/>
        <w:rPr>
          <w:sz w:val="20"/>
          <w:szCs w:val="20"/>
          <w:color w:val="auto"/>
        </w:rPr>
      </w:pPr>
      <w:r>
        <w:rPr>
          <w:rFonts w:ascii="Arial" w:cs="Arial" w:eastAsia="Arial" w:hAnsi="Arial"/>
          <w:sz w:val="17"/>
          <w:szCs w:val="17"/>
          <w:color w:val="auto"/>
        </w:rPr>
        <w:t xml:space="preserve">The ordinary shares issued or to be issued in connection with the transactions described herein are credited or will be credited as fully paid and will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all existing ordinary shares.</w:t>
      </w:r>
    </w:p>
    <w:p>
      <w:pPr>
        <w:spacing w:after="0" w:line="79" w:lineRule="exact"/>
        <w:rPr>
          <w:sz w:val="20"/>
          <w:szCs w:val="20"/>
          <w:color w:val="auto"/>
        </w:rPr>
      </w:pPr>
    </w:p>
    <w:p>
      <w:pPr>
        <w:ind w:left="1280" w:right="839" w:firstLine="360"/>
        <w:spacing w:after="0" w:line="277" w:lineRule="auto"/>
        <w:rPr>
          <w:sz w:val="20"/>
          <w:szCs w:val="20"/>
          <w:color w:val="auto"/>
        </w:rPr>
      </w:pPr>
      <w:r>
        <w:rPr>
          <w:rFonts w:ascii="Arial" w:cs="Arial" w:eastAsia="Arial" w:hAnsi="Arial"/>
          <w:sz w:val="18"/>
          <w:szCs w:val="18"/>
          <w:color w:val="auto"/>
        </w:rPr>
        <w:t>For a description of the use of proceeds relating to the ordinary shares offered hereby, see “Use of Proceeds.”</w:t>
      </w:r>
    </w:p>
    <w:p>
      <w:pPr>
        <w:spacing w:after="0" w:line="166"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Proposed Revolving Credit Facility</w:t>
      </w:r>
    </w:p>
    <w:p>
      <w:pPr>
        <w:spacing w:after="0" w:line="162" w:lineRule="exact"/>
        <w:rPr>
          <w:sz w:val="20"/>
          <w:szCs w:val="20"/>
          <w:color w:val="auto"/>
        </w:rPr>
      </w:pPr>
    </w:p>
    <w:p>
      <w:pPr>
        <w:ind w:left="1280" w:right="499" w:firstLine="360"/>
        <w:spacing w:after="0" w:line="254" w:lineRule="auto"/>
        <w:rPr>
          <w:sz w:val="20"/>
          <w:szCs w:val="20"/>
          <w:color w:val="auto"/>
        </w:rPr>
      </w:pPr>
      <w:r>
        <w:rPr>
          <w:rFonts w:ascii="Arial" w:cs="Arial" w:eastAsia="Arial" w:hAnsi="Arial"/>
          <w:sz w:val="18"/>
          <w:szCs w:val="18"/>
          <w:color w:val="auto"/>
        </w:rPr>
        <w:t>We have received commitments for a new secured revolving credit facility (the “new revolving credit facility”) under which LivaNova USA, Inc. would be extended credit in an aggregate principal amount not to exceed $125.0 million at any time outstanding, and which would include a subfacility for the issuance of letters of credit in an aggregate amount not to exceed $25.0 million. Closing on the new revolving credit facility is subject to negotiation of final documentation and other customary conditions, and is currently expected to occur by mid-August. Any closing on the new revolving credit facility will occur at a future date after the closing of this offering.</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120" w:type="dxa"/>
            <w:vAlign w:val="bottom"/>
          </w:tcPr>
          <w:p>
            <w:pPr>
              <w:ind w:left="38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3060" w:type="dxa"/>
            <w:vAlign w:val="bottom"/>
          </w:tcPr>
          <w:p>
            <w:pPr>
              <w:spacing w:after="0"/>
              <w:rPr>
                <w:sz w:val="20"/>
                <w:szCs w:val="20"/>
                <w:color w:val="auto"/>
              </w:rPr>
            </w:pPr>
            <w:r>
              <w:rPr>
                <w:rFonts w:ascii="Arial" w:cs="Arial" w:eastAsia="Arial" w:hAnsi="Arial"/>
                <w:sz w:val="18"/>
                <w:szCs w:val="18"/>
                <w:color w:val="auto"/>
              </w:rPr>
              <w:t>Issuer</w:t>
            </w:r>
          </w:p>
        </w:tc>
        <w:tc>
          <w:tcPr>
            <w:tcW w:w="5120" w:type="dxa"/>
            <w:vAlign w:val="bottom"/>
          </w:tcPr>
          <w:p>
            <w:pPr>
              <w:ind w:left="400"/>
              <w:spacing w:after="0"/>
              <w:rPr>
                <w:sz w:val="20"/>
                <w:szCs w:val="20"/>
                <w:color w:val="auto"/>
              </w:rPr>
            </w:pPr>
            <w:r>
              <w:rPr>
                <w:rFonts w:ascii="Arial" w:cs="Arial" w:eastAsia="Arial" w:hAnsi="Arial"/>
                <w:sz w:val="18"/>
                <w:szCs w:val="18"/>
                <w:color w:val="auto"/>
              </w:rPr>
              <w:t>LivaNova PLC</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Ordinary Shares Offered by Us</w:t>
            </w:r>
          </w:p>
        </w:tc>
        <w:tc>
          <w:tcPr>
            <w:tcW w:w="5120" w:type="dxa"/>
            <w:vAlign w:val="bottom"/>
          </w:tcPr>
          <w:p>
            <w:pPr>
              <w:ind w:left="400"/>
              <w:spacing w:after="0"/>
              <w:rPr>
                <w:sz w:val="20"/>
                <w:szCs w:val="20"/>
                <w:color w:val="auto"/>
              </w:rPr>
            </w:pPr>
            <w:r>
              <w:rPr>
                <w:rFonts w:ascii="Arial" w:cs="Arial" w:eastAsia="Arial" w:hAnsi="Arial"/>
                <w:sz w:val="18"/>
                <w:szCs w:val="18"/>
                <w:color w:val="auto"/>
                <w:w w:val="99"/>
              </w:rPr>
              <w:t>3,636,364 ordinary shares; 4,181,818 ordinary shares if the</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w w:val="98"/>
              </w:rPr>
              <w:t>underwriters exercise in full their option to acquire additional</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ordinary shares.</w:t>
            </w:r>
          </w:p>
        </w:tc>
      </w:tr>
      <w:tr>
        <w:trPr>
          <w:trHeight w:val="286"/>
        </w:trPr>
        <w:tc>
          <w:tcPr>
            <w:tcW w:w="3060" w:type="dxa"/>
            <w:vAlign w:val="bottom"/>
          </w:tcPr>
          <w:p>
            <w:pPr>
              <w:spacing w:after="0"/>
              <w:rPr>
                <w:sz w:val="20"/>
                <w:szCs w:val="20"/>
                <w:color w:val="auto"/>
              </w:rPr>
            </w:pPr>
            <w:r>
              <w:rPr>
                <w:rFonts w:ascii="Arial" w:cs="Arial" w:eastAsia="Arial" w:hAnsi="Arial"/>
                <w:sz w:val="18"/>
                <w:szCs w:val="18"/>
                <w:color w:val="auto"/>
              </w:rPr>
              <w:t>Ordinary Shares to be Outstanding</w:t>
            </w:r>
          </w:p>
        </w:tc>
        <w:tc>
          <w:tcPr>
            <w:tcW w:w="5120" w:type="dxa"/>
            <w:vAlign w:val="bottom"/>
          </w:tcPr>
          <w:p>
            <w:pPr>
              <w:spacing w:after="0"/>
              <w:rPr>
                <w:sz w:val="24"/>
                <w:szCs w:val="24"/>
                <w:color w:val="auto"/>
              </w:rPr>
            </w:pPr>
          </w:p>
        </w:tc>
      </w:tr>
      <w:tr>
        <w:trPr>
          <w:trHeight w:val="253"/>
        </w:trPr>
        <w:tc>
          <w:tcPr>
            <w:tcW w:w="3060" w:type="dxa"/>
            <w:vAlign w:val="bottom"/>
          </w:tcPr>
          <w:p>
            <w:pPr>
              <w:ind w:left="180"/>
              <w:spacing w:after="0" w:line="253" w:lineRule="exact"/>
              <w:rPr>
                <w:sz w:val="20"/>
                <w:szCs w:val="20"/>
                <w:color w:val="auto"/>
              </w:rPr>
            </w:pPr>
            <w:r>
              <w:rPr>
                <w:rFonts w:ascii="Arial" w:cs="Arial" w:eastAsia="Arial" w:hAnsi="Arial"/>
                <w:sz w:val="18"/>
                <w:szCs w:val="18"/>
                <w:color w:val="auto"/>
              </w:rPr>
              <w:t>Immediately after this Offering</w:t>
            </w:r>
            <w:r>
              <w:rPr>
                <w:rFonts w:ascii="Arial" w:cs="Arial" w:eastAsia="Arial" w:hAnsi="Arial"/>
                <w:sz w:val="26"/>
                <w:szCs w:val="26"/>
                <w:color w:val="auto"/>
                <w:vertAlign w:val="superscript"/>
              </w:rPr>
              <w:t>(i)</w:t>
            </w:r>
          </w:p>
        </w:tc>
        <w:tc>
          <w:tcPr>
            <w:tcW w:w="5120" w:type="dxa"/>
            <w:vAlign w:val="bottom"/>
          </w:tcPr>
          <w:p>
            <w:pPr>
              <w:ind w:left="400"/>
              <w:spacing w:after="0"/>
              <w:rPr>
                <w:sz w:val="20"/>
                <w:szCs w:val="20"/>
                <w:color w:val="auto"/>
              </w:rPr>
            </w:pPr>
            <w:r>
              <w:rPr>
                <w:rFonts w:ascii="Arial" w:cs="Arial" w:eastAsia="Arial" w:hAnsi="Arial"/>
                <w:sz w:val="18"/>
                <w:szCs w:val="18"/>
                <w:color w:val="auto"/>
                <w:w w:val="95"/>
              </w:rPr>
              <w:t>52,619,644 ordinary shares; 53,165,098 ordinary shares if the</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w w:val="96"/>
              </w:rPr>
              <w:t>underwriters exercises in full their option to acquire additional</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ordinary shares.</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Use of Proceeds</w:t>
            </w:r>
          </w:p>
        </w:tc>
        <w:tc>
          <w:tcPr>
            <w:tcW w:w="5120" w:type="dxa"/>
            <w:vAlign w:val="bottom"/>
          </w:tcPr>
          <w:p>
            <w:pPr>
              <w:ind w:left="400"/>
              <w:spacing w:after="0"/>
              <w:rPr>
                <w:sz w:val="20"/>
                <w:szCs w:val="20"/>
                <w:color w:val="auto"/>
              </w:rPr>
            </w:pPr>
            <w:r>
              <w:rPr>
                <w:rFonts w:ascii="Arial" w:cs="Arial" w:eastAsia="Arial" w:hAnsi="Arial"/>
                <w:sz w:val="18"/>
                <w:szCs w:val="18"/>
                <w:color w:val="auto"/>
                <w:w w:val="99"/>
              </w:rPr>
              <w:t>We estimate that the net proceeds from our sale of ordinary</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w w:val="96"/>
              </w:rPr>
              <w:t>shares in this offering will be approximately $280,100,028 (or</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w w:val="97"/>
              </w:rPr>
              <w:t>$322,399,986 if the underwriters exercises in full their option</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to acquire additional ordinary shares) after deducting the</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underwriting discounts and commissions and estimated</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offering expenses payable by us.</w:t>
            </w:r>
          </w:p>
        </w:tc>
      </w:tr>
      <w:tr>
        <w:trPr>
          <w:trHeight w:val="350"/>
        </w:trPr>
        <w:tc>
          <w:tcPr>
            <w:tcW w:w="3060" w:type="dxa"/>
            <w:vAlign w:val="bottom"/>
          </w:tcPr>
          <w:p>
            <w:pPr>
              <w:spacing w:after="0"/>
              <w:rPr>
                <w:sz w:val="24"/>
                <w:szCs w:val="24"/>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We intend to use the net proceeds we receive from this</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offering as partial funding of the repayment of our five-year</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senior secured term loan (the “Term Loan”).</w:t>
            </w:r>
          </w:p>
        </w:tc>
      </w:tr>
      <w:tr>
        <w:trPr>
          <w:trHeight w:val="364"/>
        </w:trPr>
        <w:tc>
          <w:tcPr>
            <w:tcW w:w="3060" w:type="dxa"/>
            <w:vAlign w:val="bottom"/>
          </w:tcPr>
          <w:p>
            <w:pPr>
              <w:spacing w:after="0"/>
              <w:rPr>
                <w:sz w:val="24"/>
                <w:szCs w:val="24"/>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See “Use of Proceeds” for additional information.</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Risk Factors</w:t>
            </w:r>
          </w:p>
        </w:tc>
        <w:tc>
          <w:tcPr>
            <w:tcW w:w="5120" w:type="dxa"/>
            <w:vAlign w:val="bottom"/>
          </w:tcPr>
          <w:p>
            <w:pPr>
              <w:ind w:left="400"/>
              <w:spacing w:after="0"/>
              <w:rPr>
                <w:sz w:val="20"/>
                <w:szCs w:val="20"/>
                <w:color w:val="auto"/>
              </w:rPr>
            </w:pPr>
            <w:r>
              <w:rPr>
                <w:rFonts w:ascii="Arial" w:cs="Arial" w:eastAsia="Arial" w:hAnsi="Arial"/>
                <w:sz w:val="18"/>
                <w:szCs w:val="18"/>
                <w:color w:val="auto"/>
                <w:w w:val="95"/>
              </w:rPr>
              <w:t>See “Risk Factors” beginning on page S-12 of this prospectus</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w w:val="95"/>
              </w:rPr>
              <w:t>supplement and other information included or incorporated by</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reference into this prospectus supplement and the</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accompanying prospectus for a discussion of factors you</w:t>
            </w:r>
          </w:p>
        </w:tc>
      </w:tr>
      <w:tr>
        <w:trPr>
          <w:trHeight w:val="216"/>
        </w:trPr>
        <w:tc>
          <w:tcPr>
            <w:tcW w:w="3060" w:type="dxa"/>
            <w:vAlign w:val="bottom"/>
          </w:tcPr>
          <w:p>
            <w:pPr>
              <w:spacing w:after="0"/>
              <w:rPr>
                <w:sz w:val="18"/>
                <w:szCs w:val="18"/>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should carefully consider before investing in our ordinary</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shares.</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Nasdaq Global Market Symbol</w:t>
            </w:r>
          </w:p>
        </w:tc>
        <w:tc>
          <w:tcPr>
            <w:tcW w:w="5120" w:type="dxa"/>
            <w:vAlign w:val="bottom"/>
          </w:tcPr>
          <w:p>
            <w:pPr>
              <w:ind w:left="400"/>
              <w:spacing w:after="0"/>
              <w:rPr>
                <w:sz w:val="20"/>
                <w:szCs w:val="20"/>
                <w:color w:val="auto"/>
              </w:rPr>
            </w:pPr>
            <w:r>
              <w:rPr>
                <w:rFonts w:ascii="Arial" w:cs="Arial" w:eastAsia="Arial" w:hAnsi="Arial"/>
                <w:sz w:val="18"/>
                <w:szCs w:val="18"/>
                <w:color w:val="auto"/>
                <w:w w:val="95"/>
              </w:rPr>
              <w:t>Our ordinary shares are listed on the NASDAQ Global Market</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under the symbol “LIVN.”</w:t>
            </w:r>
          </w:p>
        </w:tc>
      </w:tr>
      <w:tr>
        <w:trPr>
          <w:trHeight w:val="310"/>
        </w:trPr>
        <w:tc>
          <w:tcPr>
            <w:tcW w:w="3060" w:type="dxa"/>
            <w:vAlign w:val="bottom"/>
          </w:tcPr>
          <w:p>
            <w:pPr>
              <w:spacing w:after="0"/>
              <w:rPr>
                <w:sz w:val="20"/>
                <w:szCs w:val="20"/>
                <w:color w:val="auto"/>
              </w:rPr>
            </w:pPr>
            <w:r>
              <w:rPr>
                <w:rFonts w:ascii="Arial" w:cs="Arial" w:eastAsia="Arial" w:hAnsi="Arial"/>
                <w:sz w:val="18"/>
                <w:szCs w:val="18"/>
                <w:color w:val="auto"/>
              </w:rPr>
              <w:t>Transfer Agent</w:t>
            </w:r>
          </w:p>
        </w:tc>
        <w:tc>
          <w:tcPr>
            <w:tcW w:w="5120" w:type="dxa"/>
            <w:vAlign w:val="bottom"/>
          </w:tcPr>
          <w:p>
            <w:pPr>
              <w:ind w:left="400"/>
              <w:spacing w:after="0"/>
              <w:rPr>
                <w:sz w:val="20"/>
                <w:szCs w:val="20"/>
                <w:color w:val="auto"/>
              </w:rPr>
            </w:pPr>
            <w:r>
              <w:rPr>
                <w:rFonts w:ascii="Arial" w:cs="Arial" w:eastAsia="Arial" w:hAnsi="Arial"/>
                <w:sz w:val="18"/>
                <w:szCs w:val="18"/>
                <w:color w:val="auto"/>
              </w:rPr>
              <w:t>The transfer agent and registrar for our ordinary shares is</w:t>
            </w:r>
          </w:p>
        </w:tc>
      </w:tr>
      <w:tr>
        <w:trPr>
          <w:trHeight w:val="230"/>
        </w:trPr>
        <w:tc>
          <w:tcPr>
            <w:tcW w:w="3060" w:type="dxa"/>
            <w:vAlign w:val="bottom"/>
          </w:tcPr>
          <w:p>
            <w:pPr>
              <w:spacing w:after="0"/>
              <w:rPr>
                <w:sz w:val="20"/>
                <w:szCs w:val="20"/>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Computershare Trust Company, N.A.</w:t>
            </w:r>
          </w:p>
        </w:tc>
      </w:tr>
    </w:tbl>
    <w:p>
      <w:pPr>
        <w:spacing w:after="0" w:line="337" w:lineRule="exact"/>
        <w:rPr>
          <w:sz w:val="20"/>
          <w:szCs w:val="20"/>
          <w:color w:val="auto"/>
        </w:rPr>
      </w:pPr>
    </w:p>
    <w:p>
      <w:pPr>
        <w:ind w:left="1640" w:right="539" w:hanging="362"/>
        <w:spacing w:after="0" w:line="342" w:lineRule="auto"/>
        <w:tabs>
          <w:tab w:leader="none" w:pos="1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our ordinary shares that will be outstanding after this offering is based on 48,983,280 ordinary shares outstanding as of June 30, 2021. The number of ordinary shares outstanding excludes:</w:t>
      </w:r>
    </w:p>
    <w:p>
      <w:pPr>
        <w:spacing w:after="0" w:line="15" w:lineRule="exact"/>
        <w:rPr>
          <w:rFonts w:ascii="Arial" w:cs="Arial" w:eastAsia="Arial" w:hAnsi="Arial"/>
          <w:sz w:val="16"/>
          <w:szCs w:val="16"/>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826,762 restricted stock unit awards as of June 30, 2021;</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5"/>
        </w:numPr>
        <w:rPr>
          <w:rFonts w:ascii="Arial" w:cs="Arial" w:eastAsia="Arial" w:hAnsi="Arial"/>
          <w:sz w:val="17"/>
          <w:szCs w:val="17"/>
          <w:color w:val="auto"/>
        </w:rPr>
      </w:pPr>
      <w:r>
        <w:rPr>
          <w:rFonts w:ascii="Arial" w:cs="Arial" w:eastAsia="Arial" w:hAnsi="Arial"/>
          <w:sz w:val="17"/>
          <w:szCs w:val="17"/>
          <w:color w:val="auto"/>
        </w:rPr>
        <w:t>346,967 performance-based and market-based restricted stock unit awards as of June 30, 2021;</w:t>
      </w:r>
    </w:p>
    <w:p>
      <w:pPr>
        <w:spacing w:after="0" w:line="128" w:lineRule="exact"/>
        <w:rPr>
          <w:rFonts w:ascii="Arial" w:cs="Arial" w:eastAsia="Arial" w:hAnsi="Arial"/>
          <w:sz w:val="17"/>
          <w:szCs w:val="17"/>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2,971,058 stock appreciation rights and stock option awards as of June 30, 2021; and</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2,858,906 shares reserved for future issuance under our 2015 Incentive Award Plan.</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62" w:lineRule="exact"/>
        <w:rPr>
          <w:sz w:val="20"/>
          <w:szCs w:val="20"/>
          <w:color w:val="auto"/>
        </w:rPr>
      </w:pPr>
    </w:p>
    <w:p>
      <w:pPr>
        <w:ind w:left="1280" w:right="399" w:firstLine="3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following summary consolidated financial data is qualified by reference to and should be read in conjunction with “Management’s Discussion and Analysis of Financial Condition and Results of </w:t>
      </w:r>
      <w:hyperlink r:id="rId22">
        <w:r>
          <w:rPr>
            <w:rFonts w:ascii="Arial" w:cs="Arial" w:eastAsia="Arial" w:hAnsi="Arial"/>
            <w:sz w:val="17"/>
            <w:szCs w:val="17"/>
            <w:color w:val="auto"/>
          </w:rPr>
          <w:t xml:space="preserve">Operations” in our Annual Report on </w:t>
        </w:r>
        <w:r>
          <w:rPr>
            <w:rFonts w:ascii="Arial" w:cs="Arial" w:eastAsia="Arial" w:hAnsi="Arial"/>
            <w:sz w:val="17"/>
            <w:szCs w:val="17"/>
            <w:u w:val="single" w:color="auto"/>
            <w:color w:val="0000EE"/>
          </w:rPr>
          <w:t>Form 10-K for the year ended December 31, 2020</w:t>
        </w:r>
        <w:r>
          <w:rPr>
            <w:rFonts w:ascii="Arial" w:cs="Arial" w:eastAsia="Arial" w:hAnsi="Arial"/>
            <w:sz w:val="17"/>
            <w:szCs w:val="17"/>
            <w:color w:val="auto"/>
          </w:rPr>
          <w:t xml:space="preserve">, our </w:t>
        </w:r>
        <w:r>
          <w:rPr>
            <w:rFonts w:ascii="Arial" w:cs="Arial" w:eastAsia="Arial" w:hAnsi="Arial"/>
            <w:sz w:val="17"/>
            <w:szCs w:val="17"/>
            <w:u w:val="single" w:color="auto"/>
            <w:color w:val="0000EE"/>
          </w:rPr>
          <w:t>Quarterly</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Report on Form 10-Q for the six months ended June 30, 2021</w:t>
        </w:r>
        <w:r>
          <w:rPr>
            <w:rFonts w:ascii="Arial" w:cs="Arial" w:eastAsia="Arial" w:hAnsi="Arial"/>
            <w:sz w:val="17"/>
            <w:szCs w:val="17"/>
            <w:color w:val="0000EE"/>
          </w:rPr>
          <w:t xml:space="preserve"> </w:t>
        </w:r>
        <w:r>
          <w:rPr>
            <w:rFonts w:ascii="Arial" w:cs="Arial" w:eastAsia="Arial" w:hAnsi="Arial"/>
            <w:sz w:val="17"/>
            <w:szCs w:val="17"/>
            <w:color w:val="000000"/>
          </w:rPr>
          <w:t xml:space="preserve">and the consolidated financial statements </w:t>
        </w:r>
      </w:hyperlink>
      <w:r>
        <w:rPr>
          <w:rFonts w:ascii="Arial" w:cs="Arial" w:eastAsia="Arial" w:hAnsi="Arial"/>
          <w:sz w:val="17"/>
          <w:szCs w:val="17"/>
          <w:color w:val="0000EE"/>
        </w:rPr>
        <w:t xml:space="preserve">and </w:t>
      </w:r>
      <w:r>
        <w:rPr>
          <w:rFonts w:ascii="Arial" w:cs="Arial" w:eastAsia="Arial" w:hAnsi="Arial"/>
          <w:sz w:val="17"/>
          <w:szCs w:val="17"/>
          <w:color w:val="000000"/>
        </w:rPr>
        <w:t>the related notes incorporated by reference into the accompanying prospectus. The summary consolidated financial data in this section are not intended to replace our consolidated financial statements and the related notes and are qualified in their entirety by the consolidated financial statements and related notes incorporated by reference in this prospectus supplement. Our historical results are not necessarily indicative of the results to be expected in the future and the results for the six months ended June 30, 2021 are not necessarily indicative of results to be expected for the full year or any other period.</w:t>
      </w:r>
    </w:p>
    <w:p>
      <w:pPr>
        <w:spacing w:after="0" w:line="105" w:lineRule="exact"/>
        <w:rPr>
          <w:sz w:val="20"/>
          <w:szCs w:val="20"/>
          <w:color w:val="auto"/>
        </w:rPr>
      </w:pPr>
    </w:p>
    <w:tbl>
      <w:tblPr>
        <w:tblLayout w:type="fixed"/>
        <w:tblInd w:w="1280" w:type="dxa"/>
        <w:tblCellMar>
          <w:top w:w="0" w:type="dxa"/>
          <w:left w:w="0" w:type="dxa"/>
          <w:bottom w:w="0" w:type="dxa"/>
          <w:right w:w="0" w:type="dxa"/>
        </w:tblCellMar>
      </w:tblPr>
      <w:tr>
        <w:trPr>
          <w:trHeight w:val="243"/>
        </w:trPr>
        <w:tc>
          <w:tcPr>
            <w:tcW w:w="5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89"/>
              </w:rPr>
              <w:t>Six Months Ended June 30</w:t>
            </w:r>
            <w:r>
              <w:rPr>
                <w:rFonts w:ascii="Arial" w:cs="Arial" w:eastAsia="Arial" w:hAnsi="Arial"/>
                <w:sz w:val="21"/>
                <w:szCs w:val="21"/>
                <w:b w:val="1"/>
                <w:bCs w:val="1"/>
                <w:color w:val="auto"/>
                <w:w w:val="89"/>
                <w:vertAlign w:val="superscript"/>
              </w:rPr>
              <w:t>(1)</w:t>
            </w:r>
            <w:r>
              <w:rPr>
                <w:rFonts w:ascii="Arial" w:cs="Arial" w:eastAsia="Arial" w:hAnsi="Arial"/>
                <w:sz w:val="14"/>
                <w:szCs w:val="14"/>
                <w:b w:val="1"/>
                <w:bCs w:val="1"/>
                <w:color w:val="auto"/>
                <w:w w:val="89"/>
              </w:rPr>
              <w:t>,</w:t>
            </w:r>
          </w:p>
        </w:tc>
      </w:tr>
      <w:tr>
        <w:trPr>
          <w:trHeight w:val="197"/>
        </w:trPr>
        <w:tc>
          <w:tcPr>
            <w:tcW w:w="586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r>
      <w:tr>
        <w:trPr>
          <w:trHeight w:val="26"/>
        </w:trPr>
        <w:tc>
          <w:tcPr>
            <w:tcW w:w="58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50"/>
        </w:trPr>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Net sales</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$512,086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$424,603</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40" w:type="dxa"/>
            <w:vAlign w:val="bottom"/>
            <w:gridSpan w:val="2"/>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173,723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141,631</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gridSpan w:val="2"/>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338,363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282,972</w:t>
            </w: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56"/>
        </w:trPr>
        <w:tc>
          <w:tcPr>
            <w:tcW w:w="58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238,429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227,675</w:t>
            </w:r>
          </w:p>
        </w:tc>
      </w:tr>
      <w:tr>
        <w:trPr>
          <w:trHeight w:val="257"/>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97,182</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61,054</w:t>
            </w:r>
          </w:p>
        </w:tc>
      </w:tr>
      <w:tr>
        <w:trPr>
          <w:trHeight w:val="263"/>
        </w:trPr>
        <w:tc>
          <w:tcPr>
            <w:tcW w:w="586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40" w:type="dxa"/>
            <w:vAlign w:val="bottom"/>
            <w:gridSpan w:val="2"/>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42,036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8,872</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from continuing operations</w:t>
            </w:r>
          </w:p>
        </w:tc>
        <w:tc>
          <w:tcPr>
            <w:tcW w:w="3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(39,284)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(14,629)</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r>
      <w:tr>
        <w:trPr>
          <w:trHeight w:val="25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(32,451)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(10,564)</w:t>
            </w:r>
          </w:p>
        </w:tc>
      </w:tr>
      <w:tr>
        <w:trPr>
          <w:trHeight w:val="263"/>
        </w:trPr>
        <w:tc>
          <w:tcPr>
            <w:tcW w:w="5860" w:type="dxa"/>
            <w:vAlign w:val="bottom"/>
          </w:tcPr>
          <w:p>
            <w:pPr>
              <w:spacing w:after="0"/>
              <w:rPr>
                <w:sz w:val="20"/>
                <w:szCs w:val="20"/>
                <w:color w:val="auto"/>
              </w:rPr>
            </w:pPr>
            <w:r>
              <w:rPr>
                <w:rFonts w:ascii="Arial" w:cs="Arial" w:eastAsia="Arial" w:hAnsi="Arial"/>
                <w:sz w:val="18"/>
                <w:szCs w:val="18"/>
                <w:color w:val="auto"/>
              </w:rPr>
              <w:t>Foreign exchange and other losses</w:t>
            </w:r>
          </w:p>
        </w:tc>
        <w:tc>
          <w:tcPr>
            <w:tcW w:w="340" w:type="dxa"/>
            <w:vAlign w:val="bottom"/>
            <w:gridSpan w:val="2"/>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(6,319)</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tax</w:t>
            </w:r>
          </w:p>
        </w:tc>
        <w:tc>
          <w:tcPr>
            <w:tcW w:w="3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(77,939)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(27,671)</w:t>
            </w:r>
          </w:p>
        </w:tc>
      </w:tr>
      <w:tr>
        <w:trPr>
          <w:trHeight w:val="257"/>
        </w:trPr>
        <w:tc>
          <w:tcPr>
            <w:tcW w:w="586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6,996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21,571</w:t>
            </w:r>
          </w:p>
        </w:tc>
      </w:tr>
      <w:tr>
        <w:trPr>
          <w:trHeight w:val="263"/>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Losses from equity method investments</w:t>
            </w:r>
          </w:p>
        </w:tc>
        <w:tc>
          <w:tcPr>
            <w:tcW w:w="3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gridSpan w:val="2"/>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(85,016)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(49,415)</w:t>
            </w:r>
          </w:p>
        </w:tc>
      </w:tr>
      <w:tr>
        <w:trPr>
          <w:trHeight w:val="277"/>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from discontinued operations, net of tax</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spacing w:after="0"/>
              <w:rPr>
                <w:sz w:val="24"/>
                <w:szCs w:val="2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(995)</w:t>
            </w:r>
          </w:p>
        </w:tc>
      </w:tr>
      <w:tr>
        <w:trPr>
          <w:trHeight w:val="20"/>
        </w:trPr>
        <w:tc>
          <w:tcPr>
            <w:tcW w:w="58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83"/>
        </w:trPr>
        <w:tc>
          <w:tcPr>
            <w:tcW w:w="58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(85,016)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 (50,410)</w:t>
            </w: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61"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Year Ended December 31,</w:t>
            </w:r>
          </w:p>
        </w:tc>
      </w:tr>
      <w:tr>
        <w:trPr>
          <w:trHeight w:val="25"/>
        </w:trPr>
        <w:tc>
          <w:tcPr>
            <w:tcW w:w="5400" w:type="dxa"/>
            <w:vAlign w:val="bottom"/>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5"/>
        </w:trPr>
        <w:tc>
          <w:tcPr>
            <w:tcW w:w="54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2018</w:t>
            </w:r>
          </w:p>
        </w:tc>
      </w:tr>
      <w:tr>
        <w:trPr>
          <w:trHeight w:val="25"/>
        </w:trPr>
        <w:tc>
          <w:tcPr>
            <w:tcW w:w="5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57"/>
        </w:trPr>
        <w:tc>
          <w:tcPr>
            <w:tcW w:w="54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$934,241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$1,084,170</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$1,106,961</w:t>
            </w:r>
          </w:p>
        </w:tc>
      </w:tr>
      <w:tr>
        <w:trPr>
          <w:trHeight w:val="25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Cost of sales – exclusive of amortization</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308,062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323,517</w:t>
            </w:r>
          </w:p>
        </w:tc>
        <w:tc>
          <w:tcPr>
            <w:tcW w:w="840" w:type="dxa"/>
            <w:vAlign w:val="bottom"/>
          </w:tcPr>
          <w:p>
            <w:pPr>
              <w:jc w:val="right"/>
              <w:spacing w:after="0"/>
              <w:rPr>
                <w:sz w:val="20"/>
                <w:szCs w:val="20"/>
                <w:color w:val="auto"/>
              </w:rPr>
            </w:pPr>
            <w:r>
              <w:rPr>
                <w:rFonts w:ascii="Arial" w:cs="Arial" w:eastAsia="Arial" w:hAnsi="Arial"/>
                <w:sz w:val="18"/>
                <w:szCs w:val="18"/>
                <w:color w:val="auto"/>
              </w:rPr>
              <w:t>361,321</w:t>
            </w:r>
          </w:p>
        </w:tc>
      </w:tr>
      <w:tr>
        <w:trPr>
          <w:trHeight w:val="257"/>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Product remediation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15,777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w:t>
            </w:r>
          </w:p>
        </w:tc>
      </w:tr>
      <w:tr>
        <w:trPr>
          <w:trHeight w:val="25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427,770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506,478</w:t>
            </w:r>
          </w:p>
        </w:tc>
        <w:tc>
          <w:tcPr>
            <w:tcW w:w="840" w:type="dxa"/>
            <w:vAlign w:val="bottom"/>
          </w:tcPr>
          <w:p>
            <w:pPr>
              <w:jc w:val="right"/>
              <w:spacing w:after="0"/>
              <w:rPr>
                <w:sz w:val="20"/>
                <w:szCs w:val="20"/>
                <w:color w:val="auto"/>
              </w:rPr>
            </w:pPr>
            <w:r>
              <w:rPr>
                <w:rFonts w:ascii="Arial" w:cs="Arial" w:eastAsia="Arial" w:hAnsi="Arial"/>
                <w:sz w:val="18"/>
                <w:szCs w:val="18"/>
                <w:color w:val="auto"/>
              </w:rPr>
              <w:t>464,967</w:t>
            </w:r>
          </w:p>
        </w:tc>
      </w:tr>
      <w:tr>
        <w:trPr>
          <w:trHeight w:val="257"/>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152,902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146,849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145,948</w:t>
            </w:r>
          </w:p>
        </w:tc>
      </w:tr>
      <w:tr>
        <w:trPr>
          <w:trHeight w:val="27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Merger and integration expenses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7,333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23,457</w:t>
            </w:r>
          </w:p>
        </w:tc>
        <w:tc>
          <w:tcPr>
            <w:tcW w:w="840" w:type="dxa"/>
            <w:vAlign w:val="bottom"/>
          </w:tcPr>
          <w:p>
            <w:pPr>
              <w:jc w:val="right"/>
              <w:spacing w:after="0"/>
              <w:rPr>
                <w:sz w:val="20"/>
                <w:szCs w:val="20"/>
                <w:color w:val="auto"/>
              </w:rPr>
            </w:pPr>
            <w:r>
              <w:rPr>
                <w:rFonts w:ascii="Arial" w:cs="Arial" w:eastAsia="Arial" w:hAnsi="Arial"/>
                <w:sz w:val="18"/>
                <w:szCs w:val="18"/>
                <w:color w:val="auto"/>
              </w:rPr>
              <w:t>24,420</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expenses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15,915</w:t>
            </w:r>
          </w:p>
        </w:tc>
      </w:tr>
      <w:tr>
        <w:trPr>
          <w:trHeight w:val="27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Impairment of disposal group</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180,160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Impairment of goodwill</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21,269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42,417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8"/>
              </w:rPr>
              <w:t>Year Ended December 31,</w:t>
            </w:r>
          </w:p>
        </w:tc>
      </w:tr>
      <w:tr>
        <w:trPr>
          <w:trHeight w:val="26"/>
        </w:trPr>
        <w:tc>
          <w:tcPr>
            <w:tcW w:w="1940" w:type="dxa"/>
            <w:vAlign w:val="bottom"/>
          </w:tcPr>
          <w:p>
            <w:pPr>
              <w:spacing w:after="0"/>
              <w:rPr>
                <w:sz w:val="2"/>
                <w:szCs w:val="2"/>
                <w:color w:val="auto"/>
              </w:rPr>
            </w:pPr>
          </w:p>
        </w:tc>
        <w:tc>
          <w:tcPr>
            <w:tcW w:w="346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8"/>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7"/>
                <w:szCs w:val="17"/>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Impairment of long-lived assets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142,517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21"/>
                <w:szCs w:val="21"/>
                <w:color w:val="auto"/>
              </w:rPr>
            </w:pPr>
          </w:p>
        </w:tc>
      </w:tr>
      <w:tr>
        <w:trPr>
          <w:trHeight w:val="257"/>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Amortization of intangibles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38,312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40,375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37,194</w:t>
            </w:r>
          </w:p>
        </w:tc>
      </w:tr>
      <w:tr>
        <w:trPr>
          <w:trHeight w:val="256"/>
        </w:trPr>
        <w:tc>
          <w:tcPr>
            <w:tcW w:w="5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Decommissioning provision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42,198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63"/>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Litigation provisions, net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3,906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294,021</w:t>
            </w:r>
          </w:p>
        </w:tc>
      </w:tr>
      <w:tr>
        <w:trPr>
          <w:trHeight w:val="20"/>
        </w:trPr>
        <w:tc>
          <w:tcPr>
            <w:tcW w:w="1940" w:type="dxa"/>
            <w:vAlign w:val="bottom"/>
            <w:shd w:val="clear" w:color="auto" w:fill="CCEEFF"/>
          </w:tcPr>
          <w:p>
            <w:pPr>
              <w:spacing w:after="0" w:line="20" w:lineRule="exact"/>
              <w:rPr>
                <w:sz w:val="1"/>
                <w:szCs w:val="1"/>
                <w:color w:val="auto"/>
              </w:rPr>
            </w:pPr>
          </w:p>
        </w:tc>
        <w:tc>
          <w:tcPr>
            <w:tcW w:w="3460" w:type="dxa"/>
            <w:vAlign w:val="bottom"/>
            <w:gridSpan w:val="2"/>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54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loss from continuing operations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(269,864)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(168,870)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(248,072)</w:t>
            </w:r>
          </w:p>
        </w:tc>
        <w:tc>
          <w:tcPr>
            <w:tcW w:w="60" w:type="dxa"/>
            <w:vAlign w:val="bottom"/>
          </w:tcPr>
          <w:p>
            <w:pPr>
              <w:spacing w:after="0"/>
              <w:rPr>
                <w:sz w:val="22"/>
                <w:szCs w:val="22"/>
                <w:color w:val="auto"/>
              </w:rPr>
            </w:pPr>
          </w:p>
        </w:tc>
      </w:tr>
      <w:tr>
        <w:trPr>
          <w:trHeight w:val="257"/>
        </w:trPr>
        <w:tc>
          <w:tcPr>
            <w:tcW w:w="54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847</w:t>
            </w:r>
          </w:p>
        </w:tc>
      </w:tr>
      <w:tr>
        <w:trPr>
          <w:trHeight w:val="257"/>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60" w:type="dxa"/>
            <w:vAlign w:val="bottom"/>
          </w:tcPr>
          <w:p>
            <w:pPr>
              <w:spacing w:after="0"/>
              <w:rPr>
                <w:sz w:val="22"/>
                <w:szCs w:val="22"/>
                <w:color w:val="auto"/>
              </w:rPr>
            </w:pPr>
          </w:p>
        </w:tc>
      </w:tr>
      <w:tr>
        <w:trPr>
          <w:trHeight w:val="257"/>
        </w:trPr>
        <w:tc>
          <w:tcPr>
            <w:tcW w:w="5400" w:type="dxa"/>
            <w:vAlign w:val="bottom"/>
            <w:gridSpan w:val="3"/>
          </w:tcPr>
          <w:p>
            <w:pPr>
              <w:spacing w:after="0"/>
              <w:rPr>
                <w:sz w:val="20"/>
                <w:szCs w:val="20"/>
                <w:color w:val="auto"/>
              </w:rPr>
            </w:pPr>
            <w:r>
              <w:rPr>
                <w:rFonts w:ascii="Arial" w:cs="Arial" w:eastAsia="Arial" w:hAnsi="Arial"/>
                <w:sz w:val="18"/>
                <w:szCs w:val="18"/>
                <w:color w:val="auto"/>
              </w:rPr>
              <w:t>Gain on acquisition</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11,484</w:t>
            </w:r>
          </w:p>
        </w:tc>
      </w:tr>
      <w:tr>
        <w:trPr>
          <w:trHeight w:val="26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and other losses</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(33,417)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00" w:type="dxa"/>
            <w:vAlign w:val="bottom"/>
            <w:gridSpan w:val="3"/>
          </w:tcPr>
          <w:p>
            <w:pPr>
              <w:spacing w:after="0"/>
              <w:rPr>
                <w:sz w:val="20"/>
                <w:szCs w:val="20"/>
                <w:color w:val="auto"/>
              </w:rPr>
            </w:pPr>
            <w:r>
              <w:rPr>
                <w:rFonts w:ascii="Arial" w:cs="Arial" w:eastAsia="Arial" w:hAnsi="Arial"/>
                <w:sz w:val="18"/>
                <w:szCs w:val="18"/>
                <w:color w:val="auto"/>
              </w:rPr>
              <w:t>Loss from continuing operations before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(343,987)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(185,694)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(247,447)</w:t>
            </w:r>
          </w:p>
        </w:tc>
      </w:tr>
      <w:tr>
        <w:trPr>
          <w:trHeight w:val="20"/>
        </w:trPr>
        <w:tc>
          <w:tcPr>
            <w:tcW w:w="1940" w:type="dxa"/>
            <w:vAlign w:val="bottom"/>
            <w:shd w:val="clear" w:color="auto" w:fill="CCEEFF"/>
          </w:tcPr>
          <w:p>
            <w:pPr>
              <w:spacing w:after="0" w:line="20" w:lineRule="exact"/>
              <w:rPr>
                <w:sz w:val="1"/>
                <w:szCs w:val="1"/>
                <w:color w:val="auto"/>
              </w:rPr>
            </w:pPr>
          </w:p>
        </w:tc>
        <w:tc>
          <w:tcPr>
            <w:tcW w:w="3460" w:type="dxa"/>
            <w:vAlign w:val="bottom"/>
            <w:gridSpan w:val="2"/>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(30,153)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(69,629)</w:t>
            </w:r>
          </w:p>
        </w:tc>
        <w:tc>
          <w:tcPr>
            <w:tcW w:w="60" w:type="dxa"/>
            <w:vAlign w:val="bottom"/>
          </w:tcPr>
          <w:p>
            <w:pPr>
              <w:spacing w:after="0"/>
              <w:rPr>
                <w:sz w:val="22"/>
                <w:szCs w:val="22"/>
                <w:color w:val="auto"/>
              </w:rPr>
            </w:pPr>
          </w:p>
        </w:tc>
      </w:tr>
      <w:tr>
        <w:trPr>
          <w:trHeight w:val="263"/>
        </w:trPr>
        <w:tc>
          <w:tcPr>
            <w:tcW w:w="5400" w:type="dxa"/>
            <w:vAlign w:val="bottom"/>
            <w:gridSpan w:val="3"/>
          </w:tcPr>
          <w:p>
            <w:pPr>
              <w:spacing w:after="0"/>
              <w:rPr>
                <w:sz w:val="20"/>
                <w:szCs w:val="20"/>
                <w:color w:val="auto"/>
              </w:rPr>
            </w:pPr>
            <w:r>
              <w:rPr>
                <w:rFonts w:ascii="Arial" w:cs="Arial" w:eastAsia="Arial" w:hAnsi="Arial"/>
                <w:sz w:val="18"/>
                <w:szCs w:val="18"/>
                <w:color w:val="auto"/>
              </w:rPr>
              <w:t>Losses from equity method investments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(644)</w:t>
            </w: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(343,515)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(155,541)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(178,462)</w:t>
            </w:r>
          </w:p>
        </w:tc>
        <w:tc>
          <w:tcPr>
            <w:tcW w:w="60" w:type="dxa"/>
            <w:vAlign w:val="bottom"/>
          </w:tcPr>
          <w:p>
            <w:pPr>
              <w:spacing w:after="0"/>
              <w:rPr>
                <w:sz w:val="22"/>
                <w:szCs w:val="22"/>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Net (loss) income from discontinued operations, net of tax</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(1,493)</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(10,937)</w:t>
            </w:r>
          </w:p>
        </w:tc>
      </w:tr>
      <w:tr>
        <w:trPr>
          <w:trHeight w:val="20"/>
        </w:trPr>
        <w:tc>
          <w:tcPr>
            <w:tcW w:w="1940" w:type="dxa"/>
            <w:vAlign w:val="bottom"/>
            <w:shd w:val="clear" w:color="auto" w:fill="CCEEFF"/>
          </w:tcPr>
          <w:p>
            <w:pPr>
              <w:spacing w:after="0" w:line="20" w:lineRule="exact"/>
              <w:rPr>
                <w:sz w:val="1"/>
                <w:szCs w:val="1"/>
                <w:color w:val="auto"/>
              </w:rPr>
            </w:pPr>
          </w:p>
        </w:tc>
        <w:tc>
          <w:tcPr>
            <w:tcW w:w="3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5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(345,008)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 (155,176)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(189,399)</w:t>
            </w:r>
          </w:p>
        </w:tc>
        <w:tc>
          <w:tcPr>
            <w:tcW w:w="60" w:type="dxa"/>
            <w:vAlign w:val="bottom"/>
          </w:tcPr>
          <w:p>
            <w:pPr>
              <w:spacing w:after="0"/>
              <w:rPr>
                <w:sz w:val="24"/>
                <w:szCs w:val="24"/>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1940" w:type="dxa"/>
            <w:vAlign w:val="bottom"/>
            <w:tcBorders>
              <w:bottom w:val="single" w:sz="8" w:color="auto"/>
            </w:tcBorders>
          </w:tcPr>
          <w:p>
            <w:pPr>
              <w:spacing w:after="0"/>
              <w:rPr>
                <w:sz w:val="17"/>
                <w:szCs w:val="17"/>
                <w:color w:val="auto"/>
              </w:rPr>
            </w:pPr>
          </w:p>
        </w:tc>
        <w:tc>
          <w:tcPr>
            <w:tcW w:w="3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134" w:lineRule="exact"/>
        <w:rPr>
          <w:sz w:val="20"/>
          <w:szCs w:val="20"/>
          <w:color w:val="auto"/>
        </w:rPr>
      </w:pPr>
    </w:p>
    <w:p>
      <w:pPr>
        <w:ind w:left="1640" w:right="439" w:hanging="362"/>
        <w:spacing w:after="0" w:line="257" w:lineRule="auto"/>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our Form 10-Q for the six months ended June 30, 2021 we revised the presentation of certain items on the condensed consolidated statements of income (loss) as compared to presentation in the Form 10-K for the year ended December 31, 2020. The condensed consolidated statement of income (loss) for the six months ended June 30, 2020 has been conformed to this presentation. These revisions are summarized as follows:</w:t>
      </w:r>
    </w:p>
    <w:p>
      <w:pPr>
        <w:spacing w:after="0" w:line="79" w:lineRule="exact"/>
        <w:rPr>
          <w:rFonts w:ascii="Arial" w:cs="Arial" w:eastAsia="Arial" w:hAnsi="Arial"/>
          <w:sz w:val="18"/>
          <w:szCs w:val="18"/>
          <w:color w:val="auto"/>
        </w:rPr>
      </w:pPr>
    </w:p>
    <w:p>
      <w:pPr>
        <w:ind w:left="1820" w:hanging="182"/>
        <w:spacing w:after="0"/>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Product remediation is now included within cost of sales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Merger and integration expenses are now included within other operating expenses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Restructuring expenses are now included within other operating expenses</w:t>
      </w:r>
    </w:p>
    <w:p>
      <w:pPr>
        <w:spacing w:after="0" w:line="117" w:lineRule="exact"/>
        <w:rPr>
          <w:rFonts w:ascii="Arial" w:cs="Arial" w:eastAsia="Arial" w:hAnsi="Arial"/>
          <w:sz w:val="18"/>
          <w:szCs w:val="18"/>
          <w:color w:val="auto"/>
        </w:rPr>
      </w:pPr>
    </w:p>
    <w:p>
      <w:pPr>
        <w:ind w:left="1820" w:hanging="182"/>
        <w:spacing w:after="0"/>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Litigation provision, net is now included within other operating expenses and</w:t>
      </w:r>
    </w:p>
    <w:p>
      <w:pPr>
        <w:spacing w:after="0" w:line="117" w:lineRule="exact"/>
        <w:rPr>
          <w:rFonts w:ascii="Arial" w:cs="Arial" w:eastAsia="Arial" w:hAnsi="Arial"/>
          <w:sz w:val="18"/>
          <w:szCs w:val="18"/>
          <w:color w:val="auto"/>
        </w:rPr>
      </w:pPr>
    </w:p>
    <w:p>
      <w:pPr>
        <w:ind w:left="1820" w:right="1499" w:hanging="182"/>
        <w:spacing w:after="0" w:line="277" w:lineRule="auto"/>
        <w:tabs>
          <w:tab w:leader="none" w:pos="18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Amortization of intangibles is now included within cost of sales or selling, general and administrative based on the nature of the underlying intangible asset.</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180"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740" w:type="dxa"/>
            <w:vAlign w:val="bottom"/>
            <w:gridSpan w:val="11"/>
          </w:tcPr>
          <w:p>
            <w:pPr>
              <w:jc w:val="right"/>
              <w:ind w:right="80"/>
              <w:spacing w:after="0"/>
              <w:rPr>
                <w:sz w:val="20"/>
                <w:szCs w:val="20"/>
                <w:color w:val="auto"/>
              </w:rPr>
            </w:pPr>
            <w:r>
              <w:rPr>
                <w:rFonts w:ascii="Arial" w:cs="Arial" w:eastAsia="Arial" w:hAnsi="Arial"/>
                <w:sz w:val="14"/>
                <w:szCs w:val="14"/>
                <w:b w:val="1"/>
                <w:bCs w:val="1"/>
                <w:color w:val="auto"/>
                <w:w w:val="90"/>
              </w:rPr>
              <w:t>Six Months Ended June 30,</w:t>
            </w:r>
          </w:p>
        </w:tc>
        <w:tc>
          <w:tcPr>
            <w:tcW w:w="0" w:type="dxa"/>
            <w:vAlign w:val="bottom"/>
          </w:tcPr>
          <w:p>
            <w:pPr>
              <w:spacing w:after="0"/>
              <w:rPr>
                <w:sz w:val="1"/>
                <w:szCs w:val="1"/>
                <w:color w:val="auto"/>
              </w:rPr>
            </w:pPr>
          </w:p>
        </w:tc>
      </w:tr>
      <w:tr>
        <w:trPr>
          <w:trHeight w:val="26"/>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data)</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(loss) income per share: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2"/>
                <w:szCs w:val="22"/>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(7.07)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(7.10)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2"/>
                <w:szCs w:val="22"/>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(loss) income per share</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spacing w:after="0"/>
              <w:rPr>
                <w:sz w:val="23"/>
                <w:szCs w:val="23"/>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(7.07)</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3"/>
                <w:szCs w:val="23"/>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3"/>
                <w:szCs w:val="23"/>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(7.10)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Shares used in computing basic (loss) income per</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7"/>
              </w:rPr>
              <w:t>48,592</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48,349</w:t>
            </w:r>
          </w:p>
        </w:tc>
        <w:tc>
          <w:tcPr>
            <w:tcW w:w="10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48,497</w:t>
            </w:r>
          </w:p>
        </w:tc>
        <w:tc>
          <w:tcPr>
            <w:tcW w:w="120" w:type="dxa"/>
            <w:vAlign w:val="bottom"/>
            <w:shd w:val="clear" w:color="auto" w:fill="CCEEFF"/>
          </w:tcPr>
          <w:p>
            <w:pPr>
              <w:spacing w:after="0"/>
              <w:rPr>
                <w:sz w:val="21"/>
                <w:szCs w:val="21"/>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48,833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48,548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gridSpan w:val="6"/>
          </w:tcPr>
          <w:p>
            <w:pPr>
              <w:spacing w:after="0"/>
              <w:rPr>
                <w:sz w:val="20"/>
                <w:szCs w:val="20"/>
                <w:color w:val="auto"/>
              </w:rPr>
            </w:pPr>
            <w:r>
              <w:rPr>
                <w:rFonts w:ascii="Arial" w:cs="Arial" w:eastAsia="Arial" w:hAnsi="Arial"/>
                <w:sz w:val="18"/>
                <w:szCs w:val="18"/>
                <w:color w:val="auto"/>
              </w:rPr>
              <w:t>Shares used in computing diluted (loss) income per</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18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w w:val="87"/>
              </w:rPr>
              <w:t>48,592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48,349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48,497</w:t>
            </w:r>
          </w:p>
        </w:tc>
        <w:tc>
          <w:tcPr>
            <w:tcW w:w="120" w:type="dxa"/>
            <w:vAlign w:val="bottom"/>
          </w:tcPr>
          <w:p>
            <w:pPr>
              <w:spacing w:after="0"/>
              <w:rPr>
                <w:sz w:val="20"/>
                <w:szCs w:val="20"/>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48,833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48,548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8"/>
          </w:tcPr>
          <w:p>
            <w:pPr>
              <w:jc w:val="right"/>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6"/>
        </w:trPr>
        <w:tc>
          <w:tcPr>
            <w:tcW w:w="3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per share data)</w:t>
            </w: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7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tcPr>
          <w:p>
            <w:pPr>
              <w:ind w:left="1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ind w:right="9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 and short term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252,832</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CEEFF"/>
            </w:tcBorders>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61,137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47,204</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329,386</w:t>
            </w:r>
          </w:p>
        </w:tc>
        <w:tc>
          <w:tcPr>
            <w:tcW w:w="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232,549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spacing w:after="0"/>
              <w:rPr>
                <w:sz w:val="22"/>
                <w:szCs w:val="22"/>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410,382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rPr>
              <w:t>36,890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36,551</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106,854</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404,075</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Arial" w:cs="Arial" w:eastAsia="Arial" w:hAnsi="Arial"/>
                <w:sz w:val="18"/>
                <w:szCs w:val="18"/>
                <w:color w:val="auto"/>
              </w:rPr>
              <w:t>Total assets</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7"/>
              </w:rPr>
              <w:t>2,411,351</w:t>
            </w:r>
          </w:p>
        </w:tc>
        <w:tc>
          <w:tcPr>
            <w:tcW w:w="960" w:type="dxa"/>
            <w:vAlign w:val="bottom"/>
            <w:tcBorders>
              <w:right w:val="single" w:sz="8" w:color="CCEEFF"/>
            </w:tcBorders>
            <w:gridSpan w:val="5"/>
            <w:shd w:val="clear" w:color="auto" w:fill="CCEEFF"/>
          </w:tcPr>
          <w:p>
            <w:pPr>
              <w:jc w:val="right"/>
              <w:ind w:right="32"/>
              <w:spacing w:after="0"/>
              <w:rPr>
                <w:sz w:val="20"/>
                <w:szCs w:val="20"/>
                <w:color w:val="auto"/>
              </w:rPr>
            </w:pPr>
            <w:r>
              <w:rPr>
                <w:rFonts w:ascii="Arial" w:cs="Arial" w:eastAsia="Arial" w:hAnsi="Arial"/>
                <w:sz w:val="18"/>
                <w:szCs w:val="18"/>
                <w:color w:val="auto"/>
              </w:rPr>
              <w:t>2,411,797</w:t>
            </w:r>
          </w:p>
        </w:tc>
        <w:tc>
          <w:tcPr>
            <w:tcW w:w="100" w:type="dxa"/>
            <w:vAlign w:val="bottom"/>
            <w:shd w:val="clear" w:color="auto" w:fill="CCEEFF"/>
          </w:tcPr>
          <w:p>
            <w:pPr>
              <w:spacing w:after="0"/>
              <w:rPr>
                <w:sz w:val="23"/>
                <w:szCs w:val="23"/>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2,549,701</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89"/>
              </w:rPr>
              <w:t>2,396,522</w:t>
            </w:r>
          </w:p>
        </w:tc>
        <w:tc>
          <w:tcPr>
            <w:tcW w:w="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2,502,663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spacing w:after="0"/>
              <w:rPr>
                <w:sz w:val="20"/>
                <w:szCs w:val="20"/>
                <w:color w:val="auto"/>
              </w:rPr>
            </w:pPr>
            <w:r>
              <w:rPr>
                <w:rFonts w:ascii="Arial" w:cs="Arial" w:eastAsia="Arial" w:hAnsi="Arial"/>
                <w:sz w:val="18"/>
                <w:szCs w:val="18"/>
                <w:color w:val="auto"/>
              </w:rPr>
              <w:t>Long term debt, net of current portion</w:t>
            </w:r>
          </w:p>
        </w:tc>
        <w:tc>
          <w:tcPr>
            <w:tcW w:w="100" w:type="dxa"/>
            <w:vAlign w:val="bottom"/>
          </w:tcPr>
          <w:p>
            <w:pPr>
              <w:spacing w:after="0"/>
              <w:rPr>
                <w:sz w:val="22"/>
                <w:szCs w:val="22"/>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642,298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3"/>
          </w:tcPr>
          <w:p>
            <w:pPr>
              <w:jc w:val="right"/>
              <w:ind w:right="32"/>
              <w:spacing w:after="0"/>
              <w:rPr>
                <w:sz w:val="20"/>
                <w:szCs w:val="20"/>
                <w:color w:val="auto"/>
              </w:rPr>
            </w:pPr>
            <w:r>
              <w:rPr>
                <w:rFonts w:ascii="Arial" w:cs="Arial" w:eastAsia="Arial" w:hAnsi="Arial"/>
                <w:sz w:val="18"/>
                <w:szCs w:val="18"/>
                <w:color w:val="auto"/>
                <w:w w:val="98"/>
              </w:rPr>
              <w:t>260,330</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139,538</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431,033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639,189</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(752,402)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(406,755)</w:t>
            </w:r>
          </w:p>
        </w:tc>
        <w:tc>
          <w:tcPr>
            <w:tcW w:w="100" w:type="dxa"/>
            <w:vAlign w:val="bottom"/>
            <w:shd w:val="clear" w:color="auto" w:fill="CCEEFF"/>
          </w:tcPr>
          <w:p>
            <w:pPr>
              <w:spacing w:after="0"/>
              <w:rPr>
                <w:sz w:val="23"/>
                <w:szCs w:val="23"/>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(251,579)</w:t>
            </w: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(837,418)</w:t>
            </w:r>
          </w:p>
        </w:tc>
        <w:tc>
          <w:tcPr>
            <w:tcW w:w="60" w:type="dxa"/>
            <w:vAlign w:val="bottom"/>
            <w:shd w:val="clear" w:color="auto" w:fill="CCEEFF"/>
          </w:tcPr>
          <w:p>
            <w:pPr>
              <w:spacing w:after="0"/>
              <w:rPr>
                <w:sz w:val="23"/>
                <w:szCs w:val="23"/>
                <w:color w:val="auto"/>
              </w:rPr>
            </w:pPr>
          </w:p>
        </w:tc>
        <w:tc>
          <w:tcPr>
            <w:tcW w:w="100" w:type="dxa"/>
            <w:vAlign w:val="bottom"/>
            <w:tcBorders>
              <w:right w:val="single" w:sz="8" w:color="CCEEFF"/>
            </w:tcBorders>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(457,804)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3"/>
                <w:szCs w:val="23"/>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w w:val="87"/>
              </w:rPr>
              <w:t>1,118,829</w:t>
            </w:r>
          </w:p>
        </w:tc>
        <w:tc>
          <w:tcPr>
            <w:tcW w:w="960" w:type="dxa"/>
            <w:vAlign w:val="bottom"/>
            <w:gridSpan w:val="5"/>
          </w:tcPr>
          <w:p>
            <w:pPr>
              <w:jc w:val="right"/>
              <w:ind w:right="32"/>
              <w:spacing w:after="0"/>
              <w:rPr>
                <w:sz w:val="20"/>
                <w:szCs w:val="20"/>
                <w:color w:val="auto"/>
              </w:rPr>
            </w:pPr>
            <w:r>
              <w:rPr>
                <w:rFonts w:ascii="Arial" w:cs="Arial" w:eastAsia="Arial" w:hAnsi="Arial"/>
                <w:sz w:val="18"/>
                <w:szCs w:val="18"/>
                <w:color w:val="auto"/>
              </w:rPr>
              <w:t>1,383,717</w:t>
            </w:r>
          </w:p>
        </w:tc>
        <w:tc>
          <w:tcPr>
            <w:tcW w:w="100" w:type="dxa"/>
            <w:vAlign w:val="bottom"/>
          </w:tcPr>
          <w:p>
            <w:pPr>
              <w:spacing w:after="0"/>
              <w:rPr>
                <w:sz w:val="23"/>
                <w:szCs w:val="23"/>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w w:val="89"/>
              </w:rPr>
              <w:t>1,503,738</w:t>
            </w: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w w:val="89"/>
              </w:rPr>
              <w:t>1,040,470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w w:val="82"/>
              </w:rPr>
              <w:t>1,333,186</w:t>
            </w:r>
          </w:p>
        </w:tc>
        <w:tc>
          <w:tcPr>
            <w:tcW w:w="0" w:type="dxa"/>
            <w:vAlign w:val="bottom"/>
          </w:tcPr>
          <w:p>
            <w:pPr>
              <w:spacing w:after="0"/>
              <w:rPr>
                <w:sz w:val="1"/>
                <w:szCs w:val="1"/>
                <w:color w:val="auto"/>
              </w:rPr>
            </w:pPr>
          </w:p>
        </w:tc>
      </w:tr>
    </w:tbl>
    <w:p>
      <w:pPr>
        <w:spacing w:after="0" w:line="377" w:lineRule="exact"/>
        <w:rPr>
          <w:sz w:val="20"/>
          <w:szCs w:val="20"/>
          <w:color w:val="auto"/>
        </w:rPr>
      </w:pPr>
    </w:p>
    <w:p>
      <w:pPr>
        <w:ind w:left="1640" w:right="419" w:hanging="362"/>
        <w:spacing w:after="0" w:line="257" w:lineRule="auto"/>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financial data for fiscal years 2019 and beyond reflect the adoption of ASU 2016-02. Leases (Topic 842). For additional information refer to “Note 2. Basis of Presentation, Use of Accounting Estimates and Significant Accounting Policies” in our Annual Report on Form 10-K for the year ended December 31, 2020. The selected financial data for fiscal year 2018 does not reflect the adoption of ASU 2016-02.</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Investing in our securities involves a high degree of risk. Before making an investment decision, you should carefully consider all risk factors set forth in this prospectus supplement, the accompanying prospectus and the documents incorporated and deemed to be incorporated by reference therein, including the factors discussed under the heading “Risk Factors” in this prospectus supplement and in our most recent Annual Report on Form 10 -K and Quarterly Report on Form 10-Q, which may be amended, supplemented or superseded from time to time by the other reports we file with the SEC in the future or by information in this prospectus supplement and the accompanying prospectus. See “Where You Can Find More Information” and “Information Incorporated by Reference” in the accompanying prospectus. The risks and uncertainties we have described are not the only risks we face. Additional risks and uncertainties not presently known to us or that we currently deem immaterial may also affect our operations and financial condition. If any of these risks actually occurs, our business, results of operations and financial condition could be materially and adversely affected, which could cause the trading price of our ordinary shares to decline, and you could lose all or a part of your investment in our ordinary shares.</w:t>
      </w:r>
    </w:p>
    <w:p>
      <w:pPr>
        <w:spacing w:after="0" w:line="176"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Risks Related to Our Business</w:t>
      </w:r>
    </w:p>
    <w:p>
      <w:pPr>
        <w:spacing w:after="0" w:line="162"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Our business is subject to risks described under “Risk Factors” in this prospectus supplement and in our most recent Annual Report on Form 10 -K and Quarterly Report on Form 10-Q, including risks related to the continuing global spread of COVID-19 and its variants.</w:t>
      </w:r>
    </w:p>
    <w:p>
      <w:pPr>
        <w:spacing w:after="0" w:line="178"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b w:val="1"/>
          <w:bCs w:val="1"/>
          <w:i w:val="1"/>
          <w:iCs w:val="1"/>
          <w:color w:val="auto"/>
        </w:rPr>
        <w:t>The market price and trading volume of our ordinary shares may be volatile, which could result in rapid and substantial losses for our shareholders.</w:t>
      </w:r>
    </w:p>
    <w:p>
      <w:pPr>
        <w:spacing w:after="0" w:line="90" w:lineRule="exact"/>
        <w:rPr>
          <w:sz w:val="20"/>
          <w:szCs w:val="20"/>
          <w:color w:val="auto"/>
        </w:rPr>
      </w:pPr>
    </w:p>
    <w:p>
      <w:pPr>
        <w:ind w:left="1260" w:right="579" w:firstLine="360"/>
        <w:spacing w:after="0" w:line="252" w:lineRule="auto"/>
        <w:rPr>
          <w:rFonts w:ascii="Arial" w:cs="Arial" w:eastAsia="Arial" w:hAnsi="Arial"/>
          <w:sz w:val="17"/>
          <w:szCs w:val="17"/>
          <w:color w:val="0000EE"/>
        </w:rPr>
      </w:pPr>
      <w:r>
        <w:rPr>
          <w:rFonts w:ascii="Arial" w:cs="Arial" w:eastAsia="Arial" w:hAnsi="Arial"/>
          <w:sz w:val="17"/>
          <w:szCs w:val="17"/>
          <w:color w:val="auto"/>
        </w:rPr>
        <w:t xml:space="preserve">Since our organization on February 20, 2015 through August 2, 2021, the price of our ordinary shares has ranged from a low of $34.22 on March 23, 2020 to a high of $130.95 on September 12, 2018. In the future, the market price of our shares may be highly volatile and could be subject to wide fluctuations. In addition, the trading volume in our ordinary shares may fluctuate and cause significant price variations to occur. If the market price of our ordinary shares declines significantly, you may be unable to resell your shares at or above the price at which you purchased them, if at all. The market price of our ordinary shares may fluctuate or decline significantly in the future. Factors that could negatively affect our share price or result in fluctuations in the price or trading volume of our ordinary shares include, but are not limited to, </w:t>
      </w:r>
      <w:hyperlink r:id="rId21">
        <w:r>
          <w:rPr>
            <w:rFonts w:ascii="Arial" w:cs="Arial" w:eastAsia="Arial" w:hAnsi="Arial"/>
            <w:sz w:val="17"/>
            <w:szCs w:val="17"/>
            <w:color w:val="auto"/>
          </w:rPr>
          <w:t xml:space="preserve">those listed in the “Risk Factors” section in our </w:t>
        </w:r>
        <w:r>
          <w:rPr>
            <w:rFonts w:ascii="Arial" w:cs="Arial" w:eastAsia="Arial" w:hAnsi="Arial"/>
            <w:sz w:val="17"/>
            <w:szCs w:val="17"/>
            <w:u w:val="single" w:color="auto"/>
            <w:color w:val="0000EE"/>
          </w:rPr>
          <w:t>Annual Report on Form 10 -K for the year ended</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December 31, 2020</w:t>
        </w:r>
        <w:r>
          <w:rPr>
            <w:rFonts w:ascii="Arial" w:cs="Arial" w:eastAsia="Arial" w:hAnsi="Arial"/>
            <w:sz w:val="17"/>
            <w:szCs w:val="17"/>
            <w:color w:val="0000EE"/>
          </w:rPr>
          <w:t xml:space="preserve"> </w:t>
        </w:r>
        <w:r>
          <w:rPr>
            <w:rFonts w:ascii="Arial" w:cs="Arial" w:eastAsia="Arial" w:hAnsi="Arial"/>
            <w:sz w:val="17"/>
            <w:szCs w:val="17"/>
            <w:color w:val="000000"/>
          </w:rPr>
          <w:t>and the “Risk Factors” section in our</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Quarterly Report on Form 10-Q for the quarter</w:t>
        </w:r>
      </w:hyperlink>
      <w:r>
        <w:rPr>
          <w:rFonts w:ascii="Arial" w:cs="Arial" w:eastAsia="Arial" w:hAnsi="Arial"/>
          <w:sz w:val="17"/>
          <w:szCs w:val="17"/>
          <w:color w:val="0000EE"/>
        </w:rPr>
        <w:t xml:space="preserve"> </w:t>
      </w:r>
      <w:hyperlink r:id="rId22">
        <w:r>
          <w:rPr>
            <w:rFonts w:ascii="Arial" w:cs="Arial" w:eastAsia="Arial" w:hAnsi="Arial"/>
            <w:sz w:val="17"/>
            <w:szCs w:val="17"/>
            <w:u w:val="single" w:color="auto"/>
            <w:color w:val="0000EE"/>
          </w:rPr>
          <w:t>ended June 30, 2021</w:t>
        </w:r>
        <w:r>
          <w:rPr>
            <w:rFonts w:ascii="Arial" w:cs="Arial" w:eastAsia="Arial" w:hAnsi="Arial"/>
            <w:sz w:val="17"/>
            <w:szCs w:val="17"/>
            <w:color w:val="000000"/>
          </w:rPr>
          <w:t>, which are incorporated by reference herein, and the following, some of which are</w:t>
        </w:r>
      </w:hyperlink>
      <w:r>
        <w:rPr>
          <w:rFonts w:ascii="Arial" w:cs="Arial" w:eastAsia="Arial" w:hAnsi="Arial"/>
          <w:sz w:val="17"/>
          <w:szCs w:val="17"/>
          <w:color w:val="0000EE"/>
        </w:rPr>
        <w:t xml:space="preserve"> </w:t>
      </w:r>
      <w:r>
        <w:rPr>
          <w:rFonts w:ascii="Arial" w:cs="Arial" w:eastAsia="Arial" w:hAnsi="Arial"/>
          <w:sz w:val="17"/>
          <w:szCs w:val="17"/>
          <w:color w:val="000000"/>
        </w:rPr>
        <w:t>beyond our control regardless of our actual operating performance:</w:t>
      </w:r>
    </w:p>
    <w:p>
      <w:pPr>
        <w:spacing w:after="0" w:line="75" w:lineRule="exact"/>
        <w:rPr>
          <w:rFonts w:ascii="Arial" w:cs="Arial" w:eastAsia="Arial" w:hAnsi="Arial"/>
          <w:sz w:val="17"/>
          <w:szCs w:val="17"/>
          <w:color w:val="auto"/>
        </w:rPr>
      </w:pPr>
    </w:p>
    <w:p>
      <w:pPr>
        <w:ind w:left="1800" w:right="6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anticipated quarterly variations in operational results and reactions to earning releases or other presentations by company executives;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meet the expectations of securities analysts and investors;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rating agency credit rating actions;</w:t>
      </w:r>
    </w:p>
    <w:p>
      <w:pPr>
        <w:spacing w:after="0" w:line="117"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contents of published research reports about us or our industry or the failure of securities analysts to cover our ordinary shares;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indebtedness we may incur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by institutional shareholders;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speculation or reports by the press or the investment community with respect to us or our industry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increases in market interest rates that may lead purchasers of our shares to demand a higher yield;</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capital structure;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dividends;</w:t>
      </w: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future sales of our ordinary shares by us or members of our management;</w:t>
      </w:r>
    </w:p>
    <w:p>
      <w:pPr>
        <w:spacing w:after="0" w:line="117"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services by us or our competitors or new entrants into the industry;</w:t>
      </w:r>
    </w:p>
    <w:p>
      <w:pPr>
        <w:spacing w:after="0" w:line="48" w:lineRule="exact"/>
        <w:rPr>
          <w:rFonts w:ascii="Arial" w:cs="Arial" w:eastAsia="Arial" w:hAnsi="Arial"/>
          <w:sz w:val="18"/>
          <w:szCs w:val="18"/>
          <w:color w:val="auto"/>
        </w:rPr>
      </w:pPr>
    </w:p>
    <w:p>
      <w:pPr>
        <w:ind w:left="1800" w:right="109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announcements by us, our competitors or vendors of significant contracts, acquisitions, joint marketing relationships, joint ventures or capital commitments;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a major supplier or vendor;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status of intellectual property rights;</w:t>
      </w:r>
    </w:p>
    <w:p>
      <w:pPr>
        <w:spacing w:after="0" w:line="117"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liability imposed by the Supreme Court in Italy with respect to SNIA S.p.A;</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claims or proceedings against us or adverse developments in pending proceedings;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for us, our business or our industry;</w:t>
      </w:r>
    </w:p>
    <w:p>
      <w:pPr>
        <w:spacing w:after="0" w:line="117"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expectations or estimates as to our future financial performance or market valuations of competitors, customers or travel suppliers;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operations of our competitors; and</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market, political, health and economic conditions, including any such conditions and local conditions in the markets in which our customers are located.</w:t>
      </w:r>
    </w:p>
    <w:p>
      <w:pPr>
        <w:spacing w:after="0" w:line="103"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Volatility in our share price could also make us less attractive to certain investors, and/or invite speculative trading in our ordinary shares or debt instruments.</w:t>
      </w:r>
    </w:p>
    <w:p>
      <w:pPr>
        <w:spacing w:after="0" w:line="90"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7"/>
          <w:szCs w:val="17"/>
          <w:color w:val="auto"/>
        </w:rPr>
        <w:t>In addition, securities exchanges, and in particular the NASDAQ, have experienced extreme price and volume fluctuations that have affected and continue to affect the market prices of equity securities of many companies. In the past, shareholders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06" w:lineRule="exact"/>
        <w:rPr>
          <w:sz w:val="20"/>
          <w:szCs w:val="20"/>
          <w:color w:val="auto"/>
        </w:rPr>
      </w:pPr>
    </w:p>
    <w:p>
      <w:pPr>
        <w:ind w:left="1260" w:right="499" w:firstLine="360"/>
        <w:spacing w:after="0" w:line="284" w:lineRule="auto"/>
        <w:rPr>
          <w:sz w:val="20"/>
          <w:szCs w:val="20"/>
          <w:color w:val="auto"/>
        </w:rPr>
      </w:pPr>
      <w:r>
        <w:rPr>
          <w:rFonts w:ascii="Arial" w:cs="Arial" w:eastAsia="Arial" w:hAnsi="Arial"/>
          <w:sz w:val="16"/>
          <w:szCs w:val="16"/>
          <w:b w:val="1"/>
          <w:bCs w:val="1"/>
          <w:i w:val="1"/>
          <w:iCs w:val="1"/>
          <w:color w:val="auto"/>
        </w:rPr>
        <w:t>Our liquidity, the trading price of our securities and our financial condition and results of operations may be affected by certain cash contingencies and we may need to enter into new indebtedness or issue additional ordinary shares to raise cash in a short time period; there is no assurance that we will be able to raise additional capital with respect to these contingencies at attractive prices and terms or at all.</w:t>
      </w:r>
    </w:p>
    <w:p>
      <w:pPr>
        <w:spacing w:after="0" w:line="88"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intend to use the net proceeds we receive from this offering as partial funding for the repayment of our Term Loan. In addition to the remaining Term Loan amount that we will owe, we have contingent needs for cash. Under the terms of our 3.00% cash exchangeable senior notes (the “Notes”), holders are entitled to exchange the Notes at any time during specified periods for cash. The trading price exchange condition was satisfied on June 18, 2021, which allows the holders of the Notes to exchange the Notes beginning July 1, 2021 through September 30, 2021. As of June 30, 2021, we had $287.5 million aggregate principal amount of Notes outstanding. The Notes are exchangeable solely into cash and are not exchangeable into ordinary shares of LivaNova or any other security under any circumstances. The amount of cash deliverable upon any exchange would be determined with reference to the trading prices of the underlying ordinary shares, applying the applicable exchange rate (initially 16.3980 ordinary shares per $1,000 principal amount of Notes, subject to adjustment), as set forth in the indenture governing the Notes. If holders elect to exchange their Notes during the current period or any future periods in the event an exchange condition is met, we would be required to settle our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 Currently, the Company believes it is unlikely the holders of the Notes will exchange significant amounts of the Notes. This belief is based upon market conditions and historical investor behavior and is not a</w:t>
      </w:r>
    </w:p>
    <w:p>
      <w:pPr>
        <w:sectPr>
          <w:pgSz w:w="11900" w:h="16838" w:orient="portrait"/>
          <w:cols w:equalWidth="0" w:num="1">
            <w:col w:w="9879"/>
          </w:cols>
          <w:pgMar w:left="580" w:top="132" w:right="1440" w:bottom="1440" w:gutter="0" w:footer="0" w:header="0"/>
        </w:sectPr>
      </w:pPr>
    </w:p>
    <w:p>
      <w:pPr>
        <w:spacing w:after="0" w:line="365"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43" w:lineRule="auto"/>
        <w:rPr>
          <w:sz w:val="20"/>
          <w:szCs w:val="20"/>
          <w:color w:val="auto"/>
        </w:rPr>
      </w:pPr>
      <w:r>
        <w:rPr>
          <w:rFonts w:ascii="Arial" w:cs="Arial" w:eastAsia="Arial" w:hAnsi="Arial"/>
          <w:sz w:val="18"/>
          <w:szCs w:val="18"/>
          <w:color w:val="auto"/>
        </w:rPr>
        <w:t>guaranty that holders will not exchange Notes. See “Liquidity and Capital Resources” in our Quarterly Report on Form 10-Q for the quarter ended June 30, 2021. Our failure to repurchase the Notes or exchange the Notes for cash at a time when the repurchase or exchange is required by the Indenture governing the Notes would constitute a default under the applicable indenture.</w:t>
      </w:r>
    </w:p>
    <w:p>
      <w:pPr>
        <w:spacing w:after="0" w:line="107"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In addition, we may have material liability for damages and environmental cleanup in connection with chemical sites in Italy previously operated by other subsidiaries of SNIA S.p.A (“SNIA”), the former parent of Sorin. Any damages attributable to LivaNova could be payable promptly upon a final determination of liability from the Court of Appeal of Milan and the Italian Supreme Court, which could have a material adverse effect on the trading price of our securities and on our financial condition and results of operation.</w:t>
      </w:r>
    </w:p>
    <w:p>
      <w:pPr>
        <w:spacing w:after="0" w:line="106" w:lineRule="exact"/>
        <w:rPr>
          <w:sz w:val="20"/>
          <w:szCs w:val="20"/>
          <w:color w:val="auto"/>
        </w:rPr>
      </w:pPr>
    </w:p>
    <w:p>
      <w:pPr>
        <w:ind w:left="1260" w:right="719" w:firstLine="360"/>
        <w:spacing w:after="0"/>
        <w:rPr>
          <w:sz w:val="20"/>
          <w:szCs w:val="20"/>
          <w:color w:val="auto"/>
        </w:rPr>
      </w:pPr>
      <w:r>
        <w:rPr>
          <w:rFonts w:ascii="Arial" w:cs="Arial" w:eastAsia="Arial" w:hAnsi="Arial"/>
          <w:sz w:val="18"/>
          <w:szCs w:val="18"/>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122" w:lineRule="exact"/>
        <w:rPr>
          <w:sz w:val="20"/>
          <w:szCs w:val="20"/>
          <w:color w:val="auto"/>
        </w:rPr>
      </w:pPr>
    </w:p>
    <w:p>
      <w:pPr>
        <w:ind w:left="1260" w:right="539" w:firstLine="360"/>
        <w:spacing w:after="0" w:line="239" w:lineRule="auto"/>
        <w:rPr>
          <w:sz w:val="20"/>
          <w:szCs w:val="20"/>
          <w:color w:val="auto"/>
        </w:rPr>
      </w:pPr>
      <w:r>
        <w:rPr>
          <w:rFonts w:ascii="Arial" w:cs="Arial" w:eastAsia="Arial" w:hAnsi="Arial"/>
          <w:sz w:val="18"/>
          <w:szCs w:val="18"/>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appealed that decision to the Supreme Court. In addition, the Bankruptcy Court of Milan’s decision has been appealed.</w:t>
      </w:r>
    </w:p>
    <w:p>
      <w:pPr>
        <w:spacing w:after="0" w:line="110"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$347,000 as of June 30, 2021)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 -off, an estimated €572.1 million (approximately $679.1 million as of June 30, 2021). Next the Court will evaluate a report delivered by a panel of three experts assessing the environmental damages, including the costs of clean-up and compensatory damages, and review briefs from the parties. Thereafter, the Court will issue its ruling on the amount of damages attributable to LivaNova. We cannot predict the outcome of these proceedings with respect to damages, or the timing of any resolution by the Court, however we do not expect a final judgment earlier than December 2021. Separately, we have appealed the partial decision on liability to the Italian Supreme Court (Corte di Cassazione), although any final judgment on damages may not be stayed pending resolution by the Italian Supreme Court. We have not recognized a liability in connection with these related matters because any potential loss is not currently probable or reasonably estimable. See “Note 8 Commitments and Contingencies — Litigation — Environmental Liability in the Notes to the Condensed Consolidated Financial Statements” included in our Quarterly Report on Form 10-Q for the quarter ended June 30, 3021.</w:t>
      </w:r>
    </w:p>
    <w:p>
      <w:pPr>
        <w:spacing w:after="0" w:line="329" w:lineRule="exact"/>
        <w:rPr>
          <w:sz w:val="20"/>
          <w:szCs w:val="20"/>
          <w:color w:val="auto"/>
        </w:rPr>
      </w:pPr>
    </w:p>
    <w:p>
      <w:pPr>
        <w:ind w:left="1260" w:right="459" w:firstLine="360"/>
        <w:spacing w:after="0" w:line="238" w:lineRule="auto"/>
        <w:rPr>
          <w:sz w:val="20"/>
          <w:szCs w:val="20"/>
          <w:color w:val="auto"/>
        </w:rPr>
      </w:pPr>
      <w:r>
        <w:rPr>
          <w:rFonts w:ascii="Arial" w:cs="Arial" w:eastAsia="Arial" w:hAnsi="Arial"/>
          <w:sz w:val="18"/>
          <w:szCs w:val="18"/>
          <w:color w:val="auto"/>
        </w:rPr>
        <w:t>If these or other contingencies are realized we may have to borrow material additional debt or issue material additional ordinary shares or take other measures to raise cash in a short time period. There is no assurance that we will be able to raise additional capital with respect to these or other contingencies at attractive prices and terms or at all. Any action by us to raise funds for these or other contingencies may result in further indebtedness, the implementation of restrictive covenants, diversion of funds that could be used for other matters or dilution of existing shareholders, any of which could be material in scope and could have a material adverse effect on the trading price of our securities and on our financial condition and results of operation.</w:t>
      </w:r>
    </w:p>
    <w:p>
      <w:pPr>
        <w:spacing w:after="0" w:line="126" w:lineRule="exact"/>
        <w:rPr>
          <w:sz w:val="20"/>
          <w:szCs w:val="20"/>
          <w:color w:val="auto"/>
        </w:rPr>
      </w:pPr>
    </w:p>
    <w:p>
      <w:pPr>
        <w:jc w:val="both"/>
        <w:ind w:left="1260" w:right="899" w:firstLine="360"/>
        <w:spacing w:after="0" w:line="291" w:lineRule="auto"/>
        <w:rPr>
          <w:sz w:val="20"/>
          <w:szCs w:val="20"/>
          <w:color w:val="auto"/>
        </w:rPr>
      </w:pPr>
      <w:r>
        <w:rPr>
          <w:rFonts w:ascii="Arial" w:cs="Arial" w:eastAsia="Arial" w:hAnsi="Arial"/>
          <w:sz w:val="17"/>
          <w:szCs w:val="17"/>
          <w:color w:val="auto"/>
        </w:rPr>
        <w:t>We expect to enter into the new revolving credit facility described under “Prospectus Supplement Summary- Proposed Revolving Credit Facility” upon the repayment in full of our existing Term Loan.</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spacing w:after="0" w:line="257" w:lineRule="auto"/>
        <w:rPr>
          <w:sz w:val="20"/>
          <w:szCs w:val="20"/>
          <w:color w:val="auto"/>
        </w:rPr>
      </w:pPr>
      <w:r>
        <w:rPr>
          <w:rFonts w:ascii="Arial" w:cs="Arial" w:eastAsia="Arial" w:hAnsi="Arial"/>
          <w:sz w:val="18"/>
          <w:szCs w:val="18"/>
          <w:color w:val="auto"/>
        </w:rPr>
        <w:t>While we have no current intention with respect to borrowings under any such facilities, we may borrow to fund operations including to pay the contingencies described above. See risk factors “We are subject to environmental laws and regulations and the risk of environmental liabilities, violations and litigation in multiple jurisdictions” and “Risks Related to our Term Loan and Notes” discussed in the “Risk Factors” section in our Quarterly Report on Form 10-Q for the quarter ended June 30, 2021.</w:t>
      </w:r>
    </w:p>
    <w:p>
      <w:pPr>
        <w:spacing w:after="0" w:line="107"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b w:val="1"/>
          <w:bCs w:val="1"/>
          <w:i w:val="1"/>
          <w:iCs w:val="1"/>
          <w:color w:val="auto"/>
        </w:rPr>
        <w:t>If we or our existing investors sell additional ordinary shares, the market price of our ordinary shares could decline.</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In the future, LivaNova may issue or sell additional ordinary shares or equity-linked securities for a number of purposes, including to raise capital or in exchange for other outstanding securities. Pursuant to resolutions passed at the annual general meeting of shareholders held on June 9, 2021 (the “2021 AGM”), our Board of Directors (the “Board”) has: (i) authority to allot new shares and to grant rights to subscribe for, or to convert any security into, shares, up to an aggregate nominal value of £16,122,679; and (ii) the power to disapply existing shareholders’ pre-emption rights in relation to the allotment of shares for cash consideration up to an aggregate nominal amount of: (a) £2,442,830 for any purpose; and (b) an additional £2,442,830 for the purposes of financing an acquisition or other capital investment (the “Existing Authorities”). The Existing Authorities will expire at the end of the next annual general meeting of the Company or, if earlier, the close of business on the date that is fifteen (15) months after the 2021 AGM. See “Description of Our Ordinary Shares” in this prospectus supplement.</w:t>
      </w:r>
    </w:p>
    <w:p>
      <w:pPr>
        <w:spacing w:after="0" w:line="11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We cannot predict the size of future issuances or the effect, if any, that they may have on the market price for our ordinary shares. The market price of our ordinary shares could decline as a result of sales of a large number of ordinary shares in the market, or the perception that such sales could occur. These sales, or the possibility that these sales may occur, also might make it more difficult for us to sell equity securities in the future at a time and at a price that we deem appropriate.</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You may not be able to enforce civil liabilities against us.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are organized under the laws of England and Wales. A number of our officers and directors are non-residents of the United States, and all or a substantial portion of the assets of such persons are located outside the United States. As a result, it may not be possible for investors to effect service of process within the United States upon such persons or to enforce against them judgments obtained in U.S. courts predicated upon the civil liability provisions of the federal securities laws of the United States. The United States and England currently do not have a treaty providing for the reciprocal recognition and enforcement of judgments (other than arbitration awards) in civil and commercial matters. Consequently, a final judgment for payment rendered by any federal or state court in the United States based on civil liability, whether or not predicated solely upon U.S. federal securities laws, would not automatically be enforceable in England. See “Enforcement of Judgments.”</w:t>
      </w:r>
    </w:p>
    <w:p>
      <w:pPr>
        <w:spacing w:after="0" w:line="127" w:lineRule="exact"/>
        <w:rPr>
          <w:sz w:val="20"/>
          <w:szCs w:val="20"/>
          <w:color w:val="auto"/>
        </w:rPr>
      </w:pPr>
    </w:p>
    <w:p>
      <w:pPr>
        <w:ind w:left="1260" w:right="499" w:firstLine="360"/>
        <w:spacing w:after="0" w:line="381" w:lineRule="auto"/>
        <w:rPr>
          <w:sz w:val="20"/>
          <w:szCs w:val="20"/>
          <w:color w:val="auto"/>
        </w:rPr>
      </w:pPr>
      <w:r>
        <w:rPr>
          <w:rFonts w:ascii="Arial" w:cs="Arial" w:eastAsia="Arial" w:hAnsi="Arial"/>
          <w:sz w:val="15"/>
          <w:szCs w:val="15"/>
          <w:b w:val="1"/>
          <w:bCs w:val="1"/>
          <w:i w:val="1"/>
          <w:iCs w:val="1"/>
          <w:color w:val="auto"/>
        </w:rPr>
        <w:t>If equity research analysts cease to publish research or reports about our business or if they issue unfavorable commentary or downgrade our ordinary shares, the price of our ordinary shares could decline.</w:t>
      </w:r>
    </w:p>
    <w:p>
      <w:pPr>
        <w:spacing w:after="0" w:line="19" w:lineRule="exact"/>
        <w:rPr>
          <w:sz w:val="20"/>
          <w:szCs w:val="20"/>
          <w:color w:val="auto"/>
        </w:rPr>
      </w:pPr>
    </w:p>
    <w:p>
      <w:pPr>
        <w:ind w:left="1260" w:right="439" w:firstLine="360"/>
        <w:spacing w:after="0" w:line="279" w:lineRule="auto"/>
        <w:rPr>
          <w:sz w:val="20"/>
          <w:szCs w:val="20"/>
          <w:color w:val="auto"/>
        </w:rPr>
      </w:pPr>
      <w:r>
        <w:rPr>
          <w:rFonts w:ascii="Arial" w:cs="Arial" w:eastAsia="Arial" w:hAnsi="Arial"/>
          <w:sz w:val="17"/>
          <w:szCs w:val="17"/>
          <w:color w:val="auto"/>
        </w:rPr>
        <w:t>The trading market for our ordinary shares relies in part on the research and reports that equity research analysts publish about us and our business. We do not control these analysts. The market price of our ordinary shares could decline if one or more equity analysts downgrade our ordinary shares or if those analysts issue other unfavorable commentary or cease publishing reports about us or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659" w:firstLine="360"/>
        <w:spacing w:after="0" w:line="257" w:lineRule="auto"/>
        <w:rPr>
          <w:sz w:val="20"/>
          <w:szCs w:val="20"/>
          <w:color w:val="auto"/>
        </w:rPr>
      </w:pPr>
      <w:r>
        <w:rPr>
          <w:rFonts w:ascii="Arial" w:cs="Arial" w:eastAsia="Arial" w:hAnsi="Arial"/>
          <w:sz w:val="18"/>
          <w:szCs w:val="18"/>
          <w:color w:val="auto"/>
        </w:rPr>
        <w:t>All of the ordinary shares being offered pursuant to this prospectus supplement are being sold by the Company. We estimate that the net proceeds from our sale of ordinary shares in this offering will be approximately $280,100,028 (or $322,399,986 if the underwriters exercises in full their option to acquire additional ordinary shares) after deducting the underwriting discounts and commissions and estimated offering expenses payable by us.</w:t>
      </w:r>
    </w:p>
    <w:p>
      <w:pPr>
        <w:spacing w:after="0" w:line="120"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We intend to use the net proceeds we receive from this offering as partial funding of the repayment of our Term Loan.</w:t>
      </w:r>
    </w:p>
    <w:p>
      <w:pPr>
        <w:spacing w:after="0" w:line="103"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Our Term Loan has a maturity date of June 30, 2025. Borrowings under the Term Loan bear interest at a variable annual rate equal to the three-month LIBOR rate (subject to a 1% floor), plus an applicable margin of 6.5% per annum. The effective interest rate of the Term Loan at June 30, 2021 was 9.05%.</w:t>
      </w:r>
    </w:p>
    <w:p>
      <w:pPr>
        <w:spacing w:after="0" w:line="84"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Because we are prepaying the Term Loan prior to the second anniversary of its closing date, we will be required to pay a related make-whole premium, which will be equal to the excess of (a) the sum of the present value of (i) 102% of the outstanding principal amount of the Term Loan being prepaid as of such date of prepayment, plus (ii) all required interest payments due on the Term Loan being prepaid from the date of prepayment through and including the second anniversary of the closing date for the Term Loan, which such present value shall be computed using a discount rate equal to the Treasury Rate (as defined in the related credit agreement) as of the relevant prepayment date (subject to a zero floor) plus 50 basis points over (b) the principal amount of the Term Loan being prepaid; provided, that in no event shall the make-whole premium be less than zero.</w:t>
      </w:r>
    </w:p>
    <w:p>
      <w:pPr>
        <w:spacing w:after="0" w:line="129" w:lineRule="exact"/>
        <w:rPr>
          <w:sz w:val="20"/>
          <w:szCs w:val="20"/>
          <w:color w:val="auto"/>
        </w:rPr>
      </w:pPr>
    </w:p>
    <w:p>
      <w:pPr>
        <w:ind w:left="1260" w:right="739" w:firstLine="360"/>
        <w:spacing w:after="0" w:line="308" w:lineRule="auto"/>
        <w:rPr>
          <w:sz w:val="20"/>
          <w:szCs w:val="20"/>
          <w:color w:val="auto"/>
        </w:rPr>
      </w:pPr>
      <w:r>
        <w:rPr>
          <w:rFonts w:ascii="Arial" w:cs="Arial" w:eastAsia="Arial" w:hAnsi="Arial"/>
          <w:sz w:val="17"/>
          <w:szCs w:val="17"/>
          <w:color w:val="auto"/>
        </w:rPr>
        <w:t>We expect to enter a new revolving credit facility described under “Prospectus Supplement Summary — Proposed Revolving Credit Facility” upon the repayment in full of our existing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CAPITALIZATION</w:t>
      </w:r>
    </w:p>
    <w:p>
      <w:pPr>
        <w:spacing w:after="0" w:line="148" w:lineRule="exact"/>
        <w:rPr>
          <w:sz w:val="20"/>
          <w:szCs w:val="20"/>
          <w:color w:val="auto"/>
        </w:rPr>
      </w:pPr>
    </w:p>
    <w:p>
      <w:pPr>
        <w:ind w:left="1260" w:right="419" w:firstLine="36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following table sets forth the cash and cash equivalents and the capitalization of LivaNova PLC as of June 30, 2021 (i) on an actual historical basis and (ii) as adjusted giving effect to the offering (assuming no exercise of the underwriters’ option to acquire additional shares) and application of the net proceeds as described under “Use of Proceeds” (including full repayment of the Term Loan using proceeds and cash on hand), as if each had occurred on June 30, 2021. You should read the following table in conjunction with the section titled “Summary Consolidated Financial Data,” included in this prospectus supplement, the sections titled “Management’s Discussion and Analysis of Financial Condition and Results of Operations” in our </w:t>
      </w:r>
      <w:hyperlink r:id="rId22">
        <w:r>
          <w:rPr>
            <w:rFonts w:ascii="Arial" w:cs="Arial" w:eastAsia="Arial" w:hAnsi="Arial"/>
            <w:sz w:val="17"/>
            <w:szCs w:val="17"/>
            <w:color w:val="auto"/>
          </w:rPr>
          <w:t xml:space="preserve">Annual Report on </w:t>
        </w:r>
        <w:r>
          <w:rPr>
            <w:rFonts w:ascii="Arial" w:cs="Arial" w:eastAsia="Arial" w:hAnsi="Arial"/>
            <w:sz w:val="17"/>
            <w:szCs w:val="17"/>
            <w:u w:val="single" w:color="auto"/>
            <w:color w:val="0000EE"/>
          </w:rPr>
          <w:t>Form 10-K for the year ended December 31, 2020</w:t>
        </w:r>
        <w:r>
          <w:rPr>
            <w:rFonts w:ascii="Arial" w:cs="Arial" w:eastAsia="Arial" w:hAnsi="Arial"/>
            <w:sz w:val="17"/>
            <w:szCs w:val="17"/>
            <w:color w:val="auto"/>
          </w:rPr>
          <w:t xml:space="preserve"> and our Quarterly Report on </w:t>
        </w:r>
        <w:r>
          <w:rPr>
            <w:rFonts w:ascii="Arial" w:cs="Arial" w:eastAsia="Arial" w:hAnsi="Arial"/>
            <w:sz w:val="17"/>
            <w:szCs w:val="17"/>
            <w:u w:val="single" w:color="auto"/>
            <w:color w:val="0000EE"/>
          </w:rPr>
          <w:t>Form 10-</w:t>
        </w:r>
      </w:hyperlink>
      <w:hyperlink r:id="rId22">
        <w:r>
          <w:rPr>
            <w:rFonts w:ascii="Arial" w:cs="Arial" w:eastAsia="Arial" w:hAnsi="Arial"/>
            <w:sz w:val="17"/>
            <w:szCs w:val="17"/>
            <w:u w:val="single" w:color="auto"/>
            <w:color w:val="0000EE"/>
          </w:rPr>
          <w:t>Q for the six months ended June 30, 2021</w:t>
        </w:r>
        <w:r>
          <w:rPr>
            <w:rFonts w:ascii="Arial" w:cs="Arial" w:eastAsia="Arial" w:hAnsi="Arial"/>
            <w:sz w:val="17"/>
            <w:szCs w:val="17"/>
            <w:color w:val="0000EE"/>
          </w:rPr>
          <w:t xml:space="preserve"> </w:t>
        </w:r>
        <w:r>
          <w:rPr>
            <w:rFonts w:ascii="Arial" w:cs="Arial" w:eastAsia="Arial" w:hAnsi="Arial"/>
            <w:sz w:val="17"/>
            <w:szCs w:val="17"/>
            <w:color w:val="000000"/>
          </w:rPr>
          <w:t>and the consolidated financial statements and the related notes</w:t>
        </w:r>
      </w:hyperlink>
      <w:r>
        <w:rPr>
          <w:rFonts w:ascii="Arial" w:cs="Arial" w:eastAsia="Arial" w:hAnsi="Arial"/>
          <w:sz w:val="17"/>
          <w:szCs w:val="17"/>
          <w:color w:val="0000EE"/>
        </w:rPr>
        <w:t xml:space="preserve"> </w:t>
      </w:r>
      <w:r>
        <w:rPr>
          <w:rFonts w:ascii="Arial" w:cs="Arial" w:eastAsia="Arial" w:hAnsi="Arial"/>
          <w:sz w:val="17"/>
          <w:szCs w:val="17"/>
          <w:color w:val="000000"/>
        </w:rPr>
        <w:t>incorporated by reference into the accompanying prospectus.</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auto"/>
              <w:bottom w:val="single" w:sz="8" w:color="auto"/>
            </w:tcBorders>
            <w:gridSpan w:val="3"/>
          </w:tcPr>
          <w:p>
            <w:pPr>
              <w:ind w:left="80"/>
              <w:spacing w:after="0" w:line="216" w:lineRule="exact"/>
              <w:rPr>
                <w:sz w:val="20"/>
                <w:szCs w:val="20"/>
                <w:color w:val="auto"/>
              </w:rPr>
            </w:pPr>
            <w:r>
              <w:rPr>
                <w:rFonts w:ascii="Arial" w:cs="Arial" w:eastAsia="Arial" w:hAnsi="Arial"/>
                <w:sz w:val="14"/>
                <w:szCs w:val="14"/>
                <w:b w:val="1"/>
                <w:bCs w:val="1"/>
                <w:color w:val="auto"/>
                <w:w w:val="80"/>
              </w:rPr>
              <w:t>As Adjusted</w:t>
            </w:r>
            <w:r>
              <w:rPr>
                <w:rFonts w:ascii="Arial" w:cs="Arial" w:eastAsia="Arial" w:hAnsi="Arial"/>
                <w:sz w:val="21"/>
                <w:szCs w:val="21"/>
                <w:b w:val="1"/>
                <w:bCs w:val="1"/>
                <w:color w:val="auto"/>
                <w:w w:val="80"/>
                <w:vertAlign w:val="superscript"/>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9"/>
        </w:trPr>
        <w:tc>
          <w:tcPr>
            <w:tcW w:w="6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 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329,386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119,056</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gridSpan w:val="2"/>
            <w:vMerge w:val="restart"/>
          </w:tcPr>
          <w:p>
            <w:pPr>
              <w:spacing w:after="0" w:line="189" w:lineRule="exact"/>
              <w:rPr>
                <w:sz w:val="20"/>
                <w:szCs w:val="20"/>
                <w:color w:val="auto"/>
              </w:rPr>
            </w:pPr>
            <w:r>
              <w:rPr>
                <w:rFonts w:ascii="Arial" w:cs="Arial" w:eastAsia="Arial" w:hAnsi="Arial"/>
                <w:sz w:val="18"/>
                <w:szCs w:val="18"/>
                <w:color w:val="auto"/>
              </w:rPr>
              <w:t>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300" w:type="dxa"/>
            <w:vAlign w:val="bottom"/>
            <w:tcBorders>
              <w:right w:val="single" w:sz="8" w:color="CCEEFF"/>
            </w:tcBorders>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Term Loan</w:t>
            </w:r>
            <w:r>
              <w:rPr>
                <w:rFonts w:ascii="Arial" w:cs="Arial" w:eastAsia="Arial" w:hAnsi="Arial"/>
                <w:sz w:val="26"/>
                <w:szCs w:val="26"/>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450,000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3.00% Cash Exchangeable Senior Notes due 2025</w:t>
            </w:r>
            <w:r>
              <w:rPr>
                <w:rFonts w:ascii="Arial" w:cs="Arial" w:eastAsia="Arial" w:hAnsi="Arial"/>
                <w:sz w:val="26"/>
                <w:szCs w:val="26"/>
                <w:color w:val="auto"/>
                <w:vertAlign w:val="superscript"/>
              </w:rPr>
              <w:t>(3)</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287,500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Mediocredito Italiano Loan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Bank of America Merrill Lynch Banco Múltiplo S.A. Loan</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6,781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Bank of America, U.S. Loan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facilities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300,788</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Less current portion of long-term debt</w:t>
            </w:r>
            <w:r>
              <w:rPr>
                <w:rFonts w:ascii="Arial" w:cs="Arial" w:eastAsia="Arial" w:hAnsi="Arial"/>
                <w:sz w:val="26"/>
                <w:szCs w:val="26"/>
                <w:color w:val="auto"/>
                <w:vertAlign w:val="superscript"/>
              </w:rPr>
              <w:t>(4)</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296,127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454,661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gridSpan w:val="2"/>
          </w:tcPr>
          <w:p>
            <w:pPr>
              <w:ind w:left="180"/>
              <w:spacing w:after="0" w:line="256" w:lineRule="exact"/>
              <w:rPr>
                <w:sz w:val="20"/>
                <w:szCs w:val="20"/>
                <w:color w:val="auto"/>
              </w:rPr>
            </w:pPr>
            <w:r>
              <w:rPr>
                <w:rFonts w:ascii="Arial" w:cs="Arial" w:eastAsia="Arial" w:hAnsi="Arial"/>
                <w:sz w:val="18"/>
                <w:szCs w:val="18"/>
                <w:color w:val="auto"/>
              </w:rPr>
              <w:t>Current debt obligations</w:t>
            </w:r>
            <w:r>
              <w:rPr>
                <w:rFonts w:ascii="Arial" w:cs="Arial" w:eastAsia="Arial" w:hAnsi="Arial"/>
                <w:sz w:val="26"/>
                <w:szCs w:val="26"/>
                <w:color w:val="auto"/>
                <w:vertAlign w:val="superscript"/>
              </w:rPr>
              <w:t>(5)</w:t>
            </w: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301,156</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301,156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305,817</w:t>
            </w: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300" w:type="dxa"/>
            <w:vAlign w:val="bottom"/>
            <w:tcBorders>
              <w:right w:val="single" w:sz="8" w:color="CCEEFF"/>
            </w:tcBorders>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Common Stock: £1.00 nominal value; unlimited shares authorized;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49,522,582 shares issued and 48,983,280 shares outstanding</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76,405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81,436</w:t>
            </w:r>
          </w:p>
        </w:tc>
        <w:tc>
          <w:tcPr>
            <w:tcW w:w="6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1,779,113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2,054,182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23,075</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(837,418)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(900,258)</w:t>
            </w:r>
          </w:p>
        </w:tc>
        <w:tc>
          <w:tcPr>
            <w:tcW w:w="0" w:type="dxa"/>
            <w:vAlign w:val="bottom"/>
          </w:tcPr>
          <w:p>
            <w:pPr>
              <w:spacing w:after="0"/>
              <w:rPr>
                <w:sz w:val="1"/>
                <w:szCs w:val="1"/>
                <w:color w:val="auto"/>
              </w:rPr>
            </w:pPr>
          </w:p>
        </w:tc>
      </w:tr>
      <w:tr>
        <w:trPr>
          <w:trHeight w:val="257"/>
        </w:trPr>
        <w:tc>
          <w:tcPr>
            <w:tcW w:w="63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at cost, 539,302 ordinary shares</w:t>
            </w: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1,040,470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1,257,730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43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1,796,287</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1,563,547</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1940" w:type="dxa"/>
            <w:vAlign w:val="bottom"/>
            <w:tcBorders>
              <w:bottom w:val="single" w:sz="8" w:color="auto"/>
            </w:tcBorders>
          </w:tcPr>
          <w:p>
            <w:pPr>
              <w:spacing w:after="0"/>
              <w:rPr>
                <w:sz w:val="5"/>
                <w:szCs w:val="5"/>
                <w:color w:val="auto"/>
              </w:rPr>
            </w:pPr>
          </w:p>
        </w:tc>
        <w:tc>
          <w:tcPr>
            <w:tcW w:w="4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-273685</wp:posOffset>
            </wp:positionV>
            <wp:extent cx="5212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-445135</wp:posOffset>
            </wp:positionV>
            <wp:extent cx="171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-1593850</wp:posOffset>
            </wp:positionV>
            <wp:extent cx="5212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-2185035</wp:posOffset>
            </wp:positionV>
            <wp:extent cx="52120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-3479800</wp:posOffset>
            </wp:positionV>
            <wp:extent cx="137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hanging="360"/>
        <w:spacing w:after="0"/>
        <w:tabs>
          <w:tab w:leader="none" w:pos="1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the effects of net proceeds received from this offering adjusted for amounts paid on the</w:t>
      </w:r>
    </w:p>
    <w:p>
      <w:pPr>
        <w:spacing w:after="0" w:line="34" w:lineRule="exact"/>
        <w:rPr>
          <w:rFonts w:ascii="Arial" w:cs="Arial" w:eastAsia="Arial" w:hAnsi="Arial"/>
          <w:sz w:val="17"/>
          <w:szCs w:val="17"/>
          <w:color w:val="auto"/>
        </w:rPr>
      </w:pPr>
    </w:p>
    <w:p>
      <w:pPr>
        <w:jc w:val="both"/>
        <w:ind w:left="1620" w:right="579"/>
        <w:spacing w:after="0" w:line="255" w:lineRule="auto"/>
        <w:rPr>
          <w:rFonts w:ascii="Arial" w:cs="Arial" w:eastAsia="Arial" w:hAnsi="Arial"/>
          <w:sz w:val="17"/>
          <w:szCs w:val="17"/>
          <w:color w:val="auto"/>
        </w:rPr>
      </w:pPr>
      <w:r>
        <w:rPr>
          <w:rFonts w:ascii="Arial" w:cs="Arial" w:eastAsia="Arial" w:hAnsi="Arial"/>
          <w:sz w:val="18"/>
          <w:szCs w:val="18"/>
          <w:color w:val="auto"/>
        </w:rPr>
        <w:t>$450 million Term Loan, including the payment of the make-whole premium. The actual amount paid for the make-whole premium at the time of repayment will depend upon the Treasury Rate existing at the time of payment.</w:t>
      </w:r>
    </w:p>
    <w:p>
      <w:pPr>
        <w:spacing w:after="0" w:line="41" w:lineRule="exact"/>
        <w:rPr>
          <w:rFonts w:ascii="Arial" w:cs="Arial" w:eastAsia="Arial" w:hAnsi="Arial"/>
          <w:sz w:val="17"/>
          <w:szCs w:val="17"/>
          <w:color w:val="auto"/>
        </w:rPr>
      </w:pPr>
    </w:p>
    <w:p>
      <w:pPr>
        <w:ind w:left="1620" w:right="799" w:hanging="36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principal amount exclusive of unamortized debt discount and issuance costs of $23.6 million.</w:t>
      </w:r>
    </w:p>
    <w:p>
      <w:pPr>
        <w:spacing w:after="0" w:line="35" w:lineRule="exact"/>
        <w:rPr>
          <w:rFonts w:ascii="Arial" w:cs="Arial" w:eastAsia="Arial" w:hAnsi="Arial"/>
          <w:sz w:val="18"/>
          <w:szCs w:val="18"/>
          <w:color w:val="auto"/>
        </w:rPr>
      </w:pPr>
    </w:p>
    <w:p>
      <w:pPr>
        <w:ind w:left="1620" w:right="799" w:hanging="36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principal amount exclusive of unamortized debt discount and issuance costs of $69.1 million.</w:t>
      </w:r>
    </w:p>
    <w:p>
      <w:pPr>
        <w:spacing w:after="0" w:line="21" w:lineRule="exact"/>
        <w:rPr>
          <w:rFonts w:ascii="Arial" w:cs="Arial" w:eastAsia="Arial" w:hAnsi="Arial"/>
          <w:sz w:val="18"/>
          <w:szCs w:val="18"/>
          <w:color w:val="auto"/>
        </w:rPr>
      </w:pPr>
    </w:p>
    <w:p>
      <w:pPr>
        <w:ind w:left="1620" w:right="479" w:hanging="360"/>
        <w:spacing w:after="0" w:line="263"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total principal amount of the 3.00% Cash Exchangeable Senior Notes due 2025 which are exchangeable at the election of the holders through September 30, 2021. For additional information see LivaNova’s second quarter Form 10-Q filed on July 28, 2021.</w:t>
      </w:r>
    </w:p>
    <w:p>
      <w:pPr>
        <w:spacing w:after="0" w:line="35" w:lineRule="exact"/>
        <w:rPr>
          <w:rFonts w:ascii="Arial" w:cs="Arial" w:eastAsia="Arial" w:hAnsi="Arial"/>
          <w:sz w:val="18"/>
          <w:szCs w:val="18"/>
          <w:color w:val="auto"/>
        </w:rPr>
      </w:pPr>
    </w:p>
    <w:p>
      <w:pPr>
        <w:ind w:left="1620" w:right="579" w:hanging="360"/>
        <w:spacing w:after="0" w:line="277" w:lineRule="auto"/>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current portion of long-term debt and $5.0 million amounts outstanding under short-term unsecured revolving arrangements and other agreements with various banks.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OUR ORDINARY SHARES</w:t>
      </w:r>
    </w:p>
    <w:p>
      <w:pPr>
        <w:spacing w:after="0" w:line="148"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following is a description of our share capital and a summary of the material terms of our articles of association (the “Articles”) . This summary does not purport to give a complete overview and may not contain all of the information that is important to you. To understand them fully, you should read our articles of association, a copy of which is filed with the SEC as an exhibit to the registration statement of which this prospectus supplement and the accompanying prospectus are parts, and the applicable provisions of the U.K. Companies Act 2006 (the “Companies Act”) as in force from time to time.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19" w:firstLine="360"/>
        <w:spacing w:after="0" w:line="324" w:lineRule="auto"/>
        <w:rPr>
          <w:sz w:val="20"/>
          <w:szCs w:val="20"/>
          <w:color w:val="auto"/>
        </w:rPr>
      </w:pPr>
      <w:r>
        <w:rPr>
          <w:rFonts w:ascii="Arial" w:cs="Arial" w:eastAsia="Arial" w:hAnsi="Arial"/>
          <w:sz w:val="16"/>
          <w:szCs w:val="16"/>
          <w:color w:val="auto"/>
        </w:rPr>
        <w:t>Under English law, persons who are neither residents nor nationals of the U.K. may freely hold, vote and transfer the ordinary shares in the same manner and under the same terms as U.K. residents or nationals.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62"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As of June 30, 2021, there were 49,522,582 total ordinary shares issued, each with a nominal or par value of £1.00 each (the “ordinary shares”) and 49,983,280 total ordinary shares outstanding.</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Distributions</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2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8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In addition, the directors may decide to pay interim dividends. The entitlement to a dividend lapses if unclaimed by a shareholder for 12 years from the date when it became due for payment.</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0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to the Articles</w:t>
      </w:r>
    </w:p>
    <w:p>
      <w:pPr>
        <w:spacing w:after="0" w:line="162"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Under the Companies Act, the shareholders may amend the articles of association of the Company by special resolution (a resolution passed by the holders of at least 75% of those shares voted either in person</w:t>
      </w:r>
    </w:p>
    <w:p>
      <w:pPr>
        <w:sectPr>
          <w:pgSz w:w="11900" w:h="16838" w:orient="portrait"/>
          <w:cols w:equalWidth="0" w:num="1">
            <w:col w:w="9879"/>
          </w:cols>
          <w:pgMar w:left="580" w:top="131" w:right="1440" w:bottom="1440" w:gutter="0" w:footer="0" w:header="0"/>
        </w:sectPr>
      </w:pPr>
    </w:p>
    <w:p>
      <w:pPr>
        <w:spacing w:after="0" w:line="30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63" w:lineRule="auto"/>
        <w:rPr>
          <w:sz w:val="20"/>
          <w:szCs w:val="20"/>
          <w:color w:val="auto"/>
        </w:rPr>
      </w:pPr>
      <w:r>
        <w:rPr>
          <w:rFonts w:ascii="Arial" w:cs="Arial" w:eastAsia="Arial" w:hAnsi="Arial"/>
          <w:sz w:val="18"/>
          <w:szCs w:val="18"/>
          <w:color w:val="auto"/>
        </w:rPr>
        <w:t>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Rights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rights attaching to the ordinary shares may be modified with the written consent of the holders of</w:t>
      </w:r>
    </w:p>
    <w:p>
      <w:pPr>
        <w:spacing w:after="0" w:line="35" w:lineRule="exact"/>
        <w:rPr>
          <w:sz w:val="20"/>
          <w:szCs w:val="20"/>
          <w:color w:val="auto"/>
        </w:rPr>
      </w:pPr>
    </w:p>
    <w:p>
      <w:pPr>
        <w:ind w:left="1260" w:right="879"/>
        <w:spacing w:after="0" w:line="323" w:lineRule="auto"/>
        <w:rPr>
          <w:sz w:val="20"/>
          <w:szCs w:val="20"/>
          <w:color w:val="auto"/>
        </w:rPr>
      </w:pPr>
      <w:r>
        <w:rPr>
          <w:rFonts w:ascii="Arial" w:cs="Arial" w:eastAsia="Arial" w:hAnsi="Arial"/>
          <w:sz w:val="16"/>
          <w:szCs w:val="16"/>
          <w:color w:val="auto"/>
        </w:rPr>
        <w:t>75% in nominal value of the issued ordinary shares (excluding any shares of that class held as treasury shares), or by a special resolution of the holders of the issued ordinary shares, but not otherwise.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Meetings and Notices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pacing w:after="0" w:line="114"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Disclosure of Interests in Ordinary Shares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percent in nominal value of the issued shares of their class, in respect of such shares, no dividends shall be paid, and no transfers of such shares shall be registered save in certain circumstances.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Return of Capital and Winding Up</w:t>
      </w:r>
    </w:p>
    <w:p>
      <w:pPr>
        <w:spacing w:after="0" w:line="148" w:lineRule="exact"/>
        <w:rPr>
          <w:sz w:val="20"/>
          <w:szCs w:val="20"/>
          <w:color w:val="auto"/>
        </w:rPr>
      </w:pPr>
    </w:p>
    <w:p>
      <w:pPr>
        <w:ind w:left="1260" w:right="539" w:firstLine="360"/>
        <w:spacing w:after="0" w:line="301" w:lineRule="auto"/>
        <w:rPr>
          <w:sz w:val="20"/>
          <w:szCs w:val="20"/>
          <w:color w:val="auto"/>
        </w:rPr>
      </w:pPr>
      <w:r>
        <w:rPr>
          <w:rFonts w:ascii="Arial" w:cs="Arial" w:eastAsia="Arial" w:hAnsi="Arial"/>
          <w:sz w:val="16"/>
          <w:szCs w:val="16"/>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Authority to Allot New Shares and Pre-Emption Rights</w:t>
      </w:r>
    </w:p>
    <w:p>
      <w:pPr>
        <w:spacing w:after="0" w:line="148"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 the annual general meeting of shareholders held on June 9, 2021 (the “2021 AGM”), the Company’s</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shareholders passed an ordinary resolution granting the Board authority to allot new shares and to grant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rights to subscribe for, or to convert any security into, shares, up to an aggregate nominal value of</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£16,122,679, which is equivalent to approximately 33% of the Company’s total issued ordinary share capital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(excluding treasury shares) as at April 22, 2021. This authority (unless previously revoked, varied 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renewed by the Company) will expire at the end of the next annual general meeting of the Company or, if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earlier, the close of business on the date that is fifteen (15) months after the 2021 AGM, save that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directors may, before this authority expires, make offers or agreements which would or might require shares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Company to be allotted, or rights to subscribe for, or convert securities into, shares to be granted,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its expiry and the directors may allot shares or grant rights to subscribe for, or convert securities into,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pursuant to such offers or agreements as if this authority had not expired.</w:t>
      </w:r>
    </w:p>
    <w:p>
      <w:pPr>
        <w:spacing w:after="0" w:line="143"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10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At the 2021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(a) £2,442,830 for any purpose; and (b) an additional £2,442,830 only for the purposes of financing an acquisition or other capital investment. The amounts set out under (a) and (b) are each equal to approximately 5% (and together equal to approximately 10%) of the Company’s issued ordinary share capital (excluding treasury shares) as at April 22, 2021. This power (unless previously revoked, varied or renewed by the Company) will expire at the end of the next annual general meeting of the Company or, if earlier, the close of business on the date that is fifteen (15) months after the 2021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Alteration of Share Capital/Repurchase of Ordinary Shares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Subject to the Companies Act, and without prejudice to any relevant special rights attached to any class of shares, the Company may, from time to time, among other things:</w:t>
      </w: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 (see “Authority to Allot New Shares and Pre-Emption Rights” above);</w:t>
      </w:r>
    </w:p>
    <w:p>
      <w:pPr>
        <w:spacing w:after="0" w:line="75"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par value) than the existing shares, subject to this being approved by its shareholders by means of an ordinary resolution;</w:t>
      </w:r>
    </w:p>
    <w:p>
      <w:pPr>
        <w:spacing w:after="0" w:line="75"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subdivide any of its shares into shares of a smaller nominal amount (i.e., par value) than its existing shares, subject to this being approved by its shareholders by means of an ordinary resolution; or</w:t>
      </w:r>
    </w:p>
    <w:p>
      <w:pPr>
        <w:spacing w:after="0" w:line="38"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subject to this being approved by its shareholders by means of an ordinary resolution.</w:t>
      </w:r>
    </w:p>
    <w:p>
      <w:pPr>
        <w:spacing w:after="0" w:line="8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of Ordinary Shares</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 may not Charge a Fee for Registering the Transfer of a Share</w:t>
      </w:r>
    </w:p>
    <w:p>
      <w:pPr>
        <w:spacing w:after="0" w:line="162"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Exchange Listing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ordinary shares trade on Nasdaq under the symbol “LIVN”.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 FEDERAL TAX CONSIDERATIONS</w:t>
      </w:r>
    </w:p>
    <w:p>
      <w:pPr>
        <w:spacing w:after="0" w:line="148" w:lineRule="exact"/>
        <w:rPr>
          <w:sz w:val="20"/>
          <w:szCs w:val="20"/>
          <w:color w:val="auto"/>
        </w:rPr>
      </w:pPr>
    </w:p>
    <w:p>
      <w:pPr>
        <w:ind w:left="1260" w:right="779" w:firstLine="360"/>
        <w:spacing w:after="0" w:line="308" w:lineRule="auto"/>
        <w:rPr>
          <w:sz w:val="20"/>
          <w:szCs w:val="20"/>
          <w:color w:val="auto"/>
        </w:rPr>
      </w:pPr>
      <w:r>
        <w:rPr>
          <w:rFonts w:ascii="Arial" w:cs="Arial" w:eastAsia="Arial" w:hAnsi="Arial"/>
          <w:sz w:val="17"/>
          <w:szCs w:val="17"/>
          <w:color w:val="auto"/>
        </w:rPr>
        <w:t>The following is a summary of material U.S. federal income tax considerations that are likely to be relevant to the ownership and disposition of our ordinary shares by a U.S. Holder (as defined below).</w:t>
      </w:r>
    </w:p>
    <w:p>
      <w:pPr>
        <w:spacing w:after="0" w:line="79"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This summary is based on provisions of the U.S. Internal Revenue Code of 1986, as amended (the “Code”), and regulations, rulings and judicial interpretations thereof, in force as of the date hereof, and the Convention between the Government of the United States of America and the Government of the United Kingdom of Great Britain and Northern Ireland for the Avoidance of Double Taxation and the Prevention of Fiscal Evasion with respect to Taxes on Income and on Capital Gains dated July 24, 2001 (as amended by any subsequent protocols, including the protocol of July 19, 2002) (the “Treaty”). Those authorities may be changed at any time, perhaps retroactively, so as to result in U.S. federal income tax consequences different from those summarized below.</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8"/>
          <w:szCs w:val="18"/>
          <w:color w:val="auto"/>
        </w:rPr>
        <w:t>This summary is not a comprehensive discussion of all of the tax considerations that may be relevant to a particular investor’s decision to purchase, hold, or dispose of ordinary shares. In particular, this summary is directed only to U.S. Holders that hold ordinary shares as capital assets and does not address particular tax consequences that may be applicable to U.S. Holders who may be subject to special tax rules, such as banks, brokers or dealers in securities or currencies, traders in securities electing to mark to market, financial institutions, life insurance companies, tax-exempt entities, regulated investment companies, entities or arrangements that are treated as partnerships for U.S. federal income tax purposes (or partners therein), U.S. Holders that own or are treated as owning 10% or more of our stock by vote or value, persons holding ordinary shares as part of a hedging or conversion transaction or a straddle, or persons whose functional currency is not the U.S. dollar. Moreover, this summary does not address state, local or non-U.S. taxes, U.S. federal estate and gift taxes, the Medicare contribution tax applicable to net investment income of certain non-corporate U.S. Holders, or alternative minimum tax consequences of holding or disposing of ordinary shares.</w:t>
      </w:r>
    </w:p>
    <w:p>
      <w:pPr>
        <w:spacing w:after="0" w:line="11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For purposes of this summary, a “U.S. Holder” is a beneficial owner of ordinary shares that is a citizen or resident of the United States or a U.S. domestic corporation or that otherwise is subject to U.S. federal income taxation on a net income basis in respect of such ordinary shares.</w:t>
      </w:r>
    </w:p>
    <w:p>
      <w:pPr>
        <w:spacing w:after="0" w:line="112" w:lineRule="exact"/>
        <w:rPr>
          <w:sz w:val="20"/>
          <w:szCs w:val="20"/>
          <w:color w:val="auto"/>
        </w:rPr>
      </w:pPr>
    </w:p>
    <w:p>
      <w:pPr>
        <w:ind w:left="1260" w:right="799" w:firstLine="360"/>
        <w:spacing w:after="0" w:line="343" w:lineRule="auto"/>
        <w:rPr>
          <w:sz w:val="20"/>
          <w:szCs w:val="20"/>
          <w:color w:val="auto"/>
        </w:rPr>
      </w:pPr>
      <w:r>
        <w:rPr>
          <w:rFonts w:ascii="Arial" w:cs="Arial" w:eastAsia="Arial" w:hAnsi="Arial"/>
          <w:sz w:val="15"/>
          <w:szCs w:val="15"/>
          <w:b w:val="1"/>
          <w:bCs w:val="1"/>
          <w:color w:val="auto"/>
        </w:rPr>
        <w:t>You should consult your own tax advisors about the consequences of the acquisition, ownership and disposition of the ordinary shares, including the relevance to your particular situation of the considerations discussed below and any consequences arising under non-U.S., state, local or other tax laws.</w:t>
      </w:r>
    </w:p>
    <w:p>
      <w:pPr>
        <w:spacing w:after="0" w:line="12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Dividends</w:t>
      </w:r>
    </w:p>
    <w:p>
      <w:pPr>
        <w:spacing w:after="0" w:line="158" w:lineRule="exact"/>
        <w:rPr>
          <w:sz w:val="20"/>
          <w:szCs w:val="20"/>
          <w:color w:val="auto"/>
        </w:rPr>
      </w:pPr>
    </w:p>
    <w:p>
      <w:pPr>
        <w:ind w:left="1260" w:right="719" w:firstLine="360"/>
        <w:spacing w:after="0" w:line="273" w:lineRule="auto"/>
        <w:rPr>
          <w:sz w:val="20"/>
          <w:szCs w:val="20"/>
          <w:color w:val="auto"/>
        </w:rPr>
      </w:pPr>
      <w:r>
        <w:rPr>
          <w:rFonts w:ascii="Arial" w:cs="Arial" w:eastAsia="Arial" w:hAnsi="Arial"/>
          <w:sz w:val="17"/>
          <w:szCs w:val="17"/>
          <w:color w:val="auto"/>
        </w:rPr>
        <w:t>Subject to the discussion below under “— Passive Foreign Investment Company Status,” the gross amount of any distribution of cash or property with respect to our ordinary shares (including any amount withheld in respect of U.K. taxes) that is paid out of our current or accumulated earnings and profits (as determined for U.S. federal income tax purposes) will generally be includible in your taxable income as ordinary dividend income on the day on which you receive the dividend and will not be eligible for the dividends-received deduction allowed to corporations under the Code.</w:t>
      </w:r>
    </w:p>
    <w:p>
      <w:pPr>
        <w:spacing w:after="0" w:line="97" w:lineRule="exact"/>
        <w:rPr>
          <w:sz w:val="20"/>
          <w:szCs w:val="20"/>
          <w:color w:val="auto"/>
        </w:rPr>
      </w:pPr>
    </w:p>
    <w:p>
      <w:pPr>
        <w:jc w:val="both"/>
        <w:ind w:left="1260" w:right="579" w:firstLine="360"/>
        <w:spacing w:after="0" w:line="263"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reported to them as dividends for U.S. federal income tax purposes.</w:t>
      </w:r>
    </w:p>
    <w:p>
      <w:pPr>
        <w:spacing w:after="0" w:line="116"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If you are a U.S. Holder, dividends paid in a currency other than U.S. dollars generally will be includible in your income in a U.S. dollar amount calculated by reference to the exchange rate in effect on the day you receive the dividends. Any gain or loss on a subsequent sale, conversion or other disposition of such non-U.S. currency by such U.S. Holder generally will be treated as ordinary income or loss and generally will be income or loss from sources within the United States.</w:t>
      </w:r>
    </w:p>
    <w:p>
      <w:pPr>
        <w:spacing w:after="0" w:line="120"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Subject to certain exceptions, the U.S. dollar amount of dividends received by an individual with respect to the ordinary shares will be subject to taxation at a preferential rate if the dividends are “qualified dividends.” Dividends paid on the ordinary shares will be treated as qualified dividends if:</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ordinary shares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78"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were not, in the year prior to the year in which the dividend was paid, and are not, in the year in which the dividend is paid, a passive foreign investment company (a “PFIC”).</w:t>
      </w:r>
    </w:p>
    <w:p>
      <w:pPr>
        <w:spacing w:after="0" w:line="89"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ordinary shares are listed on the NASDAQ, and will qualify as readily tradable on an established securities market in the United States so long as they are so listed. In addition, the U.S. Treasury has determined that the Treaty meets the requirements for reduced rates of taxation, and we believe we are eligible for the benefits of the Treaty. Based on our financial statements, relevant market and shareholder data, the manner in which we conduct our business and our current expectations regarding the value and nature of our assets and the sources and nature of our income, we do not believe that we were a PFIC in our taxable year ending December 31, 2020, and we do not expect to become a PFIC in our current taxable year or in the foreseeable future. U.S. Holders should consult their own tax advisors regarding the availability of the reduced dividend tax rate in light of their own particular circumstances.</w:t>
      </w:r>
    </w:p>
    <w:p>
      <w:pPr>
        <w:spacing w:after="0" w:line="116"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Dividend distributions with respect to our ordinary shares generally will be treated as “passive category” income from sources outside the United States for purposes of determining a U.S. Holder’s U.S. foreign tax credit limitation.</w:t>
      </w:r>
    </w:p>
    <w:p>
      <w:pPr>
        <w:spacing w:after="0" w:line="101"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U.S. Holders that receive distributions of additional ordinary shares or rights to subscribe for ordinary shares as part of a pro rata distribution to all our shareholders generally will not be subject to U.S. federal income tax in respect of the distributions, unless the U.S. Holder has the right to receive cash or property, in which case the U.S. Holder will be treated as if it received cash equal to the fair market value of the distribution.</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Dispositions of Shares</w:t>
      </w:r>
    </w:p>
    <w:p>
      <w:pPr>
        <w:spacing w:after="0" w:line="158"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Subject to the discussion below under “— Passive Foreign Investment Company Status,” upon a sale, exchange or other taxable disposition of the ordinary shares, U.S. Holders will realize gain or loss for U.S. federal income tax purposes in an amount equal to the difference between the amount realized on the disposition and the U.S. Holder’s adjusted tax basis in the ordinary shares, as determined in U.S. dollars as discussed below. Such gain or loss will be capital gain or loss, and will generally be long-term capital gain or loss if the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26"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Gain, if any, realized by a U.S. Holder on the sale or other disposition of the ordinary shares generally will be treated as U.S. source income for U.S. foreign tax credit purposes.</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Passive Foreign Investment Company Status</w:t>
      </w:r>
    </w:p>
    <w:p>
      <w:pPr>
        <w:spacing w:after="0" w:line="144" w:lineRule="exact"/>
        <w:rPr>
          <w:sz w:val="20"/>
          <w:szCs w:val="20"/>
          <w:color w:val="auto"/>
        </w:rPr>
      </w:pPr>
    </w:p>
    <w:p>
      <w:pPr>
        <w:ind w:left="1260" w:right="699" w:firstLine="360"/>
        <w:spacing w:after="0" w:line="261" w:lineRule="auto"/>
        <w:rPr>
          <w:sz w:val="20"/>
          <w:szCs w:val="20"/>
          <w:color w:val="auto"/>
        </w:rPr>
      </w:pPr>
      <w:r>
        <w:rPr>
          <w:rFonts w:ascii="Arial" w:cs="Arial" w:eastAsia="Arial" w:hAnsi="Arial"/>
          <w:sz w:val="18"/>
          <w:szCs w:val="18"/>
          <w:color w:val="auto"/>
        </w:rPr>
        <w:t>Special U.S. tax rules apply to companies that are considered to be PFICs. We will be classified as a PFIC in a particular taxable year if either</w:t>
      </w:r>
    </w:p>
    <w:p>
      <w:pPr>
        <w:spacing w:after="0" w:line="63" w:lineRule="exact"/>
        <w:rPr>
          <w:sz w:val="20"/>
          <w:szCs w:val="20"/>
          <w:color w:val="auto"/>
        </w:rPr>
      </w:pPr>
    </w:p>
    <w:p>
      <w:pPr>
        <w:ind w:left="1800" w:hanging="180"/>
        <w:spacing w:after="0"/>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75% or more of our gross income for the taxable year is passive income; or</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that produce or are held for the production of passive income is at least 50%.</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For this purpose, passive income generally includes dividends, interest, gains from certain commodities transactions, rents, royalties and the excess of gains over losses from the disposition of assets that produce passive income.</w:t>
      </w:r>
    </w:p>
    <w:p>
      <w:pPr>
        <w:spacing w:after="0" w:line="101" w:lineRule="exact"/>
        <w:rPr>
          <w:sz w:val="20"/>
          <w:szCs w:val="20"/>
          <w:color w:val="auto"/>
        </w:rPr>
      </w:pPr>
    </w:p>
    <w:p>
      <w:pPr>
        <w:ind w:left="1260" w:right="419" w:firstLine="360"/>
        <w:spacing w:after="0" w:line="284" w:lineRule="auto"/>
        <w:rPr>
          <w:sz w:val="20"/>
          <w:szCs w:val="20"/>
          <w:color w:val="auto"/>
        </w:rPr>
      </w:pPr>
      <w:r>
        <w:rPr>
          <w:rFonts w:ascii="Arial" w:cs="Arial" w:eastAsia="Arial" w:hAnsi="Arial"/>
          <w:sz w:val="16"/>
          <w:szCs w:val="16"/>
          <w:color w:val="auto"/>
        </w:rPr>
        <w:t>Based on our financial statements, relevant market and shareholder data, the manner in which we conduct our business and our current expectations regarding the value and nature of our assets and the sources and nature of our income, we do not believe that we were a PFIC in our taxable year ending December 31, 2020, and we do not expect to become a PFIC in our current taxable year or in the foreseeable</w:t>
      </w:r>
    </w:p>
    <w:p>
      <w:pPr>
        <w:spacing w:after="0" w:line="3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future. Whether we are a PFIC is a factual determination made annually, and our status could change depending, among other things, upon changes in the composition of our gross income and the relative quarterly average value of our assets. In the event that, contrary to our expectation, we are classified as a PFIC in any taxable year in which a U.S. Holder holds ordinary shares, such U.S. Holder generally would be subject to additional taxes on certain distributions and any gain realized from the sale or other taxable disposition of the ordinary shares regardless of whether we continued to be a PFIC in any subsequent year. Prospective U.S. investors are encouraged to consult their own tax advisor as to our status as a PFIC, the tax consequences to them of such status.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Foreign Financial Asset Reporting</w:t>
      </w:r>
    </w:p>
    <w:p>
      <w:pPr>
        <w:spacing w:after="0" w:line="144" w:lineRule="exact"/>
        <w:rPr>
          <w:sz w:val="20"/>
          <w:szCs w:val="20"/>
          <w:color w:val="auto"/>
        </w:rPr>
      </w:pPr>
    </w:p>
    <w:p>
      <w:pPr>
        <w:jc w:val="both"/>
        <w:ind w:left="1260" w:right="479" w:firstLine="360"/>
        <w:spacing w:after="0" w:line="271" w:lineRule="auto"/>
        <w:rPr>
          <w:sz w:val="20"/>
          <w:szCs w:val="20"/>
          <w:color w:val="auto"/>
        </w:rPr>
      </w:pPr>
      <w:r>
        <w:rPr>
          <w:rFonts w:ascii="Arial" w:cs="Arial" w:eastAsia="Arial" w:hAnsi="Arial"/>
          <w:sz w:val="17"/>
          <w:szCs w:val="17"/>
          <w:color w:val="auto"/>
        </w:rPr>
        <w:t>Individual U.S. Holders that own “specified foreign financial assets” with an aggregate value in excess of U.S.$50,000 on the last day of the taxable year or more than U.S.$75,000 at any time during the taxable year are generally required to file an information statement along with their tax returns, currently on U.S.</w:t>
      </w:r>
    </w:p>
    <w:p>
      <w:pPr>
        <w:ind w:left="1260" w:right="419"/>
        <w:spacing w:after="0" w:line="268" w:lineRule="auto"/>
        <w:rPr>
          <w:sz w:val="20"/>
          <w:szCs w:val="20"/>
          <w:color w:val="auto"/>
        </w:rPr>
      </w:pPr>
      <w:r>
        <w:rPr>
          <w:rFonts w:ascii="Arial" w:cs="Arial" w:eastAsia="Arial" w:hAnsi="Arial"/>
          <w:sz w:val="17"/>
          <w:szCs w:val="17"/>
          <w:color w:val="auto"/>
        </w:rPr>
        <w:t>Internal Revenue Service (“IRS”) Form 8938, with respect to such assets. “Specified foreign financial assets” include any financial accounts held at a non-U.S. financial institution, as well as securities issued by a non-U.S. issuer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who fail to report the required information could be subject to substantial penalties. In addition, the statute of limitations for assessment of tax would be suspended, in whole or part. Prospective investors are encouraged to consult with their own tax advisors regarding the possible application of these rules, including the application of the rules to their particular circumstances.</w:t>
      </w:r>
    </w:p>
    <w:p>
      <w:pPr>
        <w:spacing w:after="0" w:line="17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Backup Withholding and Information Reporting</w:t>
      </w:r>
    </w:p>
    <w:p>
      <w:pPr>
        <w:spacing w:after="0" w:line="15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Dividends paid on, and proceeds from the sale or other disposition of, the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IRS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CERTAIN U.K. TAX CONSIDERATIONS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U.K. Tax Considerations</w:t>
      </w:r>
    </w:p>
    <w:p>
      <w:pPr>
        <w:spacing w:after="0" w:line="162"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i w:val="1"/>
          <w:iCs w:val="1"/>
          <w:color w:val="auto"/>
        </w:rPr>
        <w:t>The summary below is for general information only and is not intended to be, nor should it be considered to be, legal or tax advice to any particular investor. It relates only to certain limited aspects of the U.K. tax consequences of holding or disposing of ordinary shares being offered pursuant to this prospectus supplement and is based on current U.K. tax law and what is understood to be the current published practice of HM Revenue &amp; Customs (“HMRC”) as at the date of this document (which are both subject to change at any time, possibly with retrospective effect). The rates and allowances for 2021/2022 stated in the U.K. tax section below reflect the current law.</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Arial" w:cs="Arial" w:eastAsia="Arial" w:hAnsi="Arial"/>
          <w:sz w:val="17"/>
          <w:szCs w:val="17"/>
          <w:i w:val="1"/>
          <w:iCs w:val="1"/>
          <w:color w:val="auto"/>
        </w:rPr>
        <w:t>The summary below does not address all of the tax considerations that may be relevant to specific investors in light of their particular circumstances or to investors subject to special treatment under U.K. tax law. In particular, the comments below are intended to apply only to holders of ordinary shares: (i) who are resident (and, in the case of individuals, domiciled) in (and only in) the U.K. for U.K. tax purposes (except to the extent that the position of non-U.K. resident holders is expressly referred to); (ii) to whom split-year treatment does not apply; (iii) who are and will be the absolute beneficial owners of their ordinary shares and any dividends paid in respect of them; (iv) who hold, and will hold, their ordinary shares as investments (otherwise than through an individual savings account or a pension arrangement) and not as securities to be realized in the course of a trade; (v) who hold less than 5% of the ordinary shares; and (vi) to whom the U.K. tax rules concerning carried interest do not apply in relation to their holding or disposal of ordinary shares. The comments below may not apply to certain holders, such as (but not limited to) persons who are connected with us, dealers in securities, broker dealers, financial institutions, insurance companies, charities, collective investment schemes, pension schemes, holders who are exempt from U.K. taxation or holders who are or were officers or employees of LivaNova PLC (or of any related company) and have (or are deemed to have) acquired their ordinary shares by virtue of an office or employment (whether current, historic or prospective). Such holders may be subject to special rules.</w:t>
      </w:r>
    </w:p>
    <w:p>
      <w:pPr>
        <w:spacing w:after="0" w:line="118"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i w:val="1"/>
          <w:iCs w:val="1"/>
          <w:color w:val="auto"/>
        </w:rPr>
        <w:t>The material set out in the paragraphs below does not constitute tax advice and these paragraphs do not describe all of the circumstances in which holders of ordinary shares in LivaNova PLC may benefit from an exemption or relief from U.K. taxation. Holders who are in any doubt as to their tax position or who are subject to tax in a jurisdiction other than the U.K. should consult an appropriate professional adviser. In particular, non- U.K. resident or domiciled persons are advised to consider the potential impact of any relevant double tax agreements.</w:t>
      </w:r>
    </w:p>
    <w:p>
      <w:pPr>
        <w:spacing w:after="0" w:line="122" w:lineRule="exact"/>
        <w:rPr>
          <w:sz w:val="20"/>
          <w:szCs w:val="20"/>
          <w:color w:val="auto"/>
        </w:rPr>
      </w:pPr>
    </w:p>
    <w:p>
      <w:pPr>
        <w:ind w:left="1260" w:right="439" w:firstLine="360"/>
        <w:spacing w:after="0" w:line="241" w:lineRule="auto"/>
        <w:rPr>
          <w:sz w:val="20"/>
          <w:szCs w:val="20"/>
          <w:color w:val="auto"/>
        </w:rPr>
      </w:pPr>
      <w:r>
        <w:rPr>
          <w:rFonts w:ascii="Arial" w:cs="Arial" w:eastAsia="Arial" w:hAnsi="Arial"/>
          <w:sz w:val="18"/>
          <w:szCs w:val="18"/>
          <w:i w:val="1"/>
          <w:iCs w:val="1"/>
          <w:color w:val="auto"/>
        </w:rPr>
        <w:t>The statements below relating to U.K. stamp duty and SDRT should be read in conjunction with the risk factor entitled “Transfers of our shares, other than ones effected by means of the transfer of book-entry interests in the Depository Trust Company (“DTC”), may be subject to UK stamp duty or UK stamp duty reserve tax (“SDRT”)” in the “Risk Factors” section in our Annual Report on Form 10-K for the year ended December 31, 2020.</w:t>
      </w:r>
    </w:p>
    <w:p>
      <w:pPr>
        <w:spacing w:after="0" w:line="104" w:lineRule="exact"/>
        <w:rPr>
          <w:sz w:val="20"/>
          <w:szCs w:val="20"/>
          <w:color w:val="auto"/>
        </w:rPr>
      </w:pPr>
    </w:p>
    <w:p>
      <w:pPr>
        <w:ind w:left="1260" w:right="439" w:firstLine="360"/>
        <w:spacing w:after="0" w:line="242" w:lineRule="auto"/>
        <w:rPr>
          <w:sz w:val="20"/>
          <w:szCs w:val="20"/>
          <w:color w:val="auto"/>
        </w:rPr>
      </w:pPr>
      <w:r>
        <w:rPr>
          <w:rFonts w:ascii="Arial" w:cs="Arial" w:eastAsia="Arial" w:hAnsi="Arial"/>
          <w:sz w:val="18"/>
          <w:szCs w:val="18"/>
          <w:b w:val="1"/>
          <w:bCs w:val="1"/>
          <w:color w:val="auto"/>
        </w:rPr>
        <w:t>POTENTIAL INVESTORS SHOULD SATISFY THEMSELVES PRIOR TO INVESTING AS TO THE OVERALL TAX CONSEQUENCES, INCLUDING, SPECIFICALLY, THE CONSEQUENCES UNDER U.K. TAX LAW AND HMRC PRACTICE OF THE ACQUISITION, OWNERSHIP AND DISPOSAL OF THE ORDINARY SHARES IN THEIR OWN PARTICULAR CIRCUMSTANCES BY CONSULTING THEIR OWN TAX ADVISERS.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58" w:lineRule="exact"/>
        <w:rPr>
          <w:sz w:val="20"/>
          <w:szCs w:val="20"/>
          <w:color w:val="auto"/>
        </w:rPr>
      </w:pPr>
    </w:p>
    <w:p>
      <w:pPr>
        <w:ind w:left="1260" w:right="1259" w:firstLine="360"/>
        <w:spacing w:after="0" w:line="261" w:lineRule="auto"/>
        <w:rPr>
          <w:sz w:val="20"/>
          <w:szCs w:val="20"/>
          <w:color w:val="auto"/>
        </w:rPr>
      </w:pPr>
      <w:r>
        <w:rPr>
          <w:rFonts w:ascii="Arial" w:cs="Arial" w:eastAsia="Arial" w:hAnsi="Arial"/>
          <w:sz w:val="18"/>
          <w:szCs w:val="18"/>
          <w:i w:val="1"/>
          <w:iCs w:val="1"/>
          <w:color w:val="auto"/>
        </w:rPr>
        <w:t>Withholding tax</w:t>
      </w:r>
      <w:r>
        <w:rPr>
          <w:rFonts w:ascii="Arial" w:cs="Arial" w:eastAsia="Arial" w:hAnsi="Arial"/>
          <w:sz w:val="18"/>
          <w:szCs w:val="18"/>
          <w:color w:val="auto"/>
        </w:rPr>
        <w:t>. Dividend payments in respect of the ordinary shares may be made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withholding or deduction for or on account of U.K. tax.</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Income tax.</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Individual holders within the charge to U.K. income tax</w:t>
      </w:r>
    </w:p>
    <w:p>
      <w:pPr>
        <w:spacing w:after="0" w:line="15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When LivaNova PLC pays a dividend to a holder of ordinary shares who is an individual resident (for tax purposes) and domiciled in the U.K., the amount of income tax payable on the receipt, if any, will depend</w:t>
      </w:r>
    </w:p>
    <w:p>
      <w:pPr>
        <w:sectPr>
          <w:pgSz w:w="11900" w:h="16838" w:orient="portrait"/>
          <w:cols w:equalWidth="0" w:num="1">
            <w:col w:w="9879"/>
          </w:cols>
          <w:pgMar w:left="580" w:top="131" w:right="1440" w:bottom="1440" w:gutter="0" w:footer="0" w:header="0"/>
        </w:sectPr>
      </w:pPr>
    </w:p>
    <w:p>
      <w:pPr>
        <w:spacing w:after="0" w:line="357"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77" w:lineRule="auto"/>
        <w:rPr>
          <w:sz w:val="20"/>
          <w:szCs w:val="20"/>
          <w:color w:val="auto"/>
        </w:rPr>
      </w:pPr>
      <w:r>
        <w:rPr>
          <w:rFonts w:ascii="Arial" w:cs="Arial" w:eastAsia="Arial" w:hAnsi="Arial"/>
          <w:sz w:val="18"/>
          <w:szCs w:val="18"/>
          <w:color w:val="auto"/>
        </w:rPr>
        <w:t>on the individual’s own personal tax position. “Dividend income” for these purposes includes U.K. and non U.K. source dividends and certain other distributions in respect of shares.</w:t>
      </w:r>
    </w:p>
    <w:p>
      <w:pPr>
        <w:spacing w:after="0" w:line="89"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No U.K. income tax on dividend income received from LivaNova PLC should be payable by an individual holder of ordinary shares who is resident in the U.K. for tax purposes if the amount of dividend income received, when aggregated with the holder’s other dividend income in the year of assessment, does not exceed the nil rate amount. The nil rate amount is £2,000 for the 2021/2022 tax year. Dividend income in excess of the nil rate amount is taxed at the following rates for 2021/2022:</w:t>
      </w:r>
    </w:p>
    <w:p>
      <w:pPr>
        <w:spacing w:after="0" w:line="122" w:lineRule="exact"/>
        <w:rPr>
          <w:sz w:val="20"/>
          <w:szCs w:val="20"/>
          <w:color w:val="auto"/>
        </w:rPr>
      </w:pPr>
    </w:p>
    <w:p>
      <w:pPr>
        <w:ind w:left="1980" w:hanging="360"/>
        <w:spacing w:after="0"/>
        <w:tabs>
          <w:tab w:leader="none" w:pos="1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7.5%, to the extent that the dividend income falls within the basic rate band of income tax;</w:t>
      </w:r>
    </w:p>
    <w:p>
      <w:pPr>
        <w:spacing w:after="0" w:line="171" w:lineRule="exact"/>
        <w:rPr>
          <w:rFonts w:ascii="Arial" w:cs="Arial" w:eastAsia="Arial" w:hAnsi="Arial"/>
          <w:sz w:val="18"/>
          <w:szCs w:val="18"/>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32.5%, to the extent that the dividend income falls within the higher rate band of income tax; and</w:t>
      </w:r>
    </w:p>
    <w:p>
      <w:pPr>
        <w:spacing w:after="0" w:line="169" w:lineRule="exact"/>
        <w:rPr>
          <w:rFonts w:ascii="Arial" w:cs="Arial" w:eastAsia="Arial" w:hAnsi="Arial"/>
          <w:sz w:val="17"/>
          <w:szCs w:val="17"/>
          <w:color w:val="auto"/>
        </w:rPr>
      </w:pPr>
    </w:p>
    <w:p>
      <w:pPr>
        <w:ind w:left="1980" w:hanging="360"/>
        <w:spacing w:after="0"/>
        <w:tabs>
          <w:tab w:leader="none" w:pos="1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38.1%, to the extent that the dividend income falls within the additional rate band of income tax.</w:t>
      </w:r>
    </w:p>
    <w:p>
      <w:pPr>
        <w:spacing w:after="0" w:line="169"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For the purposes of determining which of the taxable bands dividend income falls into, dividend income is treated as the highest part of a shareholder’s income. In addition, dividend income which is within the nil rate amount counts towards an individual’s basic or higher rate limits, and so will be taken into account in determining whether the threshold for higher rate or additional rate income tax is exceeded.</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individual holders</w:t>
      </w:r>
    </w:p>
    <w:p>
      <w:pPr>
        <w:spacing w:after="0" w:line="158" w:lineRule="exact"/>
        <w:rPr>
          <w:sz w:val="20"/>
          <w:szCs w:val="20"/>
          <w:color w:val="auto"/>
        </w:rPr>
      </w:pPr>
    </w:p>
    <w:p>
      <w:pPr>
        <w:jc w:val="both"/>
        <w:ind w:left="1260" w:right="459" w:firstLine="360"/>
        <w:spacing w:after="0" w:line="286" w:lineRule="auto"/>
        <w:rPr>
          <w:sz w:val="20"/>
          <w:szCs w:val="20"/>
          <w:color w:val="auto"/>
        </w:rPr>
      </w:pPr>
      <w:r>
        <w:rPr>
          <w:rFonts w:ascii="Arial" w:cs="Arial" w:eastAsia="Arial" w:hAnsi="Arial"/>
          <w:sz w:val="17"/>
          <w:szCs w:val="17"/>
          <w:color w:val="auto"/>
        </w:rPr>
        <w:t>Individual holders who are not resident (for tax purposes) or domiciled in the U.K. and who hold their ordinary shares as an investment and not in connection with any trade carried on by them (whether solely or in partnership) would not generally be subject to U.K. tax on dividends received from LivaNova PLC.</w:t>
      </w:r>
    </w:p>
    <w:p>
      <w:pPr>
        <w:spacing w:after="0" w:line="16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Corporation tax.</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Corporate holders within the charge to U.K. corporation tax</w:t>
      </w:r>
    </w:p>
    <w:p>
      <w:pPr>
        <w:spacing w:after="0" w:line="144"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Holders of ordinary shares within the charge to corporation tax that are “small companies” (for the purposes of U.K. taxation of dividends) are not generally expected to be subject to tax on dividends from LivaNova PLC provided certain conditions are met (including an anti-avoidance condition). Other corporate holders within the charge to U.K. corporation tax (which are not a “small company” for the purposes of U.K. taxation of dividends) should not be subject to tax on dividends from LivaNova PLC so long as the dividends fall within an exempt class and certain conditions are met. In general, (i) dividends paid on non-redeemable “ordinary shares” (that is, non-redeemable shares that do not carry any present or future preferential rights to dividends or to assets of LivaNova PLC on its winding up); and (ii) dividends paid to a U.K. resident corporate shareholder holding less than 10% of the issued share capital of the class in respect of which the dividend is paid, should fall within an exempt class and so accordingly we would generally expect dividends LivaNova PLC pays not to be subject to U.K. corporation tax. However, it should be noted that the exemptions are not comprehensive and are subject to anti-avoidance rules. Corporate holders will need to ensure that they satisfy the requirements of any exempt class and that no anti-avoidance rules apply before treating any dividend as exempt, and seek appropriate professional advice where necessary.</w:t>
      </w:r>
    </w:p>
    <w:p>
      <w:pPr>
        <w:spacing w:after="0" w:line="117"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If the conditions for exemption are not satisfied, or such holder elects, within two years of the end of the accounting period in which the dividend is received, for an otherwise exempt dividend to be taxable, U.K. corporation tax (at a rate of 19% for the 2021/2022 tax year, and to be increased for certain companies for the 2023/2024 tax year up to a maximum rate of 25%) will be chargeable on the amount of any dividends received from LivaNova PLC.</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corporate holders</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Corporate holders of ordinary shares which are not resident in and have no permanent establishment in the U.K. for tax purposes and which hold their ordinary shares as an investment and not in connection with any trade carried on by them would not generally be subject to U.K. tax on dividends received from LivaNova PLC.</w:t>
      </w: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Taxation of disposals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Individual holders resident in the U.K.</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 disposal (or deemed disposal) of ordinary shares by an individual holder who is (at any time in the</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relevant U.K. tax year) resident in the U.K. for tax purposes, may give rise to a chargeable gain (or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allowable loss) for the purposes of U.K. capital gains tax, depending on his or her individual circumstances.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Subject to any available exemption, allowance or relief, gains arising on a disposal or deemed disposal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ordinary shares by an individual resident in the U.K. for tax purposes will be taxed at a rate of 10%, except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extent that the gain, when it is added to such individual’s other taxable income and gains in the</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relevant year, exceeds the upper limit of the income tax basic rate band (£37,700 for the 2021/2022 tax</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year), in which case it will be taxed at the rate of 20%. The capital gains tax annual exempt amount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(£12,300 for individuals in the 2021/2022 tax year) may be available to individual holders resident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U.K. for tax purposes to offset against chargeable gains realised on the disposal of their ordinary shares,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extent that the exemption has not already been utilised. No indexation allowance will be available to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individual holder resident in the U.K. in respect of a disposal or deemed disposal of ordinary shares.</w:t>
      </w:r>
    </w:p>
    <w:p>
      <w:pPr>
        <w:spacing w:after="0" w:line="143"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An individual holder of ordinary shares who ceases to be resident in the U.K. for a period of less than five years and who disposes of his or her ordinary shares during that period of temporary non-residence may be liable for U.K. capital gains tax on a chargeable gain accruing on such disposal on his or her return to the U.K. (subject to any available exemption, allowance or relief). Special rules apply to individual holders who are subject to tax on a “split year” basis, who should seek specific professional advice if they are in any doubt about their position.</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individual holders</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An individual holder who is not resident or domiciled in the U.K. for tax purposes should not be liable to U.K. capital gains tax on capital gains realized on the disposal of his or her ordinary shares unless such holder carries on (whether solely or in partnership) a trade, profession or vocation in the U.K. through a branch or agency in the U.K. to which the ordinary shares are attributable. In these circumstances, such holder may, depending on his or her individual circumstances, be chargeable to U.K. capital gains tax on chargeable gains arising from a disposal of his or her ordinary shares.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Corporate holders resident in the U.K.</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 disposal (or deemed disposal) of ordinary shares by a corporate holder resident in the U.K. for tax purposes may give rise to a chargeable gain (or allowable loss) for the purposes of U.K. corporation tax, depending on the circumstances and subject to any available exemption, allowance or relief. The main rate of U.K. corporation tax for the 2021/2022 tax year is 19% (to be increased for certain companies for the 2023/2024 tax year up to a maximum rate of 25%). No indexation allowance will be available to reduce any chargeable gain arising on such disposal of ordinary shares.</w:t>
      </w:r>
    </w:p>
    <w:p>
      <w:pPr>
        <w:spacing w:after="0" w:line="192"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Other corporate holders</w:t>
      </w:r>
    </w:p>
    <w:p>
      <w:pPr>
        <w:spacing w:after="0" w:line="15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A corporate holder of ordinary shares that is not resident in the United Kingdom will not be liable for U.K. corporation tax on chargeable gains realized on the disposal of its ordinary shares unless it carries on a trade in the United Kingdom through a permanent establishment to which the ordinary shares are attributable. In these circumstances, a disposal of ordinary shares by such holder may give rise to a chargeable gain (or allowable loss) for the purposes of U.K. corporation tax.</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Stamp duty and SDRT</w:t>
      </w:r>
    </w:p>
    <w:p>
      <w:pPr>
        <w:spacing w:after="0" w:line="15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i w:val="1"/>
          <w:iCs w:val="1"/>
          <w:color w:val="auto"/>
        </w:rPr>
        <w:t>The following statements are intended as a general guide to the current U.K. stamp duty and SDRT position, and apply regardless of whether or not a holder of ordinary shares is resident or domiciled in the U.K. It should be noted that certain categories of persons, including market makers, brokers, dealers, and other specified market intermediaries, are entitled to exemption from stamp duty and SDRT in respect of purchases of securities in specified circumstances.</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General rules</w:t>
      </w:r>
    </w:p>
    <w:p>
      <w:pPr>
        <w:spacing w:after="0" w:line="14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As a general rule, no stamp duty or SDRT is payable on an issuance of shares in a U.K. company, but transfers of shares in a U.K. company will attract a stamp duty or SDRT charge equal to 0.5% of the consideration for the shares, rounded up to the nearest £5 in the case of stamp duty. However, generally, and subject in particular to the discussion below, neither stamp duty nor SDRT should be payable in respect of the transfer of book-entry interests in LivaNova PLC ordinary shares within the DTC clearance system.</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Depositary arrangements and clearance services</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We expect that LivaNova PLC ordinary shares will be eligible for deposit and clearing within the DTC clearance system. Special rules apply where ordinary shares are issued or transferred to, or to a nominee or agent for, either a person whose business is or includes issuing depositary receipts or a person providing a clearance service, pursuant to which stamp duty or SDRT may be charged at a higher rate of 1.5%. However, where a clearance service has made and maintained an election under section 97A Finance Act 1986, the 1.5% charge will not apply and transfers of ordinary shares into that clearance service would then be subject to stamp duty or SDRT at the normal rate of 0.5% of the amount of value of any consideration. We understand that HMRC regards DTC as a clearance service for these purposes and that no election under section 97A Finance Act 1986 has been made by DTC.</w:t>
      </w:r>
    </w:p>
    <w:p>
      <w:pPr>
        <w:spacing w:after="0" w:line="124" w:lineRule="exact"/>
        <w:rPr>
          <w:sz w:val="20"/>
          <w:szCs w:val="20"/>
          <w:color w:val="auto"/>
        </w:rPr>
      </w:pPr>
    </w:p>
    <w:p>
      <w:pPr>
        <w:ind w:left="1260" w:right="639" w:firstLine="360"/>
        <w:spacing w:after="0" w:line="270" w:lineRule="auto"/>
        <w:rPr>
          <w:sz w:val="20"/>
          <w:szCs w:val="20"/>
          <w:color w:val="auto"/>
        </w:rPr>
      </w:pPr>
      <w:r>
        <w:rPr>
          <w:rFonts w:ascii="Arial" w:cs="Arial" w:eastAsia="Arial" w:hAnsi="Arial"/>
          <w:sz w:val="17"/>
          <w:szCs w:val="17"/>
          <w:color w:val="auto"/>
        </w:rPr>
        <w:t>Following litigation, HMRC has confirmed in its published guidance that it will no longer seek to impose stamp duty or SDRT at a rate of 1.5%. on issuances of U.K. shares to depositary receipt issuers or clearance services anywhere in the world, on the basis that the charge is not compatible with EU law.</w:t>
      </w:r>
    </w:p>
    <w:p>
      <w:pPr>
        <w:spacing w:after="0" w:line="83" w:lineRule="exact"/>
        <w:rPr>
          <w:sz w:val="20"/>
          <w:szCs w:val="20"/>
          <w:color w:val="auto"/>
        </w:rPr>
      </w:pPr>
    </w:p>
    <w:p>
      <w:pPr>
        <w:ind w:left="1260" w:right="439" w:firstLine="360"/>
        <w:spacing w:after="0"/>
        <w:rPr>
          <w:sz w:val="20"/>
          <w:szCs w:val="20"/>
          <w:color w:val="auto"/>
        </w:rPr>
      </w:pPr>
      <w:r>
        <w:rPr>
          <w:rFonts w:ascii="Arial" w:cs="Arial" w:eastAsia="Arial" w:hAnsi="Arial"/>
          <w:sz w:val="18"/>
          <w:szCs w:val="18"/>
          <w:color w:val="auto"/>
        </w:rPr>
        <w:t>However, HMRC’s view is that the relevant case law does not have any impact upon the transfer (on sale or otherwise than on sale) of shares or securities to depositary receipt systems or clearance services that are not an integral part of an issue of share capital, such that the 1.5% SDRT or stamp duty charge will continue to apply to such transfers. If ordinary shares are withdrawn from the facilities of DTC, a charge to stamp duty or SDRT at 1.5% may therefore arise on a subsequent redeposit of ordinary shares into the facilities of DTC.</w:t>
      </w:r>
    </w:p>
    <w:p>
      <w:pPr>
        <w:spacing w:after="0" w:line="122" w:lineRule="exact"/>
        <w:rPr>
          <w:sz w:val="20"/>
          <w:szCs w:val="20"/>
          <w:color w:val="auto"/>
        </w:rPr>
      </w:pPr>
    </w:p>
    <w:p>
      <w:pPr>
        <w:ind w:left="1260" w:right="519" w:firstLine="360"/>
        <w:spacing w:after="0" w:line="287" w:lineRule="auto"/>
        <w:rPr>
          <w:sz w:val="20"/>
          <w:szCs w:val="20"/>
          <w:color w:val="auto"/>
        </w:rPr>
      </w:pPr>
      <w:r>
        <w:rPr>
          <w:rFonts w:ascii="Arial" w:cs="Arial" w:eastAsia="Arial" w:hAnsi="Arial"/>
          <w:sz w:val="16"/>
          <w:szCs w:val="16"/>
          <w:color w:val="auto"/>
        </w:rPr>
        <w:t>It should also be noted that the 1.5% charge for all issues of shares into depositary receipt systems and clearance services remains as a provision of U.K. statute and that the removal of the 1.5% charge is based upon the provisions of EU law. HMRC’s recently published practice states that the disapplication of the</w:t>
      </w:r>
    </w:p>
    <w:p>
      <w:pPr>
        <w:spacing w:after="0" w:line="2" w:lineRule="exact"/>
        <w:rPr>
          <w:sz w:val="20"/>
          <w:szCs w:val="20"/>
          <w:color w:val="auto"/>
        </w:rPr>
      </w:pPr>
    </w:p>
    <w:p>
      <w:pPr>
        <w:ind w:left="1260" w:right="459"/>
        <w:spacing w:after="0" w:line="268" w:lineRule="auto"/>
        <w:rPr>
          <w:sz w:val="20"/>
          <w:szCs w:val="20"/>
          <w:color w:val="auto"/>
        </w:rPr>
      </w:pPr>
      <w:r>
        <w:rPr>
          <w:rFonts w:ascii="Arial" w:cs="Arial" w:eastAsia="Arial" w:hAnsi="Arial"/>
          <w:sz w:val="17"/>
          <w:szCs w:val="17"/>
          <w:color w:val="auto"/>
        </w:rPr>
        <w:t>1.5% charge in accordance with those provisions of EU law will remain the position following the U.K.’s exit from the EU unless the relevant U.K. statutory provisions are amended. Specific professional advice should be sought before incurring a 1.5% stamp duty or SDRT charge in any circumstances. Transfers of interests in ordinary shares within a depositary receipt system and transfers of book-entry interests in ordinary shares within a clearance system should not attract a charge to stamp duty or SDRT in the U.K., provided that (in the case of stamp duty) there is no written instrument of transfer and, in the case of a transfer within a clearance system, no election is, or has been, made by the clearance system under section 97A Finance Act 1986. Transfers of book-entry interests in ordinary shares within a clearance system where an election has been made by the clearance system under section 97A Finance Act 1986 will generally be subject to SDRT (rather than stamp duty) at a rate of 0.5% of the amount or value of the consideration.</w:t>
      </w:r>
    </w:p>
    <w:p>
      <w:pPr>
        <w:spacing w:after="0" w:line="11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The transfer on sale of ordinary shares (outside the facilities of a clearance service such as DTC or from within the clearance service to a purchaser outside of the clearance service) by a written instrument of transfer will generally be liable to U.K. stamp duty at the rate of 0.5% of the amount or value of the consideration for the transfer (rounded up to the nearest £5). The purchaser normally pays the stamp duty. An agreement to transfer ordinary shares (outside the facilities of a clearance service such as DTC or from within the clearance service to a purchaser outside of the clearance service) will generally give rise to a liability on the purchaser to SDRT at the rate of 0.5% of the amount or value of the consideration, but where an instrument of transfer is executed and duly stamped before the expiry of a period of six years beginning with the date of that agreement, (i) any SDRT that has not been paid ceases to be payable, and (ii) any SDRT that has been paid may be recovered from HMRC, generally with interest.</w:t>
      </w:r>
    </w:p>
    <w:p>
      <w:pPr>
        <w:spacing w:after="0" w:line="104"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A share buy-back by LivaNova PLC of ordinary shares will also give rise to stamp duty at the rate of 0.5% of the consideration payable, and such stamp duty will be paid by LivaNova PLC.</w:t>
      </w:r>
    </w:p>
    <w:p>
      <w:pPr>
        <w:spacing w:after="0" w:line="35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The Proposed Financial Transaction Tax</w:t>
      </w:r>
    </w:p>
    <w:p>
      <w:pPr>
        <w:spacing w:after="0" w:line="144"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European Commission has published a proposal (the “Commission’s Proposal”) for a Directive for a common financial transaction tax (“FTT”) in Austria, Belgium, Estonia, France, Germany, Greece, Italy, Portugal, Slovakia, Slovenia and Spain (the “participating Member States”). However, Estonia has since stated that it will not participate.</w:t>
      </w:r>
    </w:p>
    <w:p>
      <w:pPr>
        <w:spacing w:after="0" w:line="119"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The Commission’s Proposal has a very broad scope and could, if introduced in its current form, apply to certain dealings in the ordinary shares in certain circumstances.</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Under the Commission’s Proposal, the FTT could apply in certain circumstances to persons both within and outside of the participating Member States. Generally, it would apply to certain dealings in the ordinary shares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w:t>
      </w:r>
    </w:p>
    <w:p>
      <w:pPr>
        <w:spacing w:after="0" w:line="114"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8"/>
          <w:szCs w:val="18"/>
          <w:color w:val="auto"/>
        </w:rPr>
        <w:t>The FTT proposal remains subject to negotiation between the participating Member States and the legality of the proposal is uncertain. It may therefore be altered prior to any implementation, the timing of which remains unclear. Additional EU Member States may decide to participate and/or certain of the participating Member States may decide to withdraw.</w:t>
      </w:r>
    </w:p>
    <w:p>
      <w:pPr>
        <w:spacing w:after="0" w:line="11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Prospective holders of ordinary shares are advised to seek their own professional advice in relation to the FTT.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UNDERWRITING</w:t>
      </w:r>
    </w:p>
    <w:p>
      <w:pPr>
        <w:spacing w:after="0" w:line="148" w:lineRule="exact"/>
        <w:rPr>
          <w:sz w:val="20"/>
          <w:szCs w:val="20"/>
          <w:color w:val="auto"/>
        </w:rPr>
      </w:pPr>
    </w:p>
    <w:p>
      <w:pPr>
        <w:jc w:val="both"/>
        <w:ind w:left="1260" w:right="699" w:firstLine="360"/>
        <w:spacing w:after="0" w:line="262" w:lineRule="auto"/>
        <w:rPr>
          <w:sz w:val="20"/>
          <w:szCs w:val="20"/>
          <w:color w:val="auto"/>
        </w:rPr>
      </w:pPr>
      <w:r>
        <w:rPr>
          <w:rFonts w:ascii="Arial" w:cs="Arial" w:eastAsia="Arial" w:hAnsi="Arial"/>
          <w:sz w:val="17"/>
          <w:szCs w:val="17"/>
          <w:color w:val="auto"/>
        </w:rPr>
        <w:t>The Company and the underwriters named below have entered into an underwriting agreement with respect to the ordinary shares being offered. Subject to certain conditions, each underwriter has severally agreed to acquire the number of ordinary shares indicated in the following table. Goldman Sachs &amp; Co. LLC, Barclays Capital Inc. and UBS Securities LLC are the representatives of the underwriters.</w:t>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6160" w:type="dxa"/>
            <w:vAlign w:val="bottom"/>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Number of Shares</w:t>
            </w:r>
          </w:p>
        </w:tc>
      </w:tr>
      <w:tr>
        <w:trPr>
          <w:trHeight w:val="26"/>
        </w:trPr>
        <w:tc>
          <w:tcPr>
            <w:tcW w:w="6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1,623,637</w:t>
            </w:r>
          </w:p>
        </w:tc>
        <w:tc>
          <w:tcPr>
            <w:tcW w:w="180" w:type="dxa"/>
            <w:vAlign w:val="bottom"/>
            <w:shd w:val="clear" w:color="auto" w:fill="CCEEFF"/>
          </w:tcPr>
          <w:p>
            <w:pPr>
              <w:spacing w:after="0"/>
              <w:rPr>
                <w:sz w:val="21"/>
                <w:szCs w:val="21"/>
                <w:color w:val="auto"/>
              </w:rPr>
            </w:pPr>
          </w:p>
        </w:tc>
      </w:tr>
      <w:tr>
        <w:trPr>
          <w:trHeight w:val="257"/>
        </w:trPr>
        <w:tc>
          <w:tcPr>
            <w:tcW w:w="6160" w:type="dxa"/>
            <w:vAlign w:val="bottom"/>
          </w:tcPr>
          <w:p>
            <w:pPr>
              <w:spacing w:after="0"/>
              <w:rPr>
                <w:sz w:val="20"/>
                <w:szCs w:val="20"/>
                <w:color w:val="auto"/>
              </w:rPr>
            </w:pPr>
            <w:r>
              <w:rPr>
                <w:rFonts w:ascii="Arial" w:cs="Arial" w:eastAsia="Arial" w:hAnsi="Arial"/>
                <w:sz w:val="18"/>
                <w:szCs w:val="18"/>
                <w:color w:val="auto"/>
              </w:rPr>
              <w:t>Barclays Capital Inc.</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1,196,364</w:t>
            </w:r>
          </w:p>
        </w:tc>
        <w:tc>
          <w:tcPr>
            <w:tcW w:w="180" w:type="dxa"/>
            <w:vAlign w:val="bottom"/>
          </w:tcPr>
          <w:p>
            <w:pPr>
              <w:spacing w:after="0"/>
              <w:rPr>
                <w:sz w:val="22"/>
                <w:szCs w:val="22"/>
                <w:color w:val="auto"/>
              </w:rPr>
            </w:pP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598,181</w:t>
            </w:r>
          </w:p>
        </w:tc>
        <w:tc>
          <w:tcPr>
            <w:tcW w:w="180" w:type="dxa"/>
            <w:vAlign w:val="bottom"/>
            <w:shd w:val="clear" w:color="auto" w:fill="CCEEFF"/>
          </w:tcPr>
          <w:p>
            <w:pPr>
              <w:spacing w:after="0"/>
              <w:rPr>
                <w:sz w:val="22"/>
                <w:szCs w:val="22"/>
                <w:color w:val="auto"/>
              </w:rPr>
            </w:pPr>
          </w:p>
        </w:tc>
      </w:tr>
      <w:tr>
        <w:trPr>
          <w:trHeight w:val="256"/>
        </w:trPr>
        <w:tc>
          <w:tcPr>
            <w:tcW w:w="6160" w:type="dxa"/>
            <w:vAlign w:val="bottom"/>
          </w:tcPr>
          <w:p>
            <w:pPr>
              <w:spacing w:after="0"/>
              <w:rPr>
                <w:sz w:val="20"/>
                <w:szCs w:val="20"/>
                <w:color w:val="auto"/>
              </w:rPr>
            </w:pPr>
            <w:r>
              <w:rPr>
                <w:rFonts w:ascii="Arial" w:cs="Arial" w:eastAsia="Arial" w:hAnsi="Arial"/>
                <w:sz w:val="18"/>
                <w:szCs w:val="18"/>
                <w:color w:val="auto"/>
              </w:rPr>
              <w:t>Robert W. Baird &amp; Co. Incorporated</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109,091</w:t>
            </w:r>
          </w:p>
        </w:tc>
        <w:tc>
          <w:tcPr>
            <w:tcW w:w="180" w:type="dxa"/>
            <w:vAlign w:val="bottom"/>
          </w:tcPr>
          <w:p>
            <w:pPr>
              <w:spacing w:after="0"/>
              <w:rPr>
                <w:sz w:val="22"/>
                <w:szCs w:val="22"/>
                <w:color w:val="auto"/>
              </w:rPr>
            </w:pPr>
          </w:p>
        </w:tc>
      </w:tr>
      <w:tr>
        <w:trPr>
          <w:trHeight w:val="264"/>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400" w:type="dxa"/>
            <w:vAlign w:val="bottom"/>
            <w:tcBorders>
              <w:bottom w:val="single" w:sz="8" w:color="CCEEFF"/>
            </w:tcBorders>
            <w:gridSpan w:val="2"/>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109,091</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70"/>
        </w:trPr>
        <w:tc>
          <w:tcPr>
            <w:tcW w:w="6160" w:type="dxa"/>
            <w:vAlign w:val="bottom"/>
          </w:tcPr>
          <w:p>
            <w:pPr>
              <w:ind w:left="180"/>
              <w:spacing w:after="0"/>
              <w:rPr>
                <w:sz w:val="20"/>
                <w:szCs w:val="20"/>
                <w:color w:val="auto"/>
              </w:rPr>
            </w:pPr>
            <w:r>
              <w:rPr>
                <w:rFonts w:ascii="Arial" w:cs="Arial" w:eastAsia="Arial" w:hAnsi="Arial"/>
                <w:sz w:val="18"/>
                <w:szCs w:val="18"/>
                <w:color w:val="auto"/>
              </w:rPr>
              <w:t>Total</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3,636,364</w:t>
            </w:r>
          </w:p>
        </w:tc>
        <w:tc>
          <w:tcPr>
            <w:tcW w:w="180" w:type="dxa"/>
            <w:vAlign w:val="bottom"/>
          </w:tcPr>
          <w:p>
            <w:pPr>
              <w:spacing w:after="0"/>
              <w:rPr>
                <w:sz w:val="23"/>
                <w:szCs w:val="23"/>
                <w:color w:val="auto"/>
              </w:rPr>
            </w:pPr>
          </w:p>
        </w:tc>
      </w:tr>
      <w:tr>
        <w:trPr>
          <w:trHeight w:val="21"/>
        </w:trPr>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4940300</wp:posOffset>
            </wp:positionH>
            <wp:positionV relativeFrom="paragraph">
              <wp:posOffset>-1045210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5" w:lineRule="exact"/>
        <w:rPr>
          <w:sz w:val="20"/>
          <w:szCs w:val="20"/>
          <w:color w:val="auto"/>
        </w:rPr>
      </w:pPr>
    </w:p>
    <w:p>
      <w:pPr>
        <w:jc w:val="both"/>
        <w:ind w:left="1260" w:right="759" w:firstLine="360"/>
        <w:spacing w:after="0" w:line="291"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66" w:lineRule="exact"/>
        <w:rPr>
          <w:sz w:val="20"/>
          <w:szCs w:val="20"/>
          <w:color w:val="auto"/>
        </w:rPr>
      </w:pPr>
    </w:p>
    <w:p>
      <w:pPr>
        <w:ind w:left="1260" w:right="519" w:firstLine="360"/>
        <w:spacing w:after="0" w:line="241" w:lineRule="auto"/>
        <w:rPr>
          <w:sz w:val="20"/>
          <w:szCs w:val="20"/>
          <w:color w:val="auto"/>
        </w:rPr>
      </w:pPr>
      <w:r>
        <w:rPr>
          <w:rFonts w:ascii="Arial" w:cs="Arial" w:eastAsia="Arial" w:hAnsi="Arial"/>
          <w:sz w:val="18"/>
          <w:szCs w:val="18"/>
          <w:color w:val="auto"/>
        </w:rPr>
        <w:t>The underwriters have an option to acquire up to an additional 545,454 ordinary shares from the Company to cover sales by the underwriters of a greater number of shares than the total number set forth in the table above. They may exercise that option for 30 days. If any ordinary shares are acquired pursuant to this option, the underwriters will severally acquire shares in approximately the same proportion as set forth in the table above.</w:t>
      </w:r>
    </w:p>
    <w:p>
      <w:pPr>
        <w:spacing w:after="0" w:line="122"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 Company. Such amounts are shown assuming both no exercise and full exercise of the underwriters’ option to acquire 545,454 additional ordinary shares.</w:t>
      </w:r>
    </w:p>
    <w:p>
      <w:pPr>
        <w:spacing w:after="0" w:line="119"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Paid by the Company</w:t>
            </w:r>
          </w:p>
        </w:tc>
        <w:tc>
          <w:tcPr>
            <w:tcW w:w="1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Full Exercise</w:t>
            </w:r>
          </w:p>
        </w:tc>
      </w:tr>
      <w:tr>
        <w:trPr>
          <w:trHeight w:val="25"/>
        </w:trPr>
        <w:tc>
          <w:tcPr>
            <w:tcW w:w="5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Ordinary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57"/>
        </w:trPr>
        <w:tc>
          <w:tcPr>
            <w:tcW w:w="5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18,000,002</w:t>
            </w:r>
          </w:p>
        </w:tc>
        <w:tc>
          <w:tcPr>
            <w:tcW w:w="2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20,699,999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-334010</wp:posOffset>
            </wp:positionV>
            <wp:extent cx="137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-334010</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We estimate that the total expenses of this offering, which are payable by us, including filing and listing fees, printing fees and legal and accounting expenses, but excluding the underwriting discounts and commissions, will be approximately $1.9 million.</w:t>
      </w:r>
    </w:p>
    <w:p>
      <w:pPr>
        <w:spacing w:after="0" w:line="101" w:lineRule="exact"/>
        <w:rPr>
          <w:sz w:val="20"/>
          <w:szCs w:val="20"/>
          <w:color w:val="auto"/>
        </w:rPr>
      </w:pPr>
    </w:p>
    <w:p>
      <w:pPr>
        <w:ind w:left="1260" w:right="679" w:firstLine="360"/>
        <w:spacing w:after="0" w:line="257" w:lineRule="auto"/>
        <w:rPr>
          <w:sz w:val="20"/>
          <w:szCs w:val="20"/>
          <w:color w:val="auto"/>
        </w:rPr>
      </w:pPr>
      <w:r>
        <w:rPr>
          <w:rFonts w:ascii="Arial" w:cs="Arial" w:eastAsia="Arial" w:hAnsi="Arial"/>
          <w:sz w:val="17"/>
          <w:szCs w:val="17"/>
          <w:color w:val="auto"/>
        </w:rPr>
        <w:t>Ordinary shares sold by the underwriters to the public will initially be offered at the initial public offering price set forth on the cover of this prospectus. Any ordinary shares sold by the underwriters to securities dealers may be sold at a discount of up to $2.97 per share from the initial public offering price. After the initial offering of the ordinary shares, the representatives may change the offering price and the other selling terms. The offering of the ordinary shares by the underwriters is subject to receipt and acceptance and subject to the underwriters’ right to reject any order in whole or in part.</w:t>
      </w:r>
    </w:p>
    <w:p>
      <w:pPr>
        <w:spacing w:after="0" w:line="108"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w:t>
      </w:r>
    </w:p>
    <w:p>
      <w:pPr>
        <w:spacing w:after="0" w:line="103"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In connection with this offering, we have entered into agreements with Goldman Sachs &amp; Co. LLC, acting on behalf of the underwriters, in respect of the subscription and transfer of certain ordinary shares and preference shares in Project Tau Funding Limited, a company registered in Jersey. Under the terms of these agreements, Goldman Sachs &amp; Co. LLC, acting on behalf of the underwriters, has agreed to subscribe for shares in JerseyCo for an aggregate value equal to the proceeds the underwriters expect to receive from the sale of ordinary shares offered hereby, minus the underwriting discount. At the closing of this offering, we will allot and issue the ordinary shares offered hereby to Goldman Sachs &amp; Co. LLC, acting on behalf of the underwriters, in exchange for the transfer of the shares in JerseyCo held by Goldman Sachs &amp; Co. LLC, on behalf of the underwriters, to us. As a result, the issuance of the ordinary shares pursuant to this offering for such non-cash consideration will not be subject to preemption rights under English law or our articles of association.</w:t>
      </w:r>
    </w:p>
    <w:p>
      <w:pPr>
        <w:spacing w:after="0" w:line="3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Arrangements</w:t>
      </w:r>
    </w:p>
    <w:p>
      <w:pPr>
        <w:spacing w:after="0" w:line="148" w:lineRule="exact"/>
        <w:rPr>
          <w:sz w:val="20"/>
          <w:szCs w:val="20"/>
          <w:color w:val="auto"/>
        </w:rPr>
      </w:pPr>
    </w:p>
    <w:p>
      <w:pPr>
        <w:ind w:left="1260" w:right="459" w:firstLine="360"/>
        <w:spacing w:after="0" w:line="236" w:lineRule="auto"/>
        <w:rPr>
          <w:sz w:val="20"/>
          <w:szCs w:val="20"/>
          <w:color w:val="auto"/>
        </w:rPr>
      </w:pPr>
      <w:r>
        <w:rPr>
          <w:rFonts w:ascii="Arial" w:cs="Arial" w:eastAsia="Arial" w:hAnsi="Arial"/>
          <w:sz w:val="18"/>
          <w:szCs w:val="18"/>
          <w:color w:val="auto"/>
        </w:rPr>
        <w:t>The Company has agreed with the underwriters that, for a period of 90 days after the date of this prospectus supplement, and subject to certain exceptions, it will not (i) offer, sell, contract to sell, pledge, grant any option to purchase, make any short sale or otherwise transfer or dispose of (or enter into any transaction or device that is designed to, or would be expected to, result in the disposition by any person at any time in the future of), directly or indirectly, or file or cause to be filed with the SEC a registration statement, including any amendments, under the Securities Act relating to, any of its securities that are substantially similar to the ordinary shares, including but not limited to any options or warrants to purchase ordinary shares or any securities that are convertible into or exchangeable for, or that represent the right to receive, ordinary shares or any such substantially similar securities, or publicly disclose the intention to make any offer, sale, pledge, disposition or filing or (ii) enter into any swap or other agreement that transfers, in whole or in part, any of the economic consequences of ownership of the ordinary shares or any such other securities, whether any such transaction described in clause (i) or (ii) above is to be settled by delivery of ordinary shares or such other securities, in cash or otherwise (other than the Securities to be sold hereunder or pursuant to employee benefit plans, qualified employee stock option plans, other employee compensation plans or non-employee director compensation programs (collectively, “Compensation Plans”) existing on, or upon the conversion or exchange of convertible or exchangeable securities outstanding as of, the date of this prospectus supplement and described in this prospectus supplement, without the prior written consent of Goldman Sachs &amp; Co. LLC and Barclays Capital Inc. The foregoing restrictions will not apply to:</w:t>
      </w:r>
    </w:p>
    <w:p>
      <w:pPr>
        <w:spacing w:after="0" w:line="129" w:lineRule="exact"/>
        <w:rPr>
          <w:sz w:val="20"/>
          <w:szCs w:val="20"/>
          <w:color w:val="auto"/>
        </w:rPr>
      </w:pPr>
    </w:p>
    <w:p>
      <w:pPr>
        <w:ind w:left="1980" w:right="659" w:hanging="360"/>
        <w:spacing w:after="0" w:line="279"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ordinary shares or other securities (including securities convertible into ordinary shares) in connection with the acquisition by the Company or any of its subsidiaries of the securities, businesses, properties or other assets of another person or entity or pursuant to any employee benefit plan assumed by the Company in connection with any such acquisition; or</w:t>
      </w:r>
    </w:p>
    <w:p>
      <w:pPr>
        <w:spacing w:after="0" w:line="90" w:lineRule="exact"/>
        <w:rPr>
          <w:rFonts w:ascii="Arial" w:cs="Arial" w:eastAsia="Arial" w:hAnsi="Arial"/>
          <w:sz w:val="17"/>
          <w:szCs w:val="17"/>
          <w:color w:val="auto"/>
        </w:rPr>
      </w:pPr>
    </w:p>
    <w:p>
      <w:pPr>
        <w:ind w:left="1980" w:right="499" w:hanging="360"/>
        <w:spacing w:after="0" w:line="308" w:lineRule="auto"/>
        <w:tabs>
          <w:tab w:leader="none" w:pos="1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issuance of ordinary shares or other securities (including securities convertible into ordinary shares) in connection with joint ventures, commercial relationships or other strategic transactions;</w:t>
      </w:r>
    </w:p>
    <w:p>
      <w:pPr>
        <w:spacing w:after="0" w:line="79" w:lineRule="exact"/>
        <w:rPr>
          <w:sz w:val="20"/>
          <w:szCs w:val="20"/>
          <w:color w:val="auto"/>
        </w:rPr>
      </w:pPr>
    </w:p>
    <w:p>
      <w:pPr>
        <w:ind w:left="1260" w:right="419"/>
        <w:spacing w:after="0" w:line="262" w:lineRule="auto"/>
        <w:rPr>
          <w:sz w:val="20"/>
          <w:szCs w:val="20"/>
          <w:color w:val="auto"/>
        </w:rPr>
      </w:pPr>
      <w:r>
        <w:rPr>
          <w:rFonts w:ascii="Arial" w:cs="Arial" w:eastAsia="Arial" w:hAnsi="Arial"/>
          <w:sz w:val="17"/>
          <w:szCs w:val="17"/>
          <w:color w:val="auto"/>
        </w:rPr>
        <w:t>provided that, in the case of these clauses (A) and (B), the aggregate number of ordinary shares issued in all such acquisitions and transactions does not exceed 5% of the issued and outstanding ordinary shares of the Company following the completion of this offering and any recipients of such securities shall deliver a lock-up agreement to the underwriters substantially in the form described below.</w:t>
      </w:r>
    </w:p>
    <w:p>
      <w:pPr>
        <w:spacing w:after="0" w:line="91"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In addition, our executive officers and directors have agreed with the underwriters that, for a period of 90 days after the date of this prospectus supplement (the “lock-up period”), they will not (i) offer, sell, contract to sell, pledge, grant any option to purchase, lend or otherwise dispose of any of ordinary shares, or any options or warrants to purchase any ordinary shares, or any securities convertible into, exchangeable for or that represent the right to receive ordinary shares (such options, warrants or other securities, collectively, “Derivative Instruments”), including without limitation any such shares or Derivative Instruments now owned or hereafter acquired by them,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person or someone other than such person), or transfer of any of the economic consequences of ownership, in whole or in part, directly or indirectly, of any ordinary shares or Derivative Instruments, whether any such transaction or arrangement (or instrument provided for thereunder) would be settled by delivery of the ordinary shares or other securities, in cash or otherwise or</w:t>
      </w:r>
    </w:p>
    <w:p>
      <w:pPr>
        <w:ind w:left="1600" w:hanging="340"/>
        <w:spacing w:after="0" w:line="235" w:lineRule="auto"/>
        <w:tabs>
          <w:tab w:leader="none" w:pos="1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cause any action or activity described in</w:t>
      </w:r>
    </w:p>
    <w:p>
      <w:pPr>
        <w:ind w:left="1260" w:right="479"/>
        <w:spacing w:after="0" w:line="243" w:lineRule="auto"/>
        <w:rPr>
          <w:rFonts w:ascii="Arial" w:cs="Arial" w:eastAsia="Arial" w:hAnsi="Arial"/>
          <w:sz w:val="18"/>
          <w:szCs w:val="18"/>
          <w:color w:val="auto"/>
        </w:rPr>
      </w:pPr>
      <w:r>
        <w:rPr>
          <w:rFonts w:ascii="Arial" w:cs="Arial" w:eastAsia="Arial" w:hAnsi="Arial"/>
          <w:sz w:val="18"/>
          <w:szCs w:val="18"/>
          <w:color w:val="auto"/>
        </w:rPr>
        <w:t>clause (i) above or transaction or arrangement described in clause (ii) above. The foregoing restrictions will not apply to:</w:t>
      </w:r>
    </w:p>
    <w:p>
      <w:pPr>
        <w:spacing w:after="0" w:line="104" w:lineRule="exact"/>
        <w:rPr>
          <w:rFonts w:ascii="Arial" w:cs="Arial" w:eastAsia="Arial" w:hAnsi="Arial"/>
          <w:sz w:val="18"/>
          <w:szCs w:val="18"/>
          <w:color w:val="auto"/>
        </w:rPr>
      </w:pPr>
    </w:p>
    <w:p>
      <w:pPr>
        <w:ind w:left="1980" w:right="479" w:hanging="360"/>
        <w:spacing w:after="0" w:line="275" w:lineRule="auto"/>
        <w:tabs>
          <w:tab w:leader="none" w:pos="1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as a bona fide gift or gifts, provided that the donee or donees thereof agree to be bound in writing by the restrictions described in this paragraph, and provided that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108" w:lineRule="exact"/>
        <w:rPr>
          <w:rFonts w:ascii="Arial" w:cs="Arial" w:eastAsia="Arial" w:hAnsi="Arial"/>
          <w:sz w:val="17"/>
          <w:szCs w:val="17"/>
          <w:color w:val="auto"/>
        </w:rPr>
      </w:pPr>
    </w:p>
    <w:p>
      <w:pPr>
        <w:ind w:left="1980" w:hanging="360"/>
        <w:spacing w:after="0"/>
        <w:tabs>
          <w:tab w:leader="none" w:pos="1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their immediate family member, or any trust for the direct or indirect benefit of them, or any</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699"/>
        <w:spacing w:after="0" w:line="257" w:lineRule="auto"/>
        <w:rPr>
          <w:sz w:val="20"/>
          <w:szCs w:val="20"/>
          <w:color w:val="auto"/>
        </w:rPr>
      </w:pPr>
      <w:r>
        <w:rPr>
          <w:rFonts w:ascii="Arial" w:cs="Arial" w:eastAsia="Arial" w:hAnsi="Arial"/>
          <w:sz w:val="17"/>
          <w:szCs w:val="17"/>
          <w:color w:val="auto"/>
        </w:rPr>
        <w:t>successors upon death, provided that such immediate family member or the trustee of the trust agrees to be bound in writing by the restrictions described in this paragraph, any such transfer shall not involve a disposition for value, and no filing by any party under the Exchange Act, or other public announcement reporting a reduction in the beneficial ownership of ordinary shares shall be required or shall be made voluntarily in connection therewith (other than a filing on a Form 5 or Form 13F made after the expiration of the lock-up period);</w:t>
      </w:r>
    </w:p>
    <w:p>
      <w:pPr>
        <w:spacing w:after="0" w:line="94" w:lineRule="exact"/>
        <w:rPr>
          <w:sz w:val="20"/>
          <w:szCs w:val="20"/>
          <w:color w:val="auto"/>
        </w:rPr>
      </w:pPr>
    </w:p>
    <w:p>
      <w:pPr>
        <w:ind w:left="1980" w:right="479" w:hanging="360"/>
        <w:spacing w:after="0" w:line="257" w:lineRule="auto"/>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such Ordinary Shares were acquired in open market transactions after the completion of this offering, provided that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120" w:lineRule="exact"/>
        <w:rPr>
          <w:rFonts w:ascii="Arial" w:cs="Arial" w:eastAsia="Arial" w:hAnsi="Arial"/>
          <w:sz w:val="18"/>
          <w:szCs w:val="18"/>
          <w:color w:val="auto"/>
        </w:rPr>
      </w:pPr>
    </w:p>
    <w:p>
      <w:pPr>
        <w:jc w:val="both"/>
        <w:ind w:left="1980" w:right="499" w:hanging="360"/>
        <w:spacing w:after="0" w:line="275"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by operation of law, provided that such transferee agrees to be bound in writing by the restrictions described in this paragraph, provided that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95" w:lineRule="exact"/>
        <w:rPr>
          <w:rFonts w:ascii="Arial" w:cs="Arial" w:eastAsia="Arial" w:hAnsi="Arial"/>
          <w:sz w:val="17"/>
          <w:szCs w:val="17"/>
          <w:color w:val="auto"/>
        </w:rPr>
      </w:pPr>
    </w:p>
    <w:p>
      <w:pPr>
        <w:ind w:left="1980" w:right="419" w:hanging="360"/>
        <w:spacing w:after="0" w:line="272"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connection with the establishment of a trading plan pursuant to Rule 10b5-1 under the Exchange Act for the transfer of ordinary shares, provided that (A) such plan does not provide for the transfer of ordinary shares during the lock-up period, (B) if they are required to file a report under Section 16(a) of the Exchange Act reporting the establishment of such plan during the lock-up period, such filing shall include a statement to the effect that no transfer of ordinary shares may be made under such plan during the lock-up period and (C) no other public filing or announcement shall be required or shall be made voluntarily in connection with the establishment of such plan;</w:t>
      </w:r>
    </w:p>
    <w:p>
      <w:pPr>
        <w:spacing w:after="0" w:line="109" w:lineRule="exact"/>
        <w:rPr>
          <w:rFonts w:ascii="Arial" w:cs="Arial" w:eastAsia="Arial" w:hAnsi="Arial"/>
          <w:sz w:val="17"/>
          <w:szCs w:val="17"/>
          <w:color w:val="auto"/>
        </w:rPr>
      </w:pPr>
    </w:p>
    <w:p>
      <w:pPr>
        <w:ind w:left="1980" w:hanging="360"/>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a trading plan previously provided to the underwriters, which complies with</w:t>
      </w:r>
    </w:p>
    <w:p>
      <w:pPr>
        <w:spacing w:after="0" w:line="23" w:lineRule="exact"/>
        <w:rPr>
          <w:rFonts w:ascii="Arial" w:cs="Arial" w:eastAsia="Arial" w:hAnsi="Arial"/>
          <w:sz w:val="18"/>
          <w:szCs w:val="18"/>
          <w:color w:val="auto"/>
        </w:rPr>
      </w:pPr>
    </w:p>
    <w:p>
      <w:pPr>
        <w:ind w:left="1980" w:right="579"/>
        <w:spacing w:after="0" w:line="253" w:lineRule="auto"/>
        <w:rPr>
          <w:rFonts w:ascii="Arial" w:cs="Arial" w:eastAsia="Arial" w:hAnsi="Arial"/>
          <w:sz w:val="18"/>
          <w:szCs w:val="18"/>
          <w:color w:val="auto"/>
        </w:rPr>
      </w:pPr>
      <w:r>
        <w:rPr>
          <w:rFonts w:ascii="Arial" w:cs="Arial" w:eastAsia="Arial" w:hAnsi="Arial"/>
          <w:sz w:val="18"/>
          <w:szCs w:val="18"/>
          <w:color w:val="auto"/>
        </w:rPr>
        <w:t>Rule 10b5-l under the Exchange Act and has been entered into prior to the date of the lock-up agreement, provided that (x) any filing under Section 16 of the Exchange Act made during the Lock-Up Period shall clearly indicate in the footnotes thereto that the filing relates to the circumstances described above and (y) no public filing or report regarding such sales or transfers is otherwise voluntarily effected during the Lock-Up Period;</w:t>
      </w:r>
    </w:p>
    <w:p>
      <w:pPr>
        <w:spacing w:after="0" w:line="109" w:lineRule="exact"/>
        <w:rPr>
          <w:rFonts w:ascii="Arial" w:cs="Arial" w:eastAsia="Arial" w:hAnsi="Arial"/>
          <w:sz w:val="18"/>
          <w:szCs w:val="18"/>
          <w:color w:val="auto"/>
        </w:rPr>
      </w:pPr>
    </w:p>
    <w:p>
      <w:pPr>
        <w:ind w:left="1980" w:right="439" w:hanging="360"/>
        <w:spacing w:after="0" w:line="271" w:lineRule="auto"/>
        <w:tabs>
          <w:tab w:leader="none" w:pos="1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a corporation, partnership, or limited liability company or other entity that controls or is controlled by, or is under common control with, them and/or by members of their immediate family, or to any investment fund or other entity controlled or managed by the them, provided that the recipient agrees to be bound in writing by the restrictions described in this paragraph, any such transfer shall not involve a disposition for value, and no filing by any party under the Exchange Act, or other public announcement reporting a reduction in the beneficial ownership of ordinary shares shall be required or shall be made voluntarily made in connection therewith (other than a filing on a Form 5 or Form 13F made after the expiration of the lock-up period);</w:t>
      </w:r>
    </w:p>
    <w:p>
      <w:pPr>
        <w:spacing w:after="0" w:line="111" w:lineRule="exact"/>
        <w:rPr>
          <w:sz w:val="20"/>
          <w:szCs w:val="20"/>
          <w:color w:val="auto"/>
        </w:rPr>
      </w:pPr>
    </w:p>
    <w:p>
      <w:pPr>
        <w:ind w:left="1980" w:right="599" w:hanging="359"/>
        <w:spacing w:after="0" w:line="284" w:lineRule="auto"/>
        <w:rPr>
          <w:sz w:val="20"/>
          <w:szCs w:val="20"/>
          <w:color w:val="auto"/>
        </w:rPr>
      </w:pPr>
      <w:r>
        <w:rPr>
          <w:rFonts w:ascii="Arial" w:cs="Arial" w:eastAsia="Arial" w:hAnsi="Arial"/>
          <w:sz w:val="16"/>
          <w:szCs w:val="16"/>
          <w:color w:val="auto"/>
        </w:rPr>
        <w:t>(viii)to the Company in connection with the “net” or “cashless” exercise of any options to acquire ordinary shares pursuant to any employee benefit plans described in this prospectus supplement, provided that the Ordinary Shares received upon such exercise shall be subject to the restrictions described in this paragraph, and provided further that no filing by any party under the Exchange Act, or other public announcement reporting a reduction in the beneficial ownership of ordinary shares shall be required or shall be made voluntarily made in connection therewith (other than</w:t>
      </w:r>
    </w:p>
    <w:p>
      <w:pPr>
        <w:spacing w:after="0" w:line="4" w:lineRule="exact"/>
        <w:rPr>
          <w:sz w:val="20"/>
          <w:szCs w:val="20"/>
          <w:color w:val="auto"/>
        </w:rPr>
      </w:pPr>
    </w:p>
    <w:p>
      <w:pPr>
        <w:ind w:left="2280" w:hanging="300"/>
        <w:spacing w:after="0"/>
        <w:tabs>
          <w:tab w:leader="none" w:pos="22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required filing under the Exchange Act which indicates the nature of such transfer, and</w:t>
      </w:r>
    </w:p>
    <w:p>
      <w:pPr>
        <w:spacing w:after="0" w:line="20" w:lineRule="exact"/>
        <w:rPr>
          <w:rFonts w:ascii="Arial" w:cs="Arial" w:eastAsia="Arial" w:hAnsi="Arial"/>
          <w:sz w:val="17"/>
          <w:szCs w:val="17"/>
          <w:color w:val="auto"/>
        </w:rPr>
      </w:pPr>
    </w:p>
    <w:p>
      <w:pPr>
        <w:ind w:left="2280" w:hanging="300"/>
        <w:spacing w:after="0"/>
        <w:tabs>
          <w:tab w:leader="none" w:pos="228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required filing on a Form 5 or Form 13F made after the expiration of the Lock-Up Period);</w:t>
      </w:r>
    </w:p>
    <w:p>
      <w:pPr>
        <w:spacing w:after="0" w:line="154" w:lineRule="exact"/>
        <w:rPr>
          <w:rFonts w:ascii="Arial" w:cs="Arial" w:eastAsia="Arial" w:hAnsi="Arial"/>
          <w:sz w:val="17"/>
          <w:szCs w:val="17"/>
          <w:color w:val="auto"/>
        </w:rPr>
      </w:pPr>
    </w:p>
    <w:p>
      <w:pPr>
        <w:ind w:left="1980" w:right="459" w:hanging="360"/>
        <w:spacing w:after="0" w:line="254" w:lineRule="auto"/>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Company for the primary purposes of satisfying any tax or other governmental withholding obligation with respect to ordinary shares issued upon the exercise of an option or warrant (or upon the exchange of another security or securities) pursuant to a plan described in this prospectus supplement, or issued under an employee equity or benefit plan described in this prospectus supplement, provided further that no filing by any party under the Exchange Act, or other public announcement reporting a reduction in the beneficial ownership of ordinary shares shall be required</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79"/>
        <w:spacing w:after="0" w:line="263" w:lineRule="auto"/>
        <w:rPr>
          <w:sz w:val="20"/>
          <w:szCs w:val="20"/>
          <w:color w:val="auto"/>
        </w:rPr>
      </w:pPr>
      <w:r>
        <w:rPr>
          <w:rFonts w:ascii="Arial" w:cs="Arial" w:eastAsia="Arial" w:hAnsi="Arial"/>
          <w:sz w:val="18"/>
          <w:szCs w:val="18"/>
          <w:color w:val="auto"/>
        </w:rPr>
        <w:t>or shall be made voluntarily made in connection therewith (other than (A) any required filing under the Exchange Act which indicates the nature of such transfer, and (B) any required filing on a Form 5 or Form 13F made after the expiration of the Lock-Up Period);</w:t>
      </w:r>
    </w:p>
    <w:p>
      <w:pPr>
        <w:spacing w:after="0" w:line="103" w:lineRule="exact"/>
        <w:rPr>
          <w:sz w:val="20"/>
          <w:szCs w:val="20"/>
          <w:color w:val="auto"/>
        </w:rPr>
      </w:pPr>
    </w:p>
    <w:p>
      <w:pPr>
        <w:ind w:left="1980" w:right="499" w:hanging="360"/>
        <w:spacing w:after="0" w:line="254" w:lineRule="auto"/>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a bona fide third-party tender offer for all outstanding ordinary shares, merger, consolidation or other similar transaction approved by the Board of Directors of the Company and made to all holders of the ordinary shares involving a change of control of the Company (including, without limitation, the entering into any lock-up, voting or similar agreement pursuant to which they may agree to transfer, sell, tender or otherwise dispose of ordinary shares or other such securities in connection with such transaction, or vote any ordinary shares in favor of any such transaction); or</w:t>
      </w:r>
    </w:p>
    <w:p>
      <w:pPr>
        <w:spacing w:after="0" w:line="127" w:lineRule="exact"/>
        <w:rPr>
          <w:rFonts w:ascii="Arial" w:cs="Arial" w:eastAsia="Arial" w:hAnsi="Arial"/>
          <w:sz w:val="18"/>
          <w:szCs w:val="18"/>
          <w:color w:val="auto"/>
        </w:rPr>
      </w:pPr>
    </w:p>
    <w:p>
      <w:pPr>
        <w:ind w:left="1980" w:hanging="360"/>
        <w:spacing w:after="0"/>
        <w:tabs>
          <w:tab w:leader="none" w:pos="1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the prior written consent of Goldman Sachs &amp; Co. LLC and Barclays Capital Inc.</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Relationships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In particular, we expect that affiliates of Goldman Sachs &amp; Co. LLC, Barclays Capital Inc. and UBS Securities LLC will act as joint lead arrangers in connection with our new revolving credit facility for which they will receive customary fees. See “Prospectus Supplement Summary — Proposed Revolving Credit Facility” for more information.</w:t>
      </w:r>
    </w:p>
    <w:p>
      <w:pPr>
        <w:spacing w:after="0" w:line="12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48"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In connection with the offering, the underwriters may purchase and sell common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acquire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shares in the open market after pricing that could adversely affect investors who purchase in the offering. Stabilizing transactions consist of various bids for or purchases of common shares made by the underwriters in the open market prior to the completion of the offering.</w:t>
      </w:r>
    </w:p>
    <w:p>
      <w:pPr>
        <w:sectPr>
          <w:pgSz w:w="11900" w:h="16838" w:orient="portrait"/>
          <w:cols w:equalWidth="0" w:num="1">
            <w:col w:w="9879"/>
          </w:cols>
          <w:pgMar w:left="580" w:top="131"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4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07"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shares. As a result, the price of the common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58"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7"/>
          <w:szCs w:val="17"/>
          <w:color w:val="auto"/>
        </w:rPr>
        <w:t>In relation to each Member State of the European Economic Area (each a “Relevant State”), no ordinary shares (the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2" w:lineRule="exact"/>
        <w:rPr>
          <w:sz w:val="20"/>
          <w:szCs w:val="20"/>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60" w:right="719" w:firstLine="360"/>
        <w:spacing w:after="0" w:line="248" w:lineRule="auto"/>
        <w:rPr>
          <w:sz w:val="20"/>
          <w:szCs w:val="20"/>
          <w:color w:val="auto"/>
        </w:rPr>
      </w:pPr>
      <w:r>
        <w:rPr>
          <w:rFonts w:ascii="Arial" w:cs="Arial" w:eastAsia="Arial" w:hAnsi="Arial"/>
          <w:sz w:val="18"/>
          <w:szCs w:val="18"/>
          <w:color w:val="auto"/>
        </w:rPr>
        <w:t>provided that no such offer of Shares shall require the Company or any Representatives to publish a prospectus pursuant to Article 3 of the Prospectus Regulation or supplement a prospectus pursuant to Article 23 of the Prospectus Regulation.</w:t>
      </w:r>
    </w:p>
    <w:p>
      <w:pPr>
        <w:spacing w:after="0" w:line="114"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r>
        <w:rPr>
          <w:rFonts w:ascii="Arial" w:cs="Arial" w:eastAsia="Arial" w:hAnsi="Arial"/>
          <w:sz w:val="17"/>
          <w:szCs w:val="17"/>
          <w:b w:val="1"/>
          <w:bCs w:val="1"/>
          <w:color w:val="auto"/>
        </w:rPr>
        <w:t>.</w:t>
      </w:r>
    </w:p>
    <w:p>
      <w:pPr>
        <w:spacing w:after="0" w:line="17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Each Underwriter has represented and agreed that:</w:t>
      </w:r>
    </w:p>
    <w:p>
      <w:pPr>
        <w:spacing w:after="0" w:line="144" w:lineRule="exact"/>
        <w:rPr>
          <w:sz w:val="20"/>
          <w:szCs w:val="20"/>
          <w:color w:val="auto"/>
        </w:rPr>
      </w:pPr>
    </w:p>
    <w:p>
      <w:pPr>
        <w:ind w:left="1980" w:right="419" w:hanging="360"/>
        <w:spacing w:after="0" w:line="257" w:lineRule="auto"/>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120" w:lineRule="exact"/>
        <w:rPr>
          <w:rFonts w:ascii="Arial" w:cs="Arial" w:eastAsia="Arial" w:hAnsi="Arial"/>
          <w:sz w:val="18"/>
          <w:szCs w:val="18"/>
          <w:color w:val="auto"/>
        </w:rPr>
      </w:pPr>
    </w:p>
    <w:p>
      <w:pPr>
        <w:ind w:left="1980" w:right="559" w:hanging="360"/>
        <w:spacing w:after="0" w:line="308" w:lineRule="auto"/>
        <w:tabs>
          <w:tab w:leader="none" w:pos="1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14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Canada</w:t>
      </w:r>
    </w:p>
    <w:p>
      <w:pPr>
        <w:spacing w:after="0" w:line="144" w:lineRule="exact"/>
        <w:rPr>
          <w:sz w:val="20"/>
          <w:szCs w:val="20"/>
          <w:color w:val="auto"/>
        </w:rPr>
      </w:pPr>
    </w:p>
    <w:p>
      <w:pPr>
        <w:ind w:left="1260" w:right="559" w:firstLine="360"/>
        <w:spacing w:after="0" w:line="262" w:lineRule="auto"/>
        <w:rPr>
          <w:sz w:val="20"/>
          <w:szCs w:val="20"/>
          <w:color w:val="auto"/>
        </w:rPr>
      </w:pPr>
      <w:r>
        <w:rPr>
          <w:rFonts w:ascii="Arial" w:cs="Arial" w:eastAsia="Arial" w:hAnsi="Arial"/>
          <w:sz w:val="17"/>
          <w:szCs w:val="17"/>
          <w:color w:val="auto"/>
        </w:rPr>
        <w:t>The securities may be sold in Canada only to purchasers purchasing, or deemed to be purchasing, as principal that are accredited investors, as defined in National Instrument 45- 106 Prospectus Exemptions or subsection 73.3(1) of the Securities Act (Ontario), and are permitted clients, as defined in National Instrument 31-103 Registration Requirements, Exemptions, and Ongoing Registrant Obligations. Any</w:t>
      </w:r>
    </w:p>
    <w:p>
      <w:pPr>
        <w:sectPr>
          <w:pgSz w:w="11900" w:h="16838" w:orient="portrait"/>
          <w:cols w:equalWidth="0" w:num="1">
            <w:col w:w="9879"/>
          </w:cols>
          <w:pgMar w:left="580" w:top="131" w:right="1440" w:bottom="1440" w:gutter="0" w:footer="0" w:header="0"/>
        </w:sectPr>
      </w:pPr>
    </w:p>
    <w:p>
      <w:pPr>
        <w:spacing w:after="0" w:line="36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61" w:lineRule="auto"/>
        <w:rPr>
          <w:sz w:val="20"/>
          <w:szCs w:val="20"/>
          <w:color w:val="auto"/>
        </w:rPr>
      </w:pPr>
      <w:r>
        <w:rPr>
          <w:rFonts w:ascii="Arial" w:cs="Arial" w:eastAsia="Arial" w:hAnsi="Arial"/>
          <w:sz w:val="18"/>
          <w:szCs w:val="18"/>
          <w:color w:val="auto"/>
        </w:rPr>
        <w:t>resale of the securities must be made in accordance with an exemption form, or in a transaction not subject to, the prospectus requirements of applicable securities laws.</w:t>
      </w:r>
    </w:p>
    <w:p>
      <w:pPr>
        <w:spacing w:after="0" w:line="90" w:lineRule="exact"/>
        <w:rPr>
          <w:sz w:val="20"/>
          <w:szCs w:val="20"/>
          <w:color w:val="auto"/>
        </w:rPr>
      </w:pPr>
    </w:p>
    <w:p>
      <w:pPr>
        <w:ind w:left="1260" w:right="839" w:firstLine="360"/>
        <w:spacing w:after="0" w:line="257"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8" w:lineRule="exact"/>
        <w:rPr>
          <w:sz w:val="20"/>
          <w:szCs w:val="20"/>
          <w:color w:val="auto"/>
        </w:rPr>
      </w:pPr>
    </w:p>
    <w:p>
      <w:pPr>
        <w:ind w:left="1260" w:right="979" w:firstLine="360"/>
        <w:spacing w:after="0" w:line="24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2"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Hong Kong</w:t>
      </w:r>
    </w:p>
    <w:p>
      <w:pPr>
        <w:spacing w:after="0" w:line="158" w:lineRule="exact"/>
        <w:rPr>
          <w:sz w:val="20"/>
          <w:szCs w:val="20"/>
          <w:color w:val="auto"/>
        </w:rPr>
      </w:pPr>
    </w:p>
    <w:p>
      <w:pPr>
        <w:ind w:left="1260" w:right="459" w:firstLine="360"/>
        <w:spacing w:after="0" w:line="251" w:lineRule="auto"/>
        <w:rPr>
          <w:sz w:val="20"/>
          <w:szCs w:val="20"/>
          <w:color w:val="auto"/>
        </w:rPr>
      </w:pPr>
      <w:r>
        <w:rPr>
          <w:rFonts w:ascii="Arial" w:cs="Arial" w:eastAsia="Arial" w:hAnsi="Arial"/>
          <w:sz w:val="17"/>
          <w:szCs w:val="17"/>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Singapore</w:t>
      </w:r>
    </w:p>
    <w:p>
      <w:pPr>
        <w:spacing w:after="0" w:line="144"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ind w:left="1260" w:right="439" w:firstLine="360"/>
        <w:spacing w:after="0" w:line="252"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18"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w:t>
      </w: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spacing w:after="0" w:line="270" w:lineRule="auto"/>
        <w:rPr>
          <w:sz w:val="20"/>
          <w:szCs w:val="20"/>
          <w:color w:val="auto"/>
        </w:rPr>
      </w:pPr>
      <w:r>
        <w:rPr>
          <w:rFonts w:ascii="Arial" w:cs="Arial" w:eastAsia="Arial" w:hAnsi="Arial"/>
          <w:sz w:val="17"/>
          <w:szCs w:val="17"/>
          <w:color w:val="auto"/>
        </w:rPr>
        <w:t>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Japan</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Certain legal matters with respect to English law relating to the validity of the ordinary shares offered pursuant to this prospectus supplement will be passed upon for us by Cleary Gottlieb Steen &amp; Hamilton LLP, our US counsel and English solicitors. Certain legal matters with respect to this offering will be passed upon for the underwriters by Davis Polk &amp; Wardwell LLP, New York, New York, their US counsel and by Davis Polk &amp; Wardwell LLP, London, England, their English solicitors.</w:t>
      </w:r>
    </w:p>
    <w:p>
      <w:pPr>
        <w:spacing w:after="0" w:line="18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659" w:firstLine="36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Report on Internal Control over Financial </w:t>
      </w:r>
      <w:hyperlink r:id="rId21">
        <w:r>
          <w:rPr>
            <w:rFonts w:ascii="Arial" w:cs="Arial" w:eastAsia="Arial" w:hAnsi="Arial"/>
            <w:sz w:val="18"/>
            <w:szCs w:val="18"/>
            <w:color w:val="auto"/>
          </w:rPr>
          <w:t xml:space="preserve">Reporting) incorporated in this Prospectus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21">
        <w:r>
          <w:rPr>
            <w:rFonts w:ascii="Arial" w:cs="Arial" w:eastAsia="Arial" w:hAnsi="Arial"/>
            <w:sz w:val="18"/>
            <w:szCs w:val="18"/>
            <w:u w:val="single" w:color="auto"/>
            <w:color w:val="0000EE"/>
          </w:rPr>
          <w:t>ended December 31, 2020</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 PricewaterhouseCoopers</w:t>
        </w:r>
      </w:hyperlink>
      <w:r>
        <w:rPr>
          <w:rFonts w:ascii="Arial" w:cs="Arial" w:eastAsia="Arial" w:hAnsi="Arial"/>
          <w:sz w:val="18"/>
          <w:szCs w:val="18"/>
          <w:color w:val="0000EE"/>
        </w:rPr>
        <w:t xml:space="preserve"> </w:t>
      </w:r>
      <w:r>
        <w:rPr>
          <w:rFonts w:ascii="Arial" w:cs="Arial" w:eastAsia="Arial" w:hAnsi="Arial"/>
          <w:sz w:val="18"/>
          <w:szCs w:val="18"/>
          <w:color w:val="000000"/>
        </w:rPr>
        <w:t>LLP, an independent registered public accounting firm, given on the authority of said firm as experts in auditing and accounting.</w:t>
      </w:r>
    </w:p>
    <w:p>
      <w:pPr>
        <w:spacing w:after="0" w:line="18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ENFORCEMENT OF JUDGMENTS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incorporated under the laws of England and Wales. Some of our directors and officers may reside outside the United States, and a portion of our assets and the assets of such persons may be located outside the United States. As a result, it may be difficult for you to serve legal process on us or our directors and executive officers or have any of them appear in a U.S. court.</w:t>
      </w:r>
    </w:p>
    <w:p>
      <w:pPr>
        <w:spacing w:after="0" w:line="106"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United States and the United Kingdom do not currently have a treaty providing for the recognition and enforcement of judgments, other than arbitration awards, in civil and commercial matters. The enforceability of any judgment of a United States federal or state court in the United Kingdom will depend on the laws and any treaties in effect at the time, including conflicts of laws principles (such as those bearing on the question of whether a United Kingdom court would recognize the basis on which a United States court had purported to exercise jurisdiction over a defendant). In this context, there is doubt as to the enforceability in the United Kingdom of civil liabilities based solely on the federal securities laws of the United States. In addition, awards for punitive damages in actions brought in the United States or elsewhere may be unenforceable in the United Kingdom. An award for monetary damages under the United States securities laws would likely be considered punitive if it did not seek to compensate the claimant for loss or damage suffered and was intended to punish the defendant.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128905</wp:posOffset>
            </wp:positionV>
            <wp:extent cx="149987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149987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60"/>
        <w:spacing w:after="0"/>
        <w:rPr>
          <w:sz w:val="20"/>
          <w:szCs w:val="20"/>
          <w:color w:val="auto"/>
        </w:rPr>
      </w:pPr>
      <w:r>
        <w:rPr>
          <w:rFonts w:ascii="Arial" w:cs="Arial" w:eastAsia="Arial" w:hAnsi="Arial"/>
          <w:sz w:val="32"/>
          <w:szCs w:val="32"/>
          <w:b w:val="1"/>
          <w:bCs w:val="1"/>
          <w:color w:val="auto"/>
        </w:rPr>
        <w:t>LivaNova PLC</w:t>
      </w:r>
    </w:p>
    <w:p>
      <w:pPr>
        <w:spacing w:after="0" w:line="217"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25"/>
          <w:szCs w:val="25"/>
          <w:b w:val="1"/>
          <w:bCs w:val="1"/>
          <w:color w:val="auto"/>
        </w:rPr>
        <w:t>Preferred Shares</w:t>
      </w:r>
    </w:p>
    <w:p>
      <w:pPr>
        <w:ind w:left="5020"/>
        <w:spacing w:after="0"/>
        <w:rPr>
          <w:sz w:val="20"/>
          <w:szCs w:val="20"/>
          <w:color w:val="auto"/>
        </w:rPr>
      </w:pPr>
      <w:r>
        <w:rPr>
          <w:rFonts w:ascii="Arial" w:cs="Arial" w:eastAsia="Arial" w:hAnsi="Arial"/>
          <w:sz w:val="25"/>
          <w:szCs w:val="25"/>
          <w:b w:val="1"/>
          <w:bCs w:val="1"/>
          <w:color w:val="auto"/>
        </w:rPr>
        <w:t>Rights</w:t>
      </w:r>
    </w:p>
    <w:p>
      <w:pPr>
        <w:spacing w:after="0" w:line="125"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We may offer and sell from time to time the securities described in this prospectus separately or together in any combination, in amounts, at prices and on other terms to be determined at the time of the offering and to be described in an accompanying prospectus supplement.</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This prospectus describes the general manner in which the securities described in this prospectus may be offered and sold. The specific manner in which the securities described in this prospectus may be offered and sold will be described in a supplement to this prospectus. Any prospectus supplement may also add, update or change information contained in this prospectus. You should carefully read this prospectus and the related prospectus supplement, together with the documents we incorporate by reference, before you invest. The prospectus supplement may also add to, update, supplement or clarify information contained in this prospectus. This prospectus may not be used to sell the securities described in this prospectus unless accompanied by a prospectus supplement.</w:t>
      </w:r>
    </w:p>
    <w:p>
      <w:pPr>
        <w:spacing w:after="0" w:line="124"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We may offer and sell the securities described in this prospectus through one or more underwriters, dealers or agents, through underwriting syndicates managed or co-managed by one or more underwriters, or directly to purchasers, on a continuous or delayed basis. We provide more information about how the shares may be offered and sold in the section entitled “Plan of Distribution” beginning on page 9. The prospectus supplement for each offering of our securities will describe in detail the plan of distribution for that offering.</w:t>
      </w:r>
    </w:p>
    <w:p>
      <w:pPr>
        <w:spacing w:after="0" w:line="125"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Our ordinary shares are listed on The NASDAQ Global Select Market (“NASDAQ”) under the symbol “LIVN”. The last reported sale price of our ordinary shares on NASDAQ on July 30, 2021 was $86.30 per share.</w:t>
      </w:r>
    </w:p>
    <w:p>
      <w:pPr>
        <w:spacing w:after="0" w:line="99" w:lineRule="exact"/>
        <w:rPr>
          <w:sz w:val="20"/>
          <w:szCs w:val="20"/>
          <w:color w:val="auto"/>
        </w:rPr>
      </w:pPr>
    </w:p>
    <w:p>
      <w:pPr>
        <w:ind w:left="1260" w:right="439" w:firstLine="3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You should carefully consider the risks identified in the “Risk Factors” section on page </w:t>
      </w:r>
      <w:hyperlink w:anchor="page45">
        <w:r>
          <w:rPr>
            <w:rFonts w:ascii="Arial" w:cs="Arial" w:eastAsia="Arial" w:hAnsi="Arial"/>
            <w:sz w:val="18"/>
            <w:szCs w:val="18"/>
            <w:b w:val="1"/>
            <w:bCs w:val="1"/>
            <w:u w:val="single" w:color="auto"/>
            <w:color w:val="0000EE"/>
          </w:rPr>
          <w:t>2</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in the documents incorporated by reference in this prospectus and in any applicable prospectus supplement.</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12"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The date of this prospectus is August 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2171065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2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Page</w:t>
            </w:r>
          </w:p>
        </w:tc>
      </w:tr>
      <w:tr>
        <w:trPr>
          <w:trHeight w:val="26"/>
        </w:trPr>
        <w:tc>
          <w:tcPr>
            <w:tcW w:w="5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172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3"/>
              </w:rPr>
            </w:pPr>
            <w:hyperlink w:anchor="page40">
              <w:r>
                <w:rPr>
                  <w:rFonts w:ascii="Arial" w:cs="Arial" w:eastAsia="Arial" w:hAnsi="Arial"/>
                  <w:sz w:val="18"/>
                  <w:szCs w:val="18"/>
                  <w:color w:val="0000EE"/>
                  <w:w w:val="93"/>
                </w:rPr>
                <w:t>About This Prospectus</w:t>
              </w:r>
            </w:hyperlink>
          </w:p>
        </w:tc>
        <w:tc>
          <w:tcPr>
            <w:tcW w:w="6160" w:type="dxa"/>
            <w:vAlign w:val="bottom"/>
            <w:tcBorders>
              <w:bottom w:val="single" w:sz="8" w:color="CCEEFF"/>
            </w:tcBorders>
            <w:gridSpan w:val="7"/>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ind w:righ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w:t>
              </w:r>
            </w:hyperlink>
          </w:p>
        </w:tc>
      </w:tr>
      <w:tr>
        <w:trPr>
          <w:trHeight w:val="216"/>
        </w:trPr>
        <w:tc>
          <w:tcPr>
            <w:tcW w:w="788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Where You Can Find More Information</w:t>
              </w:r>
            </w:hyperlink>
          </w:p>
        </w:tc>
        <w:tc>
          <w:tcPr>
            <w:tcW w:w="160" w:type="dxa"/>
            <w:vAlign w:val="bottom"/>
          </w:tcPr>
          <w:p>
            <w:pPr>
              <w:spacing w:after="0"/>
              <w:rPr>
                <w:sz w:val="18"/>
                <w:szCs w:val="18"/>
                <w:color w:val="auto"/>
              </w:rPr>
            </w:pPr>
          </w:p>
        </w:tc>
        <w:tc>
          <w:tcPr>
            <w:tcW w:w="160" w:type="dxa"/>
            <w:vAlign w:val="bottom"/>
            <w:gridSpan w:val="2"/>
          </w:tcPr>
          <w:p>
            <w:pPr>
              <w:jc w:val="right"/>
              <w:ind w:right="6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780" w:type="dxa"/>
            <w:vAlign w:val="bottom"/>
            <w:tcBorders>
              <w:bottom w:val="single" w:sz="8" w:color="0000EE"/>
            </w:tcBorders>
            <w:gridSpan w:val="12"/>
            <w:shd w:val="clear" w:color="auto" w:fill="CCEEFF"/>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Incorporation of Certain Documents by Reference</w:t>
              </w:r>
            </w:hyperlink>
          </w:p>
        </w:tc>
        <w:tc>
          <w:tcPr>
            <w:tcW w:w="410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ii</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Cautionary Statement Regarding Forward-Looking Statements</w:t>
              </w:r>
            </w:hyperlink>
          </w:p>
        </w:tc>
        <w:tc>
          <w:tcPr>
            <w:tcW w:w="160" w:type="dxa"/>
            <w:vAlign w:val="bottom"/>
          </w:tcPr>
          <w:p>
            <w:pPr>
              <w:spacing w:after="0"/>
              <w:rPr>
                <w:sz w:val="19"/>
                <w:szCs w:val="19"/>
                <w:color w:val="auto"/>
              </w:rPr>
            </w:pPr>
          </w:p>
        </w:tc>
        <w:tc>
          <w:tcPr>
            <w:tcW w:w="160" w:type="dxa"/>
            <w:vAlign w:val="bottom"/>
            <w:gridSpan w:val="2"/>
          </w:tcPr>
          <w:p>
            <w:pPr>
              <w:jc w:val="right"/>
              <w:ind w:right="60"/>
              <w:spacing w:after="0"/>
              <w:rPr>
                <w:rFonts w:ascii="Arial" w:cs="Arial" w:eastAsia="Arial" w:hAnsi="Arial"/>
                <w:sz w:val="17"/>
                <w:szCs w:val="17"/>
                <w:color w:val="0000EE"/>
                <w:w w:val="70"/>
              </w:rPr>
            </w:pPr>
            <w:hyperlink w:anchor="page42">
              <w:r>
                <w:rPr>
                  <w:rFonts w:ascii="Arial" w:cs="Arial" w:eastAsia="Arial" w:hAnsi="Arial"/>
                  <w:sz w:val="17"/>
                  <w:szCs w:val="17"/>
                  <w:color w:val="0000EE"/>
                  <w:w w:val="70"/>
                </w:rPr>
                <w:t>iii</w:t>
              </w:r>
            </w:hyperlink>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7880" w:type="dxa"/>
            <w:vAlign w:val="bottom"/>
            <w:gridSpan w:val="14"/>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Summary</w:t>
              </w:r>
            </w:hyperlink>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1</w:t>
              </w:r>
            </w:hyperlink>
          </w:p>
        </w:tc>
        <w:tc>
          <w:tcPr>
            <w:tcW w:w="60" w:type="dxa"/>
            <w:vAlign w:val="bottom"/>
            <w:shd w:val="clear" w:color="auto" w:fill="CCEEFF"/>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Risk Factors</w:t>
              </w:r>
            </w:hyperlink>
          </w:p>
        </w:tc>
        <w:tc>
          <w:tcPr>
            <w:tcW w:w="260" w:type="dxa"/>
            <w:vAlign w:val="bottom"/>
            <w:gridSpan w:val="2"/>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2</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220" w:type="dxa"/>
            <w:vAlign w:val="bottom"/>
            <w:tcBorders>
              <w:bottom w:val="single" w:sz="8" w:color="0000EE"/>
            </w:tcBorders>
            <w:gridSpan w:val="5"/>
            <w:shd w:val="clear" w:color="auto" w:fill="CCEEFF"/>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Use of Proceeds</w:t>
              </w:r>
            </w:hyperlink>
          </w:p>
        </w:tc>
        <w:tc>
          <w:tcPr>
            <w:tcW w:w="6660" w:type="dxa"/>
            <w:vAlign w:val="bottom"/>
            <w:tcBorders>
              <w:bottom w:val="single" w:sz="8" w:color="CCEEFF"/>
            </w:tcBorders>
            <w:gridSpan w:val="9"/>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2</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Description of Our Ordinary Shares</w:t>
              </w:r>
            </w:hyperlink>
          </w:p>
        </w:tc>
        <w:tc>
          <w:tcPr>
            <w:tcW w:w="260" w:type="dxa"/>
            <w:vAlign w:val="bottom"/>
            <w:gridSpan w:val="2"/>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3</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7880" w:type="dxa"/>
            <w:vAlign w:val="bottom"/>
            <w:gridSpan w:val="14"/>
            <w:shd w:val="clear" w:color="auto" w:fill="CCEEFF"/>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Description of Our Preferred Shares</w:t>
              </w:r>
            </w:hyperlink>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7</w:t>
              </w:r>
            </w:hyperlink>
          </w:p>
        </w:tc>
        <w:tc>
          <w:tcPr>
            <w:tcW w:w="60" w:type="dxa"/>
            <w:vAlign w:val="bottom"/>
            <w:shd w:val="clear" w:color="auto" w:fill="CCEEFF"/>
          </w:tcPr>
          <w:p>
            <w:pPr>
              <w:spacing w:after="0"/>
              <w:rPr>
                <w:sz w:val="21"/>
                <w:szCs w:val="21"/>
                <w:color w:val="auto"/>
              </w:rPr>
            </w:pPr>
          </w:p>
        </w:tc>
      </w:tr>
      <w:tr>
        <w:trPr>
          <w:trHeight w:val="229"/>
        </w:trPr>
        <w:tc>
          <w:tcPr>
            <w:tcW w:w="2720" w:type="dxa"/>
            <w:vAlign w:val="bottom"/>
            <w:tcBorders>
              <w:top w:val="single" w:sz="8" w:color="0000EE"/>
            </w:tcBorders>
            <w:gridSpan w:val="10"/>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Description of Our Rights</w:t>
              </w:r>
            </w:hyperlink>
          </w:p>
        </w:tc>
        <w:tc>
          <w:tcPr>
            <w:tcW w:w="5160" w:type="dxa"/>
            <w:vAlign w:val="bottom"/>
            <w:tcBorders>
              <w:top w:val="single" w:sz="8" w:color="CCEEFF"/>
            </w:tcBorders>
            <w:gridSpan w:val="4"/>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8</w:t>
              </w:r>
            </w:hyperlink>
          </w:p>
        </w:tc>
        <w:tc>
          <w:tcPr>
            <w:tcW w:w="60" w:type="dxa"/>
            <w:vAlign w:val="bottom"/>
            <w:tcBorders>
              <w:top w:val="single" w:sz="8" w:color="CCEEFF"/>
            </w:tcBorders>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500" w:type="dxa"/>
            <w:vAlign w:val="bottom"/>
            <w:tcBorders>
              <w:bottom w:val="single" w:sz="8" w:color="0000EE"/>
            </w:tcBorders>
            <w:gridSpan w:val="6"/>
            <w:shd w:val="clear" w:color="auto" w:fill="CCEEFF"/>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Plan of Distribution</w:t>
              </w:r>
            </w:hyperlink>
          </w:p>
        </w:tc>
        <w:tc>
          <w:tcPr>
            <w:tcW w:w="6380" w:type="dxa"/>
            <w:vAlign w:val="bottom"/>
            <w:tcBorders>
              <w:bottom w:val="single" w:sz="8" w:color="CCEEFF"/>
            </w:tcBorders>
            <w:gridSpan w:val="8"/>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26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1"/>
        </w:trPr>
        <w:tc>
          <w:tcPr>
            <w:tcW w:w="5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580" w:type="dxa"/>
            <w:vAlign w:val="bottom"/>
            <w:shd w:val="clear" w:color="auto" w:fill="CCEEFF"/>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Experts</w:t>
              </w:r>
            </w:hyperlink>
          </w:p>
        </w:tc>
        <w:tc>
          <w:tcPr>
            <w:tcW w:w="7300" w:type="dxa"/>
            <w:vAlign w:val="bottom"/>
            <w:gridSpan w:val="13"/>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10</w:t>
              </w:r>
            </w:hyperlink>
          </w:p>
        </w:tc>
        <w:tc>
          <w:tcPr>
            <w:tcW w:w="60" w:type="dxa"/>
            <w:vAlign w:val="bottom"/>
            <w:shd w:val="clear" w:color="auto" w:fill="CCEEFF"/>
          </w:tcPr>
          <w:p>
            <w:pPr>
              <w:spacing w:after="0"/>
              <w:rPr>
                <w:sz w:val="19"/>
                <w:szCs w:val="19"/>
                <w:color w:val="auto"/>
              </w:rPr>
            </w:pPr>
          </w:p>
        </w:tc>
      </w:tr>
      <w:tr>
        <w:trPr>
          <w:trHeight w:val="21"/>
        </w:trPr>
        <w:tc>
          <w:tcPr>
            <w:tcW w:w="5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7880" w:type="dxa"/>
            <w:vAlign w:val="bottom"/>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Enforcement of Judgments</w:t>
              </w:r>
            </w:hyperlink>
          </w:p>
        </w:tc>
        <w:tc>
          <w:tcPr>
            <w:tcW w:w="260" w:type="dxa"/>
            <w:vAlign w:val="bottom"/>
            <w:gridSpan w:val="2"/>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10</w:t>
              </w:r>
            </w:hyperlink>
          </w:p>
        </w:tc>
        <w:tc>
          <w:tcPr>
            <w:tcW w:w="60" w:type="dxa"/>
            <w:vAlign w:val="bottom"/>
          </w:tcPr>
          <w:p>
            <w:pPr>
              <w:spacing w:after="0"/>
              <w:rPr>
                <w:sz w:val="19"/>
                <w:szCs w:val="19"/>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-2365375</wp:posOffset>
            </wp:positionV>
            <wp:extent cx="50063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191"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(“SEC”), as a “well-known seasoned issuer” as defined in Rule 405 under the Securities Act of 1933, using an automatic shelf registration process. Because we used a shelf registration statement, we may, from time to time, sell the securities described in this prospectus in one or more offerings. Each time that we sell securities, we will provide a prospectus supplement to this prospectus that will contain specific information about the terms of that offering, including the specific amounts, process and terms of the offered securities.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You should read carefully this prospectus, any prospectus supplement and any free writing prospectus related to our securities that is prepared by us or on our behalf or that is otherwise authorized by us, together with additional information described under the headings “Where You Can Find More Information” and “Incorporation of Certain Documents by Reference.”</w:t>
      </w:r>
    </w:p>
    <w:p>
      <w:pPr>
        <w:spacing w:after="0" w:line="113" w:lineRule="exact"/>
        <w:rPr>
          <w:sz w:val="20"/>
          <w:szCs w:val="20"/>
          <w:color w:val="auto"/>
        </w:rPr>
      </w:pPr>
    </w:p>
    <w:p>
      <w:pPr>
        <w:ind w:left="1260" w:right="539" w:firstLine="360"/>
        <w:spacing w:after="0"/>
        <w:rPr>
          <w:sz w:val="20"/>
          <w:szCs w:val="20"/>
          <w:color w:val="auto"/>
        </w:rPr>
      </w:pPr>
      <w:r>
        <w:rPr>
          <w:rFonts w:ascii="Arial" w:cs="Arial" w:eastAsia="Arial" w:hAnsi="Arial"/>
          <w:sz w:val="18"/>
          <w:szCs w:val="18"/>
          <w:color w:val="auto"/>
        </w:rPr>
        <w:t>We are not making an offer to sell these securities in any jurisdiction where the offer or sale is not permitted. You should only assume that the information appearing in this prospectus and the applicable prospectus supplement to this prospectus is accurate as of the date on its respective cover, and that any information incorporated by reference is accurate as of the date of the document incorporated by reference, unless we indicate otherwise. Our business, financial condition, results of operations and prospects may have changed since those dates.</w:t>
      </w:r>
    </w:p>
    <w:p>
      <w:pPr>
        <w:spacing w:after="0" w:line="108"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References in this prospectus to “we,” “us,” “our,” “the Company” or “LivaNova” are to LivaNova PLC and its consolidated subsidiaries, unless the context indicates otherwise.</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7"/>
          <w:szCs w:val="17"/>
          <w:color w:val="auto"/>
        </w:rPr>
        <w:t>We file annual, quarterly and current reports, proxy statements and other information with the Securities and Exchange Commission, which are available to the public at the SEC’s website at http://www.sec.gov and at our investor relations website, https://investor.livanova.com/. Our website and the information contained or connected to our website is not incorporated by reference in this prospectus or any prospectus supplement, and you should not consider it part of this prospectus or any prospectus supplement.</w:t>
      </w:r>
    </w:p>
    <w:p>
      <w:pPr>
        <w:spacing w:after="0" w:line="106" w:lineRule="exact"/>
        <w:rPr>
          <w:sz w:val="20"/>
          <w:szCs w:val="20"/>
          <w:color w:val="auto"/>
        </w:rPr>
      </w:pPr>
    </w:p>
    <w:p>
      <w:pPr>
        <w:ind w:left="1260" w:right="539" w:firstLine="360"/>
        <w:spacing w:after="0" w:line="291" w:lineRule="auto"/>
        <w:rPr>
          <w:sz w:val="20"/>
          <w:szCs w:val="20"/>
          <w:color w:val="auto"/>
        </w:rPr>
      </w:pPr>
      <w:r>
        <w:rPr>
          <w:rFonts w:ascii="Arial" w:cs="Arial" w:eastAsia="Arial" w:hAnsi="Arial"/>
          <w:sz w:val="17"/>
          <w:szCs w:val="17"/>
          <w:color w:val="auto"/>
        </w:rPr>
        <w:t>This prospectus is part of a registration statement on Form S-3 that we filed with the SEC. This prospectus does not contain all the information in the registration statement. Whenever a reference is made</w:t>
      </w: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63" w:lineRule="auto"/>
        <w:rPr>
          <w:sz w:val="20"/>
          <w:szCs w:val="20"/>
          <w:color w:val="auto"/>
        </w:rPr>
      </w:pPr>
      <w:r>
        <w:rPr>
          <w:rFonts w:ascii="Arial" w:cs="Arial" w:eastAsia="Arial" w:hAnsi="Arial"/>
          <w:sz w:val="18"/>
          <w:szCs w:val="18"/>
          <w:color w:val="auto"/>
        </w:rPr>
        <w:t>in this prospectus to a contract or other document of the Company, the reference is only a summary, and you should refer to the exhibits that are a part of the registration statement for a copy of the contract or other document. You may review a copy of the registration statement at the SEC’s website.</w:t>
      </w:r>
    </w:p>
    <w:p>
      <w:pPr>
        <w:spacing w:after="0" w:line="18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SEC allows us to incorporate by reference in this prospectus the information we file with it, which means that we can disclose important information to you by referring you to those documents. The information incorporated by reference is considered to be part of this prospectus, and information filed subsequently with the SEC will automatically update and supersede it. Therefore, before you decide to invest in a particular offering under this shelf registration, you should always check for reports we may have filed with the SEC after the date of this prospectus. We incorporate by reference in this prospectus the following information:</w:t>
      </w:r>
    </w:p>
    <w:p>
      <w:pPr>
        <w:spacing w:after="0" w:line="87" w:lineRule="exact"/>
        <w:rPr>
          <w:sz w:val="20"/>
          <w:szCs w:val="20"/>
          <w:color w:val="auto"/>
        </w:rPr>
      </w:pPr>
    </w:p>
    <w:p>
      <w:pPr>
        <w:ind w:left="1800" w:right="919" w:hanging="180"/>
        <w:spacing w:after="0" w:line="277" w:lineRule="auto"/>
        <w:tabs>
          <w:tab w:leader="none" w:pos="1800" w:val="left"/>
        </w:tabs>
        <w:numPr>
          <w:ilvl w:val="0"/>
          <w:numId w:val="23"/>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our Annual Report on Form 10-K for the year ended December 31, 2020 filed with the SEC on</w:t>
        </w:r>
      </w:hyperlink>
      <w:r>
        <w:rPr>
          <w:rFonts w:ascii="Arial" w:cs="Arial" w:eastAsia="Arial" w:hAnsi="Arial"/>
          <w:sz w:val="18"/>
          <w:szCs w:val="18"/>
          <w:u w:val="single" w:color="auto"/>
          <w:color w:val="0000EE"/>
        </w:rPr>
        <w:t xml:space="preserve"> </w:t>
      </w:r>
      <w:hyperlink r:id="rId21">
        <w:r>
          <w:rPr>
            <w:rFonts w:ascii="Arial" w:cs="Arial" w:eastAsia="Arial" w:hAnsi="Arial"/>
            <w:sz w:val="18"/>
            <w:szCs w:val="18"/>
            <w:u w:val="single" w:color="auto"/>
            <w:color w:val="0000EE"/>
          </w:rPr>
          <w:t>March 1, 2021;</w:t>
        </w:r>
      </w:hyperlink>
    </w:p>
    <w:p>
      <w:pPr>
        <w:spacing w:after="0" w:line="62" w:lineRule="exact"/>
        <w:rPr>
          <w:rFonts w:ascii="Arial" w:cs="Arial" w:eastAsia="Arial" w:hAnsi="Arial"/>
          <w:sz w:val="18"/>
          <w:szCs w:val="18"/>
          <w:u w:val="single" w:color="auto"/>
          <w:color w:val="0000EE"/>
        </w:rPr>
      </w:pPr>
    </w:p>
    <w:p>
      <w:pPr>
        <w:ind w:left="1800" w:right="679" w:hanging="180"/>
        <w:spacing w:after="0" w:line="263" w:lineRule="auto"/>
        <w:tabs>
          <w:tab w:leader="none" w:pos="1800" w:val="left"/>
        </w:tabs>
        <w:numPr>
          <w:ilvl w:val="0"/>
          <w:numId w:val="23"/>
        </w:numPr>
        <w:rPr>
          <w:rFonts w:ascii="Arial" w:cs="Arial" w:eastAsia="Arial" w:hAnsi="Arial"/>
          <w:sz w:val="18"/>
          <w:szCs w:val="18"/>
          <w:color w:val="0000EE"/>
        </w:rPr>
      </w:pPr>
      <w:hyperlink r:id="rId72">
        <w:r>
          <w:rPr>
            <w:rFonts w:ascii="Arial" w:cs="Arial" w:eastAsia="Arial" w:hAnsi="Arial"/>
            <w:sz w:val="18"/>
            <w:szCs w:val="18"/>
            <w:color w:val="auto"/>
          </w:rPr>
          <w:t xml:space="preserve">the description of our ordinary shares included as </w:t>
        </w:r>
        <w:r>
          <w:rPr>
            <w:rFonts w:ascii="Arial" w:cs="Arial" w:eastAsia="Arial" w:hAnsi="Arial"/>
            <w:sz w:val="18"/>
            <w:szCs w:val="18"/>
            <w:u w:val="single" w:color="auto"/>
            <w:color w:val="0000EE"/>
          </w:rPr>
          <w:t>Exhibit 4.1 of our Annual Report on Form 10-K</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for the year ended December 31, 2020 filed with the SEC on March 1, 2021</w:t>
        </w:r>
        <w:r>
          <w:rPr>
            <w:rFonts w:ascii="Arial" w:cs="Arial" w:eastAsia="Arial" w:hAnsi="Arial"/>
            <w:sz w:val="18"/>
            <w:szCs w:val="18"/>
            <w:color w:val="000000"/>
          </w:rPr>
          <w:t>, including any</w:t>
        </w:r>
      </w:hyperlink>
      <w:r>
        <w:rPr>
          <w:rFonts w:ascii="Arial" w:cs="Arial" w:eastAsia="Arial" w:hAnsi="Arial"/>
          <w:sz w:val="18"/>
          <w:szCs w:val="18"/>
          <w:color w:val="0000EE"/>
        </w:rPr>
        <w:t xml:space="preserve"> </w:t>
      </w:r>
      <w:r>
        <w:rPr>
          <w:rFonts w:ascii="Arial" w:cs="Arial" w:eastAsia="Arial" w:hAnsi="Arial"/>
          <w:sz w:val="18"/>
          <w:szCs w:val="18"/>
          <w:color w:val="000000"/>
        </w:rPr>
        <w:t>amendment or report filed for the purpose of updating this description;</w:t>
      </w:r>
    </w:p>
    <w:p>
      <w:pPr>
        <w:spacing w:after="0" w:line="75" w:lineRule="exact"/>
        <w:rPr>
          <w:rFonts w:ascii="Arial" w:cs="Arial" w:eastAsia="Arial" w:hAnsi="Arial"/>
          <w:sz w:val="18"/>
          <w:szCs w:val="18"/>
          <w:color w:val="0000EE"/>
        </w:rPr>
      </w:pPr>
    </w:p>
    <w:p>
      <w:pPr>
        <w:ind w:left="1800" w:right="699" w:hanging="180"/>
        <w:spacing w:after="0" w:line="308" w:lineRule="auto"/>
        <w:tabs>
          <w:tab w:leader="none" w:pos="1800" w:val="left"/>
        </w:tabs>
        <w:numPr>
          <w:ilvl w:val="0"/>
          <w:numId w:val="23"/>
        </w:numPr>
        <w:rPr>
          <w:rFonts w:ascii="Arial" w:cs="Arial" w:eastAsia="Arial" w:hAnsi="Arial"/>
          <w:sz w:val="17"/>
          <w:szCs w:val="17"/>
          <w:color w:val="0000EE"/>
        </w:rPr>
      </w:pPr>
      <w:hyperlink r:id="rId73">
        <w:r>
          <w:rPr>
            <w:rFonts w:ascii="Arial" w:cs="Arial" w:eastAsia="Arial" w:hAnsi="Arial"/>
            <w:sz w:val="17"/>
            <w:szCs w:val="17"/>
            <w:color w:val="auto"/>
          </w:rPr>
          <w:t xml:space="preserve">our Quarterly Reports on </w:t>
        </w:r>
        <w:r>
          <w:rPr>
            <w:rFonts w:ascii="Arial" w:cs="Arial" w:eastAsia="Arial" w:hAnsi="Arial"/>
            <w:sz w:val="17"/>
            <w:szCs w:val="17"/>
            <w:u w:val="single" w:color="auto"/>
            <w:color w:val="0000EE"/>
          </w:rPr>
          <w:t>Form 10-Q for the quarter ended March 31, 2021, filed with the SEC on</w:t>
        </w:r>
      </w:hyperlink>
      <w:r>
        <w:rPr>
          <w:rFonts w:ascii="Arial" w:cs="Arial" w:eastAsia="Arial" w:hAnsi="Arial"/>
          <w:sz w:val="17"/>
          <w:szCs w:val="17"/>
          <w:color w:val="auto"/>
        </w:rPr>
        <w:t xml:space="preserve"> </w:t>
      </w:r>
      <w:hyperlink r:id="rId73">
        <w:r>
          <w:rPr>
            <w:rFonts w:ascii="Arial" w:cs="Arial" w:eastAsia="Arial" w:hAnsi="Arial"/>
            <w:sz w:val="17"/>
            <w:szCs w:val="17"/>
            <w:u w:val="single" w:color="auto"/>
            <w:color w:val="0000EE"/>
          </w:rPr>
          <w:t>April 28, 2021</w:t>
        </w:r>
        <w:r>
          <w:rPr>
            <w:rFonts w:ascii="Arial" w:cs="Arial" w:eastAsia="Arial" w:hAnsi="Arial"/>
            <w:sz w:val="17"/>
            <w:szCs w:val="17"/>
            <w:color w:val="000000"/>
          </w:rPr>
          <w:t>, and the</w:t>
        </w:r>
        <w:r>
          <w:rPr>
            <w:rFonts w:ascii="Arial" w:cs="Arial" w:eastAsia="Arial" w:hAnsi="Arial"/>
            <w:sz w:val="17"/>
            <w:szCs w:val="17"/>
            <w:color w:val="0000EE"/>
          </w:rPr>
          <w:t xml:space="preserve"> </w:t>
        </w:r>
      </w:hyperlink>
      <w:hyperlink r:id="rId22">
        <w:r>
          <w:rPr>
            <w:rFonts w:ascii="Arial" w:cs="Arial" w:eastAsia="Arial" w:hAnsi="Arial"/>
            <w:sz w:val="17"/>
            <w:szCs w:val="17"/>
            <w:u w:val="single" w:color="auto"/>
            <w:color w:val="0000EE"/>
          </w:rPr>
          <w:t>quarter ended June 30, 2021, filed with the SEC on July 28, 2021;</w:t>
        </w:r>
      </w:hyperlink>
    </w:p>
    <w:p>
      <w:pPr>
        <w:spacing w:after="0" w:line="38" w:lineRule="exact"/>
        <w:rPr>
          <w:rFonts w:ascii="Arial" w:cs="Arial" w:eastAsia="Arial" w:hAnsi="Arial"/>
          <w:sz w:val="17"/>
          <w:szCs w:val="17"/>
          <w:color w:val="0000EE"/>
        </w:rPr>
      </w:pPr>
    </w:p>
    <w:p>
      <w:pPr>
        <w:ind w:left="1800" w:right="59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our Current Reports on Form 8-K dated February 24, 2021 (filed </w:t>
      </w:r>
      <w:hyperlink r:id="rId74">
        <w:r>
          <w:rPr>
            <w:rFonts w:ascii="Arial" w:cs="Arial" w:eastAsia="Arial" w:hAnsi="Arial"/>
            <w:sz w:val="18"/>
            <w:szCs w:val="18"/>
            <w:u w:val="single" w:color="auto"/>
            <w:color w:val="0000EE"/>
          </w:rPr>
          <w:t>February 25, 2021</w:t>
        </w:r>
      </w:hyperlink>
      <w:r>
        <w:rPr>
          <w:rFonts w:ascii="Arial" w:cs="Arial" w:eastAsia="Arial" w:hAnsi="Arial"/>
          <w:sz w:val="18"/>
          <w:szCs w:val="18"/>
          <w:color w:val="auto"/>
        </w:rPr>
        <w:t xml:space="preserve">), April 9, 2021 (filed </w:t>
      </w:r>
      <w:hyperlink r:id="rId75">
        <w:r>
          <w:rPr>
            <w:rFonts w:ascii="Arial" w:cs="Arial" w:eastAsia="Arial" w:hAnsi="Arial"/>
            <w:sz w:val="18"/>
            <w:szCs w:val="18"/>
            <w:u w:val="single" w:color="auto"/>
            <w:color w:val="0000EE"/>
          </w:rPr>
          <w:t>April 15, 2021</w:t>
        </w:r>
      </w:hyperlink>
      <w:r>
        <w:rPr>
          <w:rFonts w:ascii="Arial" w:cs="Arial" w:eastAsia="Arial" w:hAnsi="Arial"/>
          <w:sz w:val="18"/>
          <w:szCs w:val="18"/>
          <w:color w:val="auto"/>
        </w:rPr>
        <w:t xml:space="preserve">) and June 9, 2021 (filed </w:t>
      </w:r>
      <w:hyperlink r:id="rId76">
        <w:r>
          <w:rPr>
            <w:rFonts w:ascii="Arial" w:cs="Arial" w:eastAsia="Arial" w:hAnsi="Arial"/>
            <w:sz w:val="18"/>
            <w:szCs w:val="18"/>
            <w:u w:val="single" w:color="auto"/>
            <w:color w:val="0000EE"/>
          </w:rPr>
          <w:t>June 10, 2021</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3"/>
        </w:numPr>
        <w:rPr>
          <w:rFonts w:ascii="Arial" w:cs="Arial" w:eastAsia="Arial" w:hAnsi="Arial"/>
          <w:sz w:val="18"/>
          <w:szCs w:val="18"/>
          <w:color w:val="0000EE"/>
        </w:rPr>
      </w:pPr>
      <w:hyperlink r:id="rId77">
        <w:r>
          <w:rPr>
            <w:rFonts w:ascii="Arial" w:cs="Arial" w:eastAsia="Arial" w:hAnsi="Arial"/>
            <w:sz w:val="18"/>
            <w:szCs w:val="18"/>
            <w:color w:val="auto"/>
          </w:rPr>
          <w:t xml:space="preserve">our definitive proxy statement on </w:t>
        </w:r>
        <w:r>
          <w:rPr>
            <w:rFonts w:ascii="Arial" w:cs="Arial" w:eastAsia="Arial" w:hAnsi="Arial"/>
            <w:sz w:val="18"/>
            <w:szCs w:val="18"/>
            <w:u w:val="single" w:color="auto"/>
            <w:color w:val="0000EE"/>
          </w:rPr>
          <w:t>Schedule 14A for our annual meeting of shareholders, filed on</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April 30, 2021</w:t>
        </w:r>
        <w:r>
          <w:rPr>
            <w:rFonts w:ascii="Arial" w:cs="Arial" w:eastAsia="Arial" w:hAnsi="Arial"/>
            <w:sz w:val="18"/>
            <w:szCs w:val="18"/>
            <w:color w:val="0000EE"/>
          </w:rPr>
          <w:t xml:space="preserve"> </w:t>
        </w:r>
        <w:r>
          <w:rPr>
            <w:rFonts w:ascii="Arial" w:cs="Arial" w:eastAsia="Arial" w:hAnsi="Arial"/>
            <w:sz w:val="18"/>
            <w:szCs w:val="18"/>
            <w:color w:val="000000"/>
          </w:rPr>
          <w:t>to the extent incorporated by reference in Part III of the Form 10-K.</w:t>
        </w:r>
      </w:hyperlink>
    </w:p>
    <w:p>
      <w:pPr>
        <w:spacing w:after="0" w:line="103" w:lineRule="exact"/>
        <w:rPr>
          <w:rFonts w:ascii="Arial" w:cs="Arial" w:eastAsia="Arial" w:hAnsi="Arial"/>
          <w:sz w:val="18"/>
          <w:szCs w:val="18"/>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We also incorporate by reference each of the documents that we file with the SEC under Sections 13(a), 13(c), 14 or 15(d) of the Securities Exchange Act of 1934 (not including any information “furnished” under Item 2.02, 7.01 or 9.01 of Form 8-K and any other information that is identified as “furnished” rather than “filed”, which information is not incorporated by reference herein) prior to the termination of the offerings under this prospectus and any prospectus supplement.</w:t>
      </w:r>
    </w:p>
    <w:p>
      <w:pPr>
        <w:spacing w:after="0" w:line="120" w:lineRule="exact"/>
        <w:rPr>
          <w:rFonts w:ascii="Arial" w:cs="Arial" w:eastAsia="Arial" w:hAnsi="Arial"/>
          <w:sz w:val="18"/>
          <w:szCs w:val="18"/>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Any statements made in this prospectus or in a document incorporated or deemed to be incorporated by reference in this prospectus will be deemed to be modified or superseded for purposes of this prospectus to the extent that a statement contained in this prospectus, the accompanying prospectus supplement, if applicable, or in any other subsequently filed document that is also incorporated or deemed to be incorporated by reference in this prospectus modifies or supersedes the statement. Any statement so modified or superseded will not be deemed, except as so modified or superseded, to constitute a part of this prospectus.</w:t>
      </w:r>
    </w:p>
    <w:p>
      <w:pPr>
        <w:spacing w:after="0" w:line="114" w:lineRule="exact"/>
        <w:rPr>
          <w:rFonts w:ascii="Arial" w:cs="Arial" w:eastAsia="Arial" w:hAnsi="Arial"/>
          <w:sz w:val="18"/>
          <w:szCs w:val="18"/>
          <w:color w:val="auto"/>
        </w:rPr>
      </w:pPr>
    </w:p>
    <w:p>
      <w:pPr>
        <w:jc w:val="both"/>
        <w:ind w:left="1260" w:right="439" w:firstLine="360"/>
        <w:spacing w:after="0" w:line="259" w:lineRule="auto"/>
        <w:rPr>
          <w:sz w:val="20"/>
          <w:szCs w:val="20"/>
          <w:color w:val="auto"/>
        </w:rPr>
      </w:pPr>
      <w:r>
        <w:rPr>
          <w:rFonts w:ascii="Arial" w:cs="Arial" w:eastAsia="Arial" w:hAnsi="Arial"/>
          <w:sz w:val="18"/>
          <w:szCs w:val="18"/>
          <w:color w:val="auto"/>
        </w:rPr>
        <w:t>Each person, including any beneficial owner, to whom a prospectus is delivered, may obtain a copy of any document that is incorporated by reference in this prospectus from the SEC, through the SEC’s website at the address set forth under “About this Prospectus,” or, without charge, by written or oral request directed to:</w:t>
      </w:r>
    </w:p>
    <w:p>
      <w:pPr>
        <w:spacing w:after="0" w:line="119" w:lineRule="exact"/>
        <w:rPr>
          <w:rFonts w:ascii="Arial" w:cs="Arial" w:eastAsia="Arial" w:hAnsi="Arial"/>
          <w:sz w:val="18"/>
          <w:szCs w:val="18"/>
          <w:color w:val="auto"/>
        </w:rPr>
      </w:pPr>
    </w:p>
    <w:p>
      <w:pPr>
        <w:jc w:val="center"/>
        <w:ind w:right="-800"/>
        <w:spacing w:after="0"/>
        <w:rPr>
          <w:sz w:val="20"/>
          <w:szCs w:val="20"/>
          <w:color w:val="auto"/>
        </w:rPr>
      </w:pPr>
      <w:r>
        <w:rPr>
          <w:rFonts w:ascii="Arial" w:cs="Arial" w:eastAsia="Arial" w:hAnsi="Arial"/>
          <w:sz w:val="18"/>
          <w:szCs w:val="18"/>
          <w:color w:val="auto"/>
        </w:rPr>
        <w:t>LivaNova PLC</w:t>
      </w:r>
    </w:p>
    <w:p>
      <w:pPr>
        <w:spacing w:after="0" w:line="23" w:lineRule="exact"/>
        <w:rPr>
          <w:rFonts w:ascii="Arial" w:cs="Arial" w:eastAsia="Arial" w:hAnsi="Arial"/>
          <w:sz w:val="18"/>
          <w:szCs w:val="18"/>
          <w:color w:val="auto"/>
        </w:rPr>
      </w:pPr>
    </w:p>
    <w:p>
      <w:pPr>
        <w:jc w:val="center"/>
        <w:ind w:right="-860"/>
        <w:spacing w:after="0"/>
        <w:rPr>
          <w:sz w:val="20"/>
          <w:szCs w:val="20"/>
          <w:color w:val="auto"/>
        </w:rPr>
      </w:pPr>
      <w:r>
        <w:rPr>
          <w:rFonts w:ascii="Arial" w:cs="Arial" w:eastAsia="Arial" w:hAnsi="Arial"/>
          <w:sz w:val="18"/>
          <w:szCs w:val="18"/>
          <w:color w:val="auto"/>
        </w:rPr>
        <w:t>Attention: Investor Relations</w:t>
      </w:r>
    </w:p>
    <w:p>
      <w:pPr>
        <w:spacing w:after="0" w:line="90" w:lineRule="exact"/>
        <w:rPr>
          <w:rFonts w:ascii="Arial" w:cs="Arial" w:eastAsia="Arial" w:hAnsi="Arial"/>
          <w:sz w:val="18"/>
          <w:szCs w:val="18"/>
          <w:color w:val="auto"/>
        </w:rPr>
      </w:pPr>
    </w:p>
    <w:p>
      <w:pPr>
        <w:ind w:left="5020"/>
        <w:spacing w:after="0"/>
        <w:rPr>
          <w:sz w:val="20"/>
          <w:szCs w:val="20"/>
          <w:color w:val="auto"/>
        </w:rPr>
      </w:pPr>
      <w:r>
        <w:rPr>
          <w:rFonts w:ascii="Arial" w:cs="Arial" w:eastAsia="Arial" w:hAnsi="Arial"/>
          <w:sz w:val="18"/>
          <w:szCs w:val="18"/>
          <w:color w:val="auto"/>
        </w:rPr>
        <w:t>4</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ind w:left="4500"/>
        <w:spacing w:after="0"/>
        <w:rPr>
          <w:sz w:val="20"/>
          <w:szCs w:val="20"/>
          <w:color w:val="auto"/>
        </w:rPr>
      </w:pPr>
      <w:r>
        <w:rPr>
          <w:rFonts w:ascii="Arial" w:cs="Arial" w:eastAsia="Arial" w:hAnsi="Arial"/>
          <w:sz w:val="18"/>
          <w:szCs w:val="18"/>
          <w:color w:val="auto"/>
        </w:rPr>
        <w:t>20 Eastbourne Terrace</w:t>
      </w:r>
    </w:p>
    <w:p>
      <w:pPr>
        <w:spacing w:after="0" w:line="7" w:lineRule="exact"/>
        <w:rPr>
          <w:rFonts w:ascii="Arial" w:cs="Arial" w:eastAsia="Arial" w:hAnsi="Arial"/>
          <w:sz w:val="18"/>
          <w:szCs w:val="18"/>
          <w:color w:val="auto"/>
        </w:rPr>
      </w:pPr>
    </w:p>
    <w:p>
      <w:pPr>
        <w:ind w:left="4000"/>
        <w:spacing w:after="0"/>
        <w:rPr>
          <w:sz w:val="20"/>
          <w:szCs w:val="20"/>
          <w:color w:val="auto"/>
        </w:rPr>
      </w:pPr>
      <w:r>
        <w:rPr>
          <w:rFonts w:ascii="Arial" w:cs="Arial" w:eastAsia="Arial" w:hAnsi="Arial"/>
          <w:sz w:val="18"/>
          <w:szCs w:val="18"/>
          <w:color w:val="auto"/>
        </w:rPr>
        <w:t>London, United Kingdom, W2 6LG</w:t>
      </w:r>
    </w:p>
    <w:p>
      <w:pPr>
        <w:spacing w:after="0" w:line="9" w:lineRule="exact"/>
        <w:rPr>
          <w:rFonts w:ascii="Arial" w:cs="Arial" w:eastAsia="Arial" w:hAnsi="Arial"/>
          <w:sz w:val="18"/>
          <w:szCs w:val="18"/>
          <w:color w:val="auto"/>
        </w:rPr>
      </w:pPr>
    </w:p>
    <w:p>
      <w:pPr>
        <w:ind w:left="4940" w:hanging="369"/>
        <w:spacing w:after="0"/>
        <w:tabs>
          <w:tab w:leader="none" w:pos="4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(0) 20 325-0660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Arial" w:cs="Arial" w:eastAsia="Arial" w:hAnsi="Arial"/>
          <w:sz w:val="17"/>
          <w:szCs w:val="17"/>
          <w:color w:val="auto"/>
        </w:rPr>
        <w:t>Certain statements made in this prospectus, any prospectus supplement and the documents incorporated by reference herein are “forward-looking statements” within the meaning of the Private Securities Litigation Reform Act of 1995, Section 27A of the Securities Act of 1933, as amended (the “Securities Act”) and Section 21E of the Securities Exchange Act of 1934, as amended (the “Exchange Act”). These statements include, but are not limited to, statements relating to LivaNova’s plans, objectives, strategies, financial performance and outlook, trends,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prospectus, any prospectus supplement or the documents incorporated by reference herein. Such risks, uncertainties and other important factors include, but are not limited to the risks and uncertainties summarized below:</w:t>
      </w:r>
    </w:p>
    <w:p>
      <w:pPr>
        <w:spacing w:after="0" w:line="86"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ordinary share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activist investors causing disruptions to the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1800" w:right="113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75"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62" w:lineRule="exact"/>
        <w:rPr>
          <w:rFonts w:ascii="Arial" w:cs="Arial" w:eastAsia="Arial" w:hAnsi="Arial"/>
          <w:sz w:val="18"/>
          <w:szCs w:val="18"/>
          <w:color w:val="auto"/>
        </w:rPr>
      </w:pPr>
    </w:p>
    <w:p>
      <w:pPr>
        <w:ind w:left="1800" w:right="519" w:hanging="180"/>
        <w:spacing w:after="0" w:line="275"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68" w:lineRule="exact"/>
        <w:rPr>
          <w:rFonts w:ascii="Arial" w:cs="Arial" w:eastAsia="Arial" w:hAnsi="Arial"/>
          <w:sz w:val="17"/>
          <w:szCs w:val="17"/>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obtain or maintain coverage and reimbursement for our products’ approved indications;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intellectual property, shareholder-related, environmental-related, income tax and other litigation, disputes, losses and costs;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3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48"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0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of new acquisitions to further our strategic objectives or strengthen our existing businesses;</w:t>
      </w:r>
    </w:p>
    <w:p>
      <w:pPr>
        <w:spacing w:after="0" w:line="115" w:lineRule="exact"/>
        <w:rPr>
          <w:rFonts w:ascii="Arial" w:cs="Arial" w:eastAsia="Arial" w:hAnsi="Arial"/>
          <w:sz w:val="17"/>
          <w:szCs w:val="17"/>
          <w:color w:val="auto"/>
        </w:rPr>
      </w:pPr>
    </w:p>
    <w:p>
      <w:pPr>
        <w:ind w:left="1800" w:right="75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 including any amount of liability or damages imposed by the Appeals Court or the Supreme Court of Italy with respect to SNIA S.p.A;</w:t>
      </w:r>
    </w:p>
    <w:p>
      <w:pPr>
        <w:spacing w:after="0" w:line="75"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rules that adversely affect the characterization of our consolidated financial position, results of operations or cash flows;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03" w:lineRule="exact"/>
        <w:rPr>
          <w:rFonts w:ascii="Arial" w:cs="Arial" w:eastAsia="Arial" w:hAnsi="Arial"/>
          <w:sz w:val="18"/>
          <w:szCs w:val="18"/>
          <w:color w:val="auto"/>
        </w:rPr>
      </w:pPr>
    </w:p>
    <w:p>
      <w:pPr>
        <w:jc w:val="both"/>
        <w:ind w:left="1800" w:right="71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UK’s withdrawal from the European Union (“Brexit”) and/or changes to existing trade agreements and relationships between the U.S. and other countries;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risks relating to the outbreak and spread of the COVID-19 pandemic around the world;</w:t>
      </w:r>
    </w:p>
    <w:p>
      <w:pPr>
        <w:spacing w:after="0" w:line="103"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44" w:lineRule="exact"/>
        <w:rPr>
          <w:sz w:val="20"/>
          <w:szCs w:val="20"/>
          <w:color w:val="auto"/>
        </w:rPr>
      </w:pPr>
    </w:p>
    <w:p>
      <w:pPr>
        <w:jc w:val="both"/>
        <w:ind w:left="1260" w:right="479" w:firstLine="360"/>
        <w:spacing w:after="0" w:line="270" w:lineRule="auto"/>
        <w:rPr>
          <w:sz w:val="20"/>
          <w:szCs w:val="20"/>
          <w:color w:val="auto"/>
        </w:rPr>
      </w:pPr>
      <w:r>
        <w:rPr>
          <w:rFonts w:ascii="Arial" w:cs="Arial" w:eastAsia="Arial" w:hAnsi="Arial"/>
          <w:sz w:val="17"/>
          <w:szCs w:val="17"/>
          <w:color w:val="auto"/>
        </w:rPr>
        <w:t>Other factors that could cause our actual results to differ from our projected results are described in the “Risk Factors” section of our Annual Reports on Form 10 -K, our Quarterly Reports on Form 10 -Q and any supplement to this prospectus as well as other documents that we have filed or will file with the SEC.</w:t>
      </w:r>
    </w:p>
    <w:p>
      <w:pPr>
        <w:spacing w:after="0" w:line="96" w:lineRule="exact"/>
        <w:rPr>
          <w:sz w:val="20"/>
          <w:szCs w:val="20"/>
          <w:color w:val="auto"/>
        </w:rPr>
      </w:pPr>
    </w:p>
    <w:p>
      <w:pPr>
        <w:ind w:left="1260" w:right="419" w:firstLine="360"/>
        <w:spacing w:after="0" w:line="237" w:lineRule="auto"/>
        <w:rPr>
          <w:sz w:val="20"/>
          <w:szCs w:val="20"/>
          <w:color w:val="auto"/>
        </w:rPr>
      </w:pPr>
      <w:r>
        <w:rPr>
          <w:rFonts w:ascii="Arial" w:cs="Arial" w:eastAsia="Arial" w:hAnsi="Arial"/>
          <w:sz w:val="18"/>
          <w:szCs w:val="18"/>
          <w:color w:val="auto"/>
        </w:rPr>
        <w:t>The afore-referenced risks and uncertainties are not necessarily all the important factors that could cause our actual financial results, performance, achievements or prospects to differ materially from those expressed in or implied by any of our forward-looking statements. Other unknown or unpredictable factors also could harm our results. All forward-looking statements attributable to us or persons acting on our behalf are expressly qualified in their entirety by the cautionary statements set forth above. Forward-looking statements speak only as of the date they are made, and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laws. If we update one or more forward-looking statements, no inference should be drawn that we will make additional updates with respect to those or other forward-looking statements.</w:t>
      </w:r>
    </w:p>
    <w:p>
      <w:pPr>
        <w:spacing w:after="0" w:line="12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color w:val="auto"/>
        </w:rPr>
        <w:t>You should carefully consider the risks specified under the caption “Risk Factors” in any prospectus supplement and the documents incorporated by reference and in subsequent public statements or reports we file with the SEC, before making any investment decision with respect to our securities. If any of these trends, risks or uncertainties actually occurs or continues, our business, financial condition or results of operations could be materially adversely affected, the trading price of our securities could decline and you could lose all or part of your investment. All forward -looking statements attributable to us or persons acting on our behalf are expressly qualified in their entirety by this cautionary statement.</w:t>
      </w:r>
    </w:p>
    <w:p>
      <w:pPr>
        <w:sectPr>
          <w:pgSz w:w="11900" w:h="16838" w:orient="portrait"/>
          <w:cols w:equalWidth="0" w:num="1">
            <w:col w:w="9879"/>
          </w:cols>
          <w:pgMar w:left="580" w:top="132" w:right="1440" w:bottom="1440" w:gutter="0" w:footer="0" w:header="0"/>
        </w:sectPr>
      </w:pPr>
    </w:p>
    <w:p>
      <w:pPr>
        <w:spacing w:after="0" w:line="355"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303530</wp:posOffset>
            </wp:positionV>
            <wp:extent cx="5516245" cy="79590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or incorporated by reference in this prospectus. The summary does not contain all the information that you should consider before investing in our securities. You should read the entire prospectus carefully, including “Risk Factors” contained in any supplement to this prospectus and the documents incorporated by reference herein, before making an investment decision.</w:t>
      </w:r>
    </w:p>
    <w:p>
      <w:pPr>
        <w:spacing w:after="0" w:line="120" w:lineRule="exact"/>
        <w:rPr>
          <w:sz w:val="20"/>
          <w:szCs w:val="20"/>
          <w:color w:val="auto"/>
        </w:rPr>
      </w:pPr>
    </w:p>
    <w:p>
      <w:pPr>
        <w:ind w:left="1280" w:right="459" w:firstLine="360"/>
        <w:spacing w:after="0" w:line="254" w:lineRule="auto"/>
        <w:rPr>
          <w:sz w:val="20"/>
          <w:szCs w:val="20"/>
          <w:color w:val="auto"/>
        </w:rPr>
      </w:pPr>
      <w:r>
        <w:rPr>
          <w:rFonts w:ascii="Arial" w:cs="Arial" w:eastAsia="Arial" w:hAnsi="Arial"/>
          <w:sz w:val="18"/>
          <w:szCs w:val="18"/>
          <w:color w:val="auto"/>
        </w:rPr>
        <w:t>LivaNova PLC (together with its subsidiaries “us”, “we”, “our”, “LivaNova” or the “Company”) is a global medical device company focused on the development and delivery of important therapeutic solutions for the benefit of patients, healthcare professionals and healthcare systems throughout the world. Working closely with a global team of medical professionals in the fields of cardiovascular disease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14"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We were organized under the laws of England and Wales on February 20, 2015 for the purpose of</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facilitating the business combination of Cyberonics, Inc., a Delaware corporation, and Sorin S.p.A., a joint</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stock company organized under the laws of Italy. The business combination became effective in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October 2015. LivaNova’s ordinary shares are listed for trading on the NASDAQ Global Market under the</w:t>
      </w:r>
    </w:p>
    <w:p>
      <w:pPr>
        <w:spacing w:after="0" w:line="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symbol “LIVN.”</w:t>
      </w:r>
    </w:p>
    <w:p>
      <w:pPr>
        <w:spacing w:after="0" w:line="143"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LivaNova is comprised of two principal business franchises, which are also our reportable segments:</w:t>
      </w:r>
    </w:p>
    <w:p>
      <w:pPr>
        <w:spacing w:after="0" w:line="3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Cardiovascular and Neuromodulation, corresponding to our primary therapeutic areas.</w:t>
      </w:r>
    </w:p>
    <w:p>
      <w:pPr>
        <w:spacing w:after="0" w:line="143" w:lineRule="exact"/>
        <w:rPr>
          <w:sz w:val="20"/>
          <w:szCs w:val="20"/>
          <w:color w:val="auto"/>
        </w:rPr>
      </w:pPr>
    </w:p>
    <w:p>
      <w:pPr>
        <w:ind w:left="1280" w:right="599" w:firstLine="360"/>
        <w:spacing w:after="0" w:line="257" w:lineRule="auto"/>
        <w:rPr>
          <w:sz w:val="20"/>
          <w:szCs w:val="20"/>
          <w:color w:val="auto"/>
        </w:rPr>
      </w:pPr>
      <w:r>
        <w:rPr>
          <w:rFonts w:ascii="Arial" w:cs="Arial" w:eastAsia="Arial" w:hAnsi="Arial"/>
          <w:sz w:val="18"/>
          <w:szCs w:val="18"/>
          <w:color w:val="auto"/>
        </w:rPr>
        <w:t>Our Cardiovascular business franchise is engaged in the development, production and sale of cardiopulmonary products, and advanced circulatory support products. Cardiopulmonary products include oxygenators, heart-lung machines, autotransfusion systems, perfusion tubing systems, cannulae and other related accessories. Advanced circulatory support includes temporary life support product kits that can include a combination of pumps, oxygenators and cannulae.</w:t>
      </w:r>
    </w:p>
    <w:p>
      <w:pPr>
        <w:spacing w:after="0" w:line="107" w:lineRule="exact"/>
        <w:rPr>
          <w:sz w:val="20"/>
          <w:szCs w:val="20"/>
          <w:color w:val="auto"/>
        </w:rPr>
      </w:pPr>
    </w:p>
    <w:p>
      <w:pPr>
        <w:ind w:left="1280" w:right="499" w:firstLine="360"/>
        <w:spacing w:after="0" w:line="268" w:lineRule="auto"/>
        <w:rPr>
          <w:sz w:val="20"/>
          <w:szCs w:val="20"/>
          <w:color w:val="auto"/>
        </w:rPr>
      </w:pPr>
      <w:r>
        <w:rPr>
          <w:rFonts w:ascii="Arial" w:cs="Arial" w:eastAsia="Arial" w:hAnsi="Arial"/>
          <w:sz w:val="17"/>
          <w:szCs w:val="17"/>
          <w:color w:val="auto"/>
        </w:rPr>
        <w:t>Our Neuromodulation business franchise designs, develops and markets neuromodulation-based medical devices for the treatment of epilepsy, depression and obstructive sleep apnea. We are also developing and conducting clinical testing of the VITARIA System for treating heart failure through vagus nerve stimulation (“VNS”). Our seminal Neuromodulation product, the LivaNova Vagus Nerve Stimulation Therapy (“VNS Therapy”) System, is an implantable device authorized for the treatment of drug-resistant epilepsy and difficult-to-treat depression (“DTD”). The VNS Therapy System consists of an implantable pulse generator and connective lead that stimulate the vagus nerve; surgical equipment to assist with the implant procedure; equipment and instruction manuals enabling a treating physician to set parameters for a patient’s pulse generator; and for epilepsy, magnets to manually suspend or induce nerve stimulation. The pulse generator and lead are surgically implanted in a subcutaneous pocket in the upper left chest area, generally during an out-patient procedure; the lead, which does not need to be removed to replace a generator with a depleted battery, is connected to the pulse generator and tunneled under the skin to the vagus nerve in the lower left side of the patient’s neck.</w:t>
      </w:r>
    </w:p>
    <w:p>
      <w:pPr>
        <w:spacing w:after="0" w:line="119" w:lineRule="exact"/>
        <w:rPr>
          <w:sz w:val="20"/>
          <w:szCs w:val="20"/>
          <w:color w:val="auto"/>
        </w:rPr>
      </w:pPr>
    </w:p>
    <w:p>
      <w:pPr>
        <w:ind w:left="1280" w:right="459" w:firstLine="360"/>
        <w:spacing w:after="0" w:line="308" w:lineRule="auto"/>
        <w:rPr>
          <w:sz w:val="20"/>
          <w:szCs w:val="20"/>
          <w:color w:val="auto"/>
        </w:rPr>
      </w:pPr>
      <w:r>
        <w:rPr>
          <w:rFonts w:ascii="Arial" w:cs="Arial" w:eastAsia="Arial" w:hAnsi="Arial"/>
          <w:sz w:val="17"/>
          <w:szCs w:val="17"/>
          <w:color w:val="auto"/>
        </w:rPr>
        <w:t>Additional information about us is included in the documents incorporated by reference in this prospectus. See “Where You Can Find More Information” and “Incorporation of Documents by Reference.”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Investing in our securities involves a high degree of risk. Before making an investment decision, you should carefully consider all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which may be amended, supplemented or superseded from time to time by the other reports we file with the SEC in the future or by information in the applicable prospectus supplement. See “Where You Can Find More Information”. The risks and uncertainties we have described are not the only risks we face. Additional risks and uncertainties not presently known to us or that we currently deem immaterial may also affect our operations and financial condition. If any of these risks actually occurs, our business, results of operations and financial condition could be materially and adversely affected, which could cause the trading price of our securities to decline, and you could lose all or a part of your investment in our securities.</w:t>
      </w:r>
    </w:p>
    <w:p>
      <w:pPr>
        <w:spacing w:after="0" w:line="19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the applicable prospectus supplement indicates otherwise, we intend to use net proceeds from the sale of the securities offered hereby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OUR ORDINARY SHARES</w:t>
      </w:r>
    </w:p>
    <w:p>
      <w:pPr>
        <w:spacing w:after="0" w:line="148" w:lineRule="exact"/>
        <w:rPr>
          <w:sz w:val="20"/>
          <w:szCs w:val="20"/>
          <w:color w:val="auto"/>
        </w:rPr>
      </w:pPr>
    </w:p>
    <w:p>
      <w:pPr>
        <w:ind w:left="1260" w:right="579" w:firstLine="360"/>
        <w:spacing w:after="0"/>
        <w:rPr>
          <w:sz w:val="20"/>
          <w:szCs w:val="20"/>
          <w:color w:val="auto"/>
        </w:rPr>
      </w:pPr>
      <w:r>
        <w:rPr>
          <w:rFonts w:ascii="Arial" w:cs="Arial" w:eastAsia="Arial" w:hAnsi="Arial"/>
          <w:sz w:val="18"/>
          <w:szCs w:val="18"/>
          <w:color w:val="auto"/>
        </w:rPr>
        <w:t>The following is a description of our share capital and a summary of the material terms of our articles of association (the “Articles”) . This summary does not purport to give a complete overview and may not contain all of the information that is important to you. To understand them fully, you should read our articles of association, a copy of which is filed with the SEC as an exhibit to the registration statement of which this prospectus is a part, and the applicable provisions of the U.K. Companies Act 2006 (the “Companies Act”) as in force from time to time.</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19" w:firstLine="360"/>
        <w:spacing w:after="0" w:line="324" w:lineRule="auto"/>
        <w:rPr>
          <w:sz w:val="20"/>
          <w:szCs w:val="20"/>
          <w:color w:val="auto"/>
        </w:rPr>
      </w:pPr>
      <w:r>
        <w:rPr>
          <w:rFonts w:ascii="Arial" w:cs="Arial" w:eastAsia="Arial" w:hAnsi="Arial"/>
          <w:sz w:val="16"/>
          <w:szCs w:val="16"/>
          <w:color w:val="auto"/>
        </w:rPr>
        <w:t>Under English law, persons who are neither residents nor nationals of the U.K. may freely hold, vote and transfer the ordinary shares in the same manner and under the same terms as U.K. residents or nationals.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Share Capital</w:t>
      </w:r>
    </w:p>
    <w:p>
      <w:pPr>
        <w:spacing w:after="0" w:line="162"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As of June 30, 2021, there were 49,522,582 total ordinary shares issued, each with a nominal or par value of £1.00 each (the “ordinary shares”) and 49,983,280 total ordinary shares outstanding.</w:t>
      </w:r>
    </w:p>
    <w:p>
      <w:pPr>
        <w:spacing w:after="0" w:line="14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Distributions</w:t>
      </w:r>
    </w:p>
    <w:p>
      <w:pPr>
        <w:spacing w:after="0" w:line="148"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Under English law, the Company may only pay dividends out of profits that are available for that purpose. The Company’s profits available for distribution are (in basic terms) its accumulated, realized profits, so far as not previously utilized by distribution or capitalization, less its accumulated, realized losses, so far as not previously reduced or extinguished in a reduction or reorganization of capital duly made. The amount of the Company’s distributable reserves is a cumulative calculation. The Company may be profitable in a single financial year but unable to pay a dividend if the profits of that year do not offset all previous years’ accumulated, realized losses.</w:t>
      </w:r>
    </w:p>
    <w:p>
      <w:pPr>
        <w:spacing w:after="0" w:line="123"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Additionally, the Company may only make a distribution if the amount of its net assets is not less than the aggregate of its called-up share capital and undistributable reserves, and if, and to the extent that, the distribution does not reduce the amount of those assets to less than that aggregate.</w:t>
      </w:r>
    </w:p>
    <w:p>
      <w:pPr>
        <w:spacing w:after="0" w:line="11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The Articles permit the Company shareholders, by ordinary resolution (a resolution passed by a simple majority of those shareholders present in person or by proxy and voting in respect of the relevant resolution), to declare dividends but no dividend shall exceed the amount recommended by the directors.</w:t>
      </w:r>
    </w:p>
    <w:p>
      <w:pPr>
        <w:spacing w:after="0" w:line="83"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In addition, the directors may decide to pay interim dividends. The entitlement to a dividend lapses if unclaimed by a shareholder for 12 years from the date when it became due for payment.</w:t>
      </w:r>
    </w:p>
    <w:p>
      <w:pPr>
        <w:spacing w:after="0" w:line="103"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Articles also permit a scrip dividend scheme under which the directors of the Company may offer any holders of ordinary shares the right to receive shares, credited as fully paid, instead of cash in respect of all or any dividend subject to certain terms and conditions set out in the Articles.</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162"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shareholders in general meeting must vote by poll. On a poll taken at a general meeting, each qualifying Company shareholder present in person or by proxy and entitled to vote on the resolution has one vote for every ordinary share held by such shareholder.</w:t>
      </w:r>
    </w:p>
    <w:p>
      <w:pPr>
        <w:spacing w:after="0" w:line="101"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In the case of joint holders, the vote of the senior holder who tenders a vote shall be accepted to the exclusion of the votes of the other joint holders. The necessary quorum for a general meeting is shareholders who together represent at least a majority of the voting rights of all Company shareholders entitled to vote at the meeting, present in person or by proxy, save that if the Company has only one shareholder entitled to attend and vote at the general meeting, one qualifying Company shareholder present at the meeting and entitled to vote is a quorum.</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 to the Articles</w:t>
      </w:r>
    </w:p>
    <w:p>
      <w:pPr>
        <w:spacing w:after="0" w:line="162" w:lineRule="exact"/>
        <w:rPr>
          <w:sz w:val="20"/>
          <w:szCs w:val="20"/>
          <w:color w:val="auto"/>
        </w:rPr>
      </w:pPr>
    </w:p>
    <w:p>
      <w:pPr>
        <w:ind w:left="1260" w:right="579" w:firstLine="360"/>
        <w:spacing w:after="0" w:line="324" w:lineRule="auto"/>
        <w:rPr>
          <w:sz w:val="20"/>
          <w:szCs w:val="20"/>
          <w:color w:val="auto"/>
        </w:rPr>
      </w:pPr>
      <w:r>
        <w:rPr>
          <w:rFonts w:ascii="Arial" w:cs="Arial" w:eastAsia="Arial" w:hAnsi="Arial"/>
          <w:sz w:val="16"/>
          <w:szCs w:val="16"/>
          <w:color w:val="auto"/>
        </w:rPr>
        <w:t>Under the Companies Act, the shareholders may amend the articles of association of the Company by special resolution (a resolution passed by the holders of at least 75% of those shares voted either in person</w:t>
      </w:r>
    </w:p>
    <w:p>
      <w:pPr>
        <w:sectPr>
          <w:pgSz w:w="11900" w:h="16838" w:orient="portrait"/>
          <w:cols w:equalWidth="0" w:num="1">
            <w:col w:w="9879"/>
          </w:cols>
          <w:pgMar w:left="580" w:top="132" w:right="1440" w:bottom="1440" w:gutter="0" w:footer="0" w:header="0"/>
        </w:sectPr>
      </w:pPr>
    </w:p>
    <w:p>
      <w:pPr>
        <w:spacing w:after="0" w:line="30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59"/>
        <w:spacing w:after="0" w:line="263" w:lineRule="auto"/>
        <w:rPr>
          <w:sz w:val="20"/>
          <w:szCs w:val="20"/>
          <w:color w:val="auto"/>
        </w:rPr>
      </w:pPr>
      <w:r>
        <w:rPr>
          <w:rFonts w:ascii="Arial" w:cs="Arial" w:eastAsia="Arial" w:hAnsi="Arial"/>
          <w:sz w:val="18"/>
          <w:szCs w:val="18"/>
          <w:color w:val="auto"/>
        </w:rPr>
        <w:t>or by proxy on the relevant resolution) at a general meeting. The notice of the general meeting at which a special resolution is proposed shall be required to specify the intention to propose any resolutions at the meeting as special resolutions.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Rights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rights attaching to the ordinary shares may be modified with the written consent of the holders of</w:t>
      </w:r>
    </w:p>
    <w:p>
      <w:pPr>
        <w:spacing w:after="0" w:line="35" w:lineRule="exact"/>
        <w:rPr>
          <w:sz w:val="20"/>
          <w:szCs w:val="20"/>
          <w:color w:val="auto"/>
        </w:rPr>
      </w:pPr>
    </w:p>
    <w:p>
      <w:pPr>
        <w:ind w:left="1260" w:right="879"/>
        <w:spacing w:after="0" w:line="323" w:lineRule="auto"/>
        <w:rPr>
          <w:sz w:val="20"/>
          <w:szCs w:val="20"/>
          <w:color w:val="auto"/>
        </w:rPr>
      </w:pPr>
      <w:r>
        <w:rPr>
          <w:rFonts w:ascii="Arial" w:cs="Arial" w:eastAsia="Arial" w:hAnsi="Arial"/>
          <w:sz w:val="16"/>
          <w:szCs w:val="16"/>
          <w:color w:val="auto"/>
        </w:rPr>
        <w:t>75% in nominal value of the issued ordinary shares (excluding any shares of that class held as treasury shares), or by a special resolution of the holders of the issued ordinary shares, but not otherwise.</w:t>
      </w:r>
    </w:p>
    <w:p>
      <w:pPr>
        <w:spacing w:after="0" w:line="13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Meetings and Notices</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An annual general meeting must be called by not less than 21 clear days’ notice (i.e., excluding the date of receipt or deemed receipt of the notice and the date of the meeting itself). All other general meetings must be called by not less than 14 clear days’ notice. General meetings that are not annual general meetings may be called by shorter notice if agreed to by a majority in number of the Company shareholders having the right to attend and vote at the meeting, being a majority who together hold not less than 95% in nominal or par value of the ordinary shares given that right. At least seven clear days’ notice is required for any adjourned meeting, and such meeting must be held not less than 14 days but not more than 28 days after adjournment at such time and place specified for the purpose in the notice calling the meeting or as decided by the chairman of the meeting.</w:t>
      </w:r>
    </w:p>
    <w:p>
      <w:pPr>
        <w:spacing w:after="0" w:line="12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Subject to the Companies Act, notices of general meetings shall be given to every holder of ordinary shares as of the record date for the relevant meeting. Beneficial owners nominated to enjoy information rights under the Companies Act and the Company’s auditors are also entitled to receive notices of, and other communications relating to, general meetings. Under the Companies Act, the Company is required to hold an annual general meeting of its shareholders within six months from the day following the end of its fiscal year. Subject to the foregoing, a general meeting may be held at a time and place determined by the Company’s board.</w:t>
      </w:r>
    </w:p>
    <w:p>
      <w:pPr>
        <w:spacing w:after="0" w:line="114"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Under the Companies Act, the Company must convene such a meeting once it has received requests to do so from Company shareholders representing at least 5% of the paid up share capital of the Company carrying voting rights at general meetings (excluding any paid-up capital held as treasury shares).</w:t>
      </w:r>
    </w:p>
    <w:p>
      <w:pPr>
        <w:spacing w:after="0" w:line="9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Under the Articles, a general meeting may also be called if the company has fewer than two directors and the director (if any) is unable or unwilling to appoint sufficient directors to make up a quorum or to call a general meeting to do so. In such case, two or more Company shareholders may call a general meeting for the purpose of appointing one or more directors.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Disclosure of Interests in Ordinary Shares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Under the Companies Act, the Company may serve a notice requiring a person it knows, or has reasonable cause to believe, has an interest in any ordinary shares (or to have had an interest in the previous three years) to confirm or deny the fact, and, if the former, to disclose certain information about the interest, including information about any other person with an interest in the ordinary shares. If a shareholder fails to comply with such a notice within such reasonable period of time as may be set out in the notice, the shareholder shall not be entitled to attend or vote either personally or by proxy at a general meeting, and, where the shares to which such failure to comply represent at least 0.25 percent in nominal value of the issued shares of their class, in respect of such shares, no dividends shall be paid, and no transfers of such shares shall be registered save in certain circumstances.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Return of Capital and Winding Up</w:t>
      </w:r>
    </w:p>
    <w:p>
      <w:pPr>
        <w:spacing w:after="0" w:line="148" w:lineRule="exact"/>
        <w:rPr>
          <w:sz w:val="20"/>
          <w:szCs w:val="20"/>
          <w:color w:val="auto"/>
        </w:rPr>
      </w:pPr>
    </w:p>
    <w:p>
      <w:pPr>
        <w:ind w:left="1260" w:right="539" w:firstLine="360"/>
        <w:spacing w:after="0" w:line="301" w:lineRule="auto"/>
        <w:rPr>
          <w:sz w:val="20"/>
          <w:szCs w:val="20"/>
          <w:color w:val="auto"/>
        </w:rPr>
      </w:pPr>
      <w:r>
        <w:rPr>
          <w:rFonts w:ascii="Arial" w:cs="Arial" w:eastAsia="Arial" w:hAnsi="Arial"/>
          <w:sz w:val="16"/>
          <w:szCs w:val="16"/>
          <w:color w:val="auto"/>
        </w:rPr>
        <w:t>On a return of capital on a liquidation, reduction of capital or otherwise, the surplus assets of the Company available for distribution among the holders of the ordinary shares shall be applied in the same order of priority as applies in respect of dividends (i.e. on a pro rata basis based on the number of ordinary shares held by each holder, with all ordinary shares ranking equally amongst themselves for such purpose).</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7"/>
          <w:szCs w:val="17"/>
          <w:color w:val="auto"/>
        </w:rPr>
        <w:t>In the event of a voluntary winding up of the Company, the liquidator may, with the sanction of a special resolution of the Company and any other sanction required by law, subject to the Companies Act, divide among the Company shareholders the whole or any part of the assets of the Company, whether they consist of property of the same kind or not, and the liquidator may, for that purpose, value any assets as they deem fair and determine how the division shall be carried out as between the shareholders or different classes of shareholders, and may vest the whole or any part of the assets in trustees upon such trusts for the benefit of the Company shareholders as he, with the like sanction, may determine. No Company shareholder shall be compelled to accept any assets upon which there is a liability.</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Authority to Allot New Shares and Pre-Emption Rights</w:t>
      </w:r>
    </w:p>
    <w:p>
      <w:pPr>
        <w:spacing w:after="0" w:line="148" w:lineRule="exact"/>
        <w:rPr>
          <w:sz w:val="20"/>
          <w:szCs w:val="20"/>
          <w:color w:val="auto"/>
        </w:rPr>
      </w:pPr>
    </w:p>
    <w:p>
      <w:pPr>
        <w:ind w:left="1260" w:right="459" w:firstLine="360"/>
        <w:spacing w:after="0" w:line="262" w:lineRule="auto"/>
        <w:rPr>
          <w:sz w:val="20"/>
          <w:szCs w:val="20"/>
          <w:color w:val="auto"/>
        </w:rPr>
      </w:pPr>
      <w:r>
        <w:rPr>
          <w:rFonts w:ascii="Arial" w:cs="Arial" w:eastAsia="Arial" w:hAnsi="Arial"/>
          <w:sz w:val="17"/>
          <w:szCs w:val="17"/>
          <w:color w:val="auto"/>
        </w:rPr>
        <w:t>Under the Companies Act, the Board may only allot shares in the Company or grant rights to subscribe for or to convert any security into shares in the Company if it is authorized to do so by the Articles or by ordinary shareholder resolution. There are certain exceptions under the Companies Act, including for shares allotted pursuant to an employees’ share scheme (as such term is defined in the Companies Act).</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At the annual general meeting of shareholders held on June 9, 2021 (the “2021 AGM”), the Company’s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shareholders passed an ordinary resolution granting the Board authority to allot new shares and to grant</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rights to subscribe for, or to convert any security into, shares, up to an aggregate nominal value of</w:t>
      </w:r>
    </w:p>
    <w:p>
      <w:pPr>
        <w:ind w:left="1260"/>
        <w:spacing w:after="0"/>
        <w:rPr>
          <w:sz w:val="20"/>
          <w:szCs w:val="20"/>
          <w:color w:val="auto"/>
        </w:rPr>
      </w:pPr>
      <w:r>
        <w:rPr>
          <w:rFonts w:ascii="Arial" w:cs="Arial" w:eastAsia="Arial" w:hAnsi="Arial"/>
          <w:sz w:val="17"/>
          <w:szCs w:val="17"/>
          <w:color w:val="auto"/>
        </w:rPr>
        <w:t>£16,122,679, which is equivalent to approximately 33% of the Company’s total issued ordinary share capital</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(excluding treasury shares) as at April 22, 2021. This authority (unless previously revoked, varied or</w:t>
      </w:r>
    </w:p>
    <w:p>
      <w:pPr>
        <w:ind w:left="1260"/>
        <w:spacing w:after="0"/>
        <w:rPr>
          <w:sz w:val="20"/>
          <w:szCs w:val="20"/>
          <w:color w:val="auto"/>
        </w:rPr>
      </w:pPr>
      <w:r>
        <w:rPr>
          <w:rFonts w:ascii="Arial" w:cs="Arial" w:eastAsia="Arial" w:hAnsi="Arial"/>
          <w:sz w:val="17"/>
          <w:szCs w:val="17"/>
          <w:color w:val="auto"/>
        </w:rPr>
        <w:t>renewed by the Company) will expire at the end of the next annual general meeting of the Company or, if</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earlier, the close of business on the date that is fifteen (15) months after the 2021 AGM, save that the</w:t>
      </w:r>
    </w:p>
    <w:p>
      <w:pPr>
        <w:ind w:left="1260"/>
        <w:spacing w:after="0"/>
        <w:rPr>
          <w:sz w:val="20"/>
          <w:szCs w:val="20"/>
          <w:color w:val="auto"/>
        </w:rPr>
      </w:pPr>
      <w:r>
        <w:rPr>
          <w:rFonts w:ascii="Arial" w:cs="Arial" w:eastAsia="Arial" w:hAnsi="Arial"/>
          <w:sz w:val="17"/>
          <w:szCs w:val="17"/>
          <w:color w:val="auto"/>
        </w:rPr>
        <w:t>directors may, before this authority expires, make offers or agreements which would or might require shares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in the Company to be allotted, or rights to subscribe for, or convert securities into, shares to be granted,</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after its expiry and the directors may allot shares or grant rights to subscribe for, or convert securities into,</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shares pursuant to such offers or agreements as if this authority had not expired.</w:t>
      </w:r>
    </w:p>
    <w:p>
      <w:pPr>
        <w:spacing w:after="0" w:line="12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7"/>
          <w:szCs w:val="17"/>
          <w:color w:val="auto"/>
        </w:rPr>
        <w:t>Under the Companies Act, the allotment of equity securities that are to be paid for wholly in cash must be offered first to the existing holders of equity securities in proportion to the respective nominal amounts (i.e., par values) of their holdings on the same or more favorable terms, unless a special resolution to the contrary has been passed or the Articles otherwise provide an exclusion of these pre-emption rights. In this context, equity securities generally means shares other than shares which, with respect to dividends or capital, carry a right to participate only up to a specified amount in a distribution, which, in relation to the Company, will include the ordinary shares, and all rights to subscribe for or convert securities into such ordinary shares. There are certain exceptions under the Companies Act, including for equity securities allotted pursuant to an employees’ share scheme (as such term is defined in the Companies Act) and for equity securities wholly or partly paid up otherwise than in cash.</w:t>
      </w:r>
    </w:p>
    <w:p>
      <w:pPr>
        <w:spacing w:after="0" w:line="99"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7"/>
          <w:szCs w:val="17"/>
          <w:color w:val="auto"/>
        </w:rPr>
        <w:t>At the 2021 AGM, the Company’s shareholders passed a special resolution to give the Board the power to allot new equity securities for cash or to sell treasury shares held by the Company for cash, in each case without first offering them to shareholders in proportion to their existing holdings up to an aggregate nominal amount of: (a) £2,442,830 for any purpose; and (b) an additional £2,442,830 only for the purposes of financing an acquisition or other capital investment. The amounts set out under (a) and (b) are each equal to approximately 5% (and together equal to approximately 10%) of the Company’s issued ordinary share capital (excluding treasury shares) as at April 22, 2021. This power (unless previously revoked, varied or renewed by the Company) will expire at the end of the next annual general meeting of the Company or, if earlier, the close of business on the date that is fifteen (15) months after the 2021 AGM, save that the directors may, before this power expires, make offers or agreements which would or might require equity securities to be allotted and/or treasury shares to be sold after its expiry and the directors may allot equity securities and/or sell treasury shares pursuant to such offers or agreement as if this power had not expired.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Alteration of Share Capital/Repurchase of Ordinary Shares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Subject to the Companies Act, and without prejudice to any relevant special rights attached to any class of shares, the Company may, from time to time, among other things:</w:t>
      </w:r>
    </w:p>
    <w:p>
      <w:pPr>
        <w:spacing w:after="0" w:line="49" w:lineRule="exact"/>
        <w:rPr>
          <w:sz w:val="20"/>
          <w:szCs w:val="20"/>
          <w:color w:val="auto"/>
        </w:rPr>
      </w:pPr>
    </w:p>
    <w:p>
      <w:pPr>
        <w:ind w:left="1800" w:right="49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 its share capital by allotting and issuing new shares in accordance with the Articles and any relevant shareholder resolution (see “Authority to Allot New Shares and Pre-Emption Rights” above);</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63"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 all or any of its share capital into shares of a larger nominal amount (i.e., par value) than the existing shares, subject to this being approved by its shareholders by means of an ordinary resolution;</w:t>
      </w:r>
    </w:p>
    <w:p>
      <w:pPr>
        <w:spacing w:after="0" w:line="75" w:lineRule="exact"/>
        <w:rPr>
          <w:rFonts w:ascii="Arial" w:cs="Arial" w:eastAsia="Arial" w:hAnsi="Arial"/>
          <w:sz w:val="18"/>
          <w:szCs w:val="18"/>
          <w:color w:val="auto"/>
        </w:rPr>
      </w:pPr>
    </w:p>
    <w:p>
      <w:pPr>
        <w:ind w:left="1800" w:right="539" w:hanging="180"/>
        <w:spacing w:after="0" w:line="30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subdivide any of its shares into shares of a smaller nominal amount (i.e., par value) than its existing shares, subject to this being approved by its shareholders by means of an ordinary resolution; or</w:t>
      </w:r>
    </w:p>
    <w:p>
      <w:pPr>
        <w:spacing w:after="0" w:line="38"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redenominate its share capital or any class of share capital, subject to this being approved by its shareholders by means of an ordinary resolution.</w:t>
      </w:r>
    </w:p>
    <w:p>
      <w:pPr>
        <w:spacing w:after="0" w:line="8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Companies Act prohibits the Company from purchasing its own shares unless the terms of the contract pursuant to which the purchase(s) are to be made have been approved by its shareholders by means of an ordinary resolution.</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of Ordinary Shares</w:t>
      </w:r>
    </w:p>
    <w:p>
      <w:pPr>
        <w:spacing w:after="0" w:line="162" w:lineRule="exact"/>
        <w:rPr>
          <w:sz w:val="20"/>
          <w:szCs w:val="20"/>
          <w:color w:val="auto"/>
        </w:rPr>
      </w:pPr>
    </w:p>
    <w:p>
      <w:pPr>
        <w:ind w:left="1260" w:right="639" w:firstLine="360"/>
        <w:spacing w:after="0" w:line="257" w:lineRule="auto"/>
        <w:rPr>
          <w:sz w:val="20"/>
          <w:szCs w:val="20"/>
          <w:color w:val="auto"/>
        </w:rPr>
      </w:pPr>
      <w:r>
        <w:rPr>
          <w:rFonts w:ascii="Arial" w:cs="Arial" w:eastAsia="Arial" w:hAnsi="Arial"/>
          <w:sz w:val="18"/>
          <w:szCs w:val="18"/>
          <w:color w:val="auto"/>
        </w:rPr>
        <w:t>The Articles allow holders of ordinary shares to transfer all or any of their shares by instrument of transfer in writing in any usual form or in any other form which is permitted by the Companies Act and is approved by the Company’s board. The instrument of transfer must be executed by or on behalf of the transferor and (in the case of a transfer of any ordinary shares which are not fully paid) by or on behalf of the transferee.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The Company may not Charge a Fee for Registering the Transfer of a Share.</w:t>
      </w:r>
    </w:p>
    <w:p>
      <w:pPr>
        <w:spacing w:after="0" w:line="162" w:lineRule="exact"/>
        <w:rPr>
          <w:sz w:val="20"/>
          <w:szCs w:val="20"/>
          <w:color w:val="auto"/>
        </w:rPr>
      </w:pPr>
    </w:p>
    <w:p>
      <w:pPr>
        <w:ind w:left="1260" w:right="599" w:firstLine="360"/>
        <w:spacing w:after="0" w:line="273" w:lineRule="auto"/>
        <w:rPr>
          <w:sz w:val="20"/>
          <w:szCs w:val="20"/>
          <w:color w:val="auto"/>
        </w:rPr>
      </w:pPr>
      <w:r>
        <w:rPr>
          <w:rFonts w:ascii="Arial" w:cs="Arial" w:eastAsia="Arial" w:hAnsi="Arial"/>
          <w:sz w:val="17"/>
          <w:szCs w:val="17"/>
          <w:color w:val="auto"/>
        </w:rPr>
        <w:t>The Company’s board may, in its absolute discretion, refuse to register a transfer of shares in certificated form if it is not fully paid or is with respect to a share on which the Company has a lien and sums in respect of which the lien exists is payable and is not paid within 14 clear days after due notice has been sent. If the Company’s board refuses to register a transfer of a share, it shall send notice to the transferee of notice of the refusal together with reasons for the refusal and any instrument of transfer shall (except in the case of fraud) be returned when the notice of refusal is sent.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Stock Exchange Listing</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ordinary shares trade on Nasdaq under the symbol “LIVN”.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DESCRIPTION OF OUR PREFERRED SHARES</w:t>
      </w:r>
    </w:p>
    <w:p>
      <w:pPr>
        <w:spacing w:after="0" w:line="148" w:lineRule="exact"/>
        <w:rPr>
          <w:sz w:val="20"/>
          <w:szCs w:val="20"/>
          <w:color w:val="auto"/>
        </w:rPr>
      </w:pPr>
    </w:p>
    <w:p>
      <w:pPr>
        <w:ind w:left="1260" w:right="479" w:firstLine="360"/>
        <w:spacing w:after="0" w:line="268" w:lineRule="auto"/>
        <w:rPr>
          <w:sz w:val="20"/>
          <w:szCs w:val="20"/>
          <w:color w:val="auto"/>
        </w:rPr>
      </w:pPr>
      <w:r>
        <w:rPr>
          <w:rFonts w:ascii="Arial" w:cs="Arial" w:eastAsia="Arial" w:hAnsi="Arial"/>
          <w:sz w:val="17"/>
          <w:szCs w:val="17"/>
          <w:color w:val="auto"/>
        </w:rPr>
        <w:t>The Company may, from time to time, issue preferred shares, subject to having a sufficient authority to allot and (where such preferred shares constitute “equity securities” for the purposes of the Companies Act and are to be paid for wholly in cash and allotted otherwise than in accordance with existing shareholders’ pre-emption rights) a sufficient disapplication of pre-emption rights to cover such issuance. Such preferred shares may be issued in one or more classes with such rights or restrictions as may be determined by:</w:t>
      </w:r>
    </w:p>
    <w:p>
      <w:pPr>
        <w:spacing w:after="0" w:line="3" w:lineRule="exact"/>
        <w:rPr>
          <w:sz w:val="20"/>
          <w:szCs w:val="20"/>
          <w:color w:val="auto"/>
        </w:rPr>
      </w:pPr>
    </w:p>
    <w:p>
      <w:pPr>
        <w:ind w:left="1260" w:right="459"/>
        <w:spacing w:after="0" w:line="251" w:lineRule="auto"/>
        <w:tabs>
          <w:tab w:leader="none" w:pos="14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special resolution of the Company’s shareholders; or (ii) the Board (in the absence of, and so long as there is no conflict with, any special resolution that has been passed by the Company’s shareholders). Such rights and restrictions could include dividend rights, conversion rights, voting rights, rights and terms of redemption and liquidation preferences, any or all of which may be greater than and/or preferential to the rights of the ordinary shares. Satisfaction of any dividend preferences of outstanding preferred shares would reduce the amount of funds available for the payment of dividends on ordinary shares. Holders of preferred shares may be entitled to receive a preference payment in the event of our liquidation before any payment is made to the holders of ordinary shares.</w:t>
      </w:r>
    </w:p>
    <w:p>
      <w:pPr>
        <w:spacing w:after="0" w:line="13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As of the date of this offering, there are no preferred shares outstanding, and we have no present intention to issue any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RIGHTS</w:t>
      </w:r>
    </w:p>
    <w:p>
      <w:pPr>
        <w:spacing w:after="0" w:line="148"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We may offer rights to purchase ordinary shares or preferred shares, which we refer to as “rights”. The applicable prospectus supplement will describe the specific terms of any such rights offering, including, as applicable:</w:t>
      </w:r>
    </w:p>
    <w:p>
      <w:pPr>
        <w:spacing w:after="0" w:line="76" w:lineRule="exact"/>
        <w:rPr>
          <w:sz w:val="20"/>
          <w:szCs w:val="20"/>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securities for which the rights are exercisable;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exercise price for the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rights issued;</w:t>
      </w:r>
    </w:p>
    <w:p>
      <w:pPr>
        <w:spacing w:after="0" w:line="117"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exercise of the rights;</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regarding the trading of rights, including the stock exchanges, if any, on which the rights will be listed;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record date, if any, to determine who is entitled to the rights;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period during which rights may be exercised;</w:t>
      </w:r>
    </w:p>
    <w:p>
      <w:pPr>
        <w:spacing w:after="0" w:line="117"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terms of any standby underwriting arrangement we enter into in connection with the offering; and</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and U.K. income tax considerations applicable to the issuance of the rights.</w:t>
      </w:r>
    </w:p>
    <w:p>
      <w:pPr>
        <w:spacing w:after="0" w:line="103"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If we determine to make appropriate arrangements for rights trading, persons other than our shareholders may acquire rights as described in the prospectus supplement. We may determine to offer rights to our shareholders only or additionally to other persons as described in the applicable prospectus supplement. In the event rights are offered only to our shareholders and their rights remain unexercised, we may determine to offer the unsubscribed offered securities to persons other than our shareholders. In addition, we may enter into a standby underwriting arrangement with one or more underwriters under which the underwriter or underwriters, as the case may be, will purchase any offered securities remaining unsubscribed for after the offering, as described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499" w:firstLine="360"/>
        <w:spacing w:after="0" w:line="239"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(As used under this caption “Plan of Distribution”, the term “securities” means the securities offered by this prospectus and any applicable prospectus supplement, unless otherwise expressly stated or the context otherwise requires). The securities may be distributed from time to time in one or more transactions, each of which will be described in the applicable prospectus supplement and which may include transactions:</w:t>
      </w:r>
    </w:p>
    <w:p>
      <w:pPr>
        <w:spacing w:after="0" w:line="83"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4" w:lineRule="exact"/>
        <w:rPr>
          <w:sz w:val="20"/>
          <w:szCs w:val="20"/>
          <w:color w:val="auto"/>
        </w:rPr>
      </w:pPr>
    </w:p>
    <w:p>
      <w:pPr>
        <w:ind w:left="1260" w:right="599" w:firstLine="360"/>
        <w:spacing w:after="0" w:line="254" w:lineRule="auto"/>
        <w:rPr>
          <w:sz w:val="20"/>
          <w:szCs w:val="20"/>
          <w:color w:val="auto"/>
        </w:rPr>
      </w:pPr>
      <w:r>
        <w:rPr>
          <w:rFonts w:ascii="Arial" w:cs="Arial" w:eastAsia="Arial" w:hAnsi="Arial"/>
          <w:sz w:val="17"/>
          <w:szCs w:val="17"/>
          <w:color w:val="auto"/>
        </w:rPr>
        <w:t>Each time that we sell securities covered by this prospectus, we will provide a prospectus supplement or supplements that will describe the method of distribution and set forth the terms and conditions of the offering of such securities, including (i) the name or names of any underwriters, dealers or agents and the amounts of securities underwritten or purchased by each of them; (ii) if a fixed price offering, the public offering price of the securities; (iii) any options under which underwriters may purchase additional securities from us; (iv) any underwriting discounts or commissions or agency fees and other items constituting underwriters’ or agents’ compensation; (v) terms and conditions of the offering; and (vi) any discounts, commissions or concessions allowed or reallowed or paid to dealers.</w:t>
      </w:r>
    </w:p>
    <w:p>
      <w:pPr>
        <w:spacing w:after="0" w:line="113"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14"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1"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8"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disclosed in the applicable prospectus supplement. Underwriters, dealers and agents participating in the distribution of the securities may be deemed to be underwriters within the meaning of the Securities Act of 1933,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of 1933, or to contribute to payments they may be required to make in respect thereof and to reimburse those persons for certain expenses.</w:t>
      </w:r>
    </w:p>
    <w:p>
      <w:pPr>
        <w:spacing w:after="0" w:line="12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1" w:lineRule="auto"/>
        <w:rPr>
          <w:sz w:val="20"/>
          <w:szCs w:val="20"/>
          <w:color w:val="auto"/>
        </w:rPr>
      </w:pPr>
      <w:r>
        <w:rPr>
          <w:rFonts w:ascii="Arial" w:cs="Arial" w:eastAsia="Arial" w:hAnsi="Arial"/>
          <w:sz w:val="17"/>
          <w:szCs w:val="17"/>
          <w:color w:val="auto"/>
        </w:rPr>
        <w:t>or short positions by making purchases in the open market or by exercising their option, if any, to purchase additional securities from us.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None of the persons participating in any such offering will be obligated to engage in these transactions and these transactions, if commenced, may be discontinued at any time.</w:t>
      </w:r>
    </w:p>
    <w:p>
      <w:pPr>
        <w:spacing w:after="0" w:line="97"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27"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Certain legal matters in connection with the securities to be offered hereby will be passed upon for us by Cleary Gottlieb Steen &amp; Hamilton LLP, our US counsel and English solicitors.</w:t>
      </w:r>
    </w:p>
    <w:p>
      <w:pPr>
        <w:spacing w:after="0" w:line="16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1260" w:right="659" w:firstLine="360"/>
        <w:spacing w:after="0" w:line="255"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2020 have been so incorporated in reliance on the report of PricewaterhouseCoopers LLP, an independent registered public accounting firm, given on the authority of said firm as experts in auditing and accounting.</w:t>
      </w:r>
    </w:p>
    <w:p>
      <w:pPr>
        <w:spacing w:after="0" w:line="188"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ENFORCEMENT OF JUDGMENTS</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are incorporated under the laws of England and Wales. Some of our directors and officers may reside outside the United States, and a portion of our assets and the assets of such persons may be located outside the United States. As a result, it may be difficult for you to serve legal process on us or our directors and executive officers or have any of them appear in a U.S. court.</w:t>
      </w:r>
    </w:p>
    <w:p>
      <w:pPr>
        <w:spacing w:after="0" w:line="119"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United States and the United Kingdom do not currently have a treaty providing for the recognition and enforcement of judgments, other than arbitration awards, in civil and commercial matters. The enforceability of any judgment of a United States federal or state court in the United Kingdom will depend on the laws and any treaties in effect at the time, including conflicts of laws principles (such as those bearing on the question of whether a United Kingdom court would recognize the basis on which a United States court had purported to exercise jurisdiction over a defendant). In this context, there is doubt as to the enforceability in the United Kingdom of civil liabilities based solely on the federal securities laws of the United States. In addition, awards for punitive damages in actions brought in the United States or elsewhere may be unenforceable in the United Kingdom. An award for monetary damages under the United States securities laws would likely be considered punitive if it did not seek to compensate the claimant for loss or damage suffered and was intended to punish the defendant.</w:t>
      </w: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2334260</wp:posOffset>
            </wp:positionH>
            <wp:positionV relativeFrom="paragraph">
              <wp:posOffset>1188720</wp:posOffset>
            </wp:positionV>
            <wp:extent cx="2151380" cy="3771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215138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i w:val="1"/>
          <w:i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i w:val="1"/>
          <w:iCs w:val="1"/>
          <w:color w:val="auto"/>
        </w:rPr>
        <w:t>3,636,364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1448435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Prospectus Supplement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229235</wp:posOffset>
            </wp:positionV>
            <wp:extent cx="12344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60" w:type="dxa"/>
            <w:vAlign w:val="bottom"/>
            <w:gridSpan w:val="2"/>
          </w:tcPr>
          <w:p>
            <w:pPr>
              <w:jc w:val="center"/>
              <w:ind w:right="154"/>
              <w:spacing w:after="0"/>
              <w:rPr>
                <w:sz w:val="20"/>
                <w:szCs w:val="20"/>
                <w:color w:val="auto"/>
              </w:rPr>
            </w:pPr>
            <w:r>
              <w:rPr>
                <w:rFonts w:ascii="Arial" w:cs="Arial" w:eastAsia="Arial" w:hAnsi="Arial"/>
                <w:sz w:val="18"/>
                <w:szCs w:val="18"/>
                <w:b w:val="1"/>
                <w:bCs w:val="1"/>
                <w:color w:val="auto"/>
                <w:w w:val="86"/>
              </w:rPr>
              <w:t>Joint Bookrunners</w:t>
            </w:r>
          </w:p>
        </w:tc>
        <w:tc>
          <w:tcPr>
            <w:tcW w:w="29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91"/>
        </w:trPr>
        <w:tc>
          <w:tcPr>
            <w:tcW w:w="126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29"/>
                <w:szCs w:val="29"/>
                <w:b w:val="1"/>
                <w:bCs w:val="1"/>
                <w:i w:val="1"/>
                <w:iCs w:val="1"/>
                <w:color w:val="auto"/>
                <w:w w:val="87"/>
              </w:rPr>
              <w:t>Goldman Sachs &amp; Co. LLC</w:t>
            </w:r>
          </w:p>
        </w:tc>
        <w:tc>
          <w:tcPr>
            <w:tcW w:w="2060" w:type="dxa"/>
            <w:vAlign w:val="bottom"/>
            <w:gridSpan w:val="2"/>
          </w:tcPr>
          <w:p>
            <w:pPr>
              <w:ind w:left="540"/>
              <w:spacing w:after="0"/>
              <w:rPr>
                <w:sz w:val="20"/>
                <w:szCs w:val="20"/>
                <w:color w:val="auto"/>
              </w:rPr>
            </w:pPr>
            <w:r>
              <w:rPr>
                <w:rFonts w:ascii="Arial" w:cs="Arial" w:eastAsia="Arial" w:hAnsi="Arial"/>
                <w:sz w:val="29"/>
                <w:szCs w:val="29"/>
                <w:b w:val="1"/>
                <w:bCs w:val="1"/>
                <w:i w:val="1"/>
                <w:iCs w:val="1"/>
                <w:color w:val="auto"/>
              </w:rPr>
              <w:t>Barclays</w:t>
            </w:r>
          </w:p>
        </w:tc>
        <w:tc>
          <w:tcPr>
            <w:tcW w:w="4180" w:type="dxa"/>
            <w:vAlign w:val="bottom"/>
            <w:gridSpan w:val="2"/>
          </w:tcPr>
          <w:p>
            <w:pPr>
              <w:ind w:left="380"/>
              <w:spacing w:after="0"/>
              <w:rPr>
                <w:sz w:val="20"/>
                <w:szCs w:val="20"/>
                <w:color w:val="auto"/>
              </w:rPr>
            </w:pPr>
            <w:r>
              <w:rPr>
                <w:rFonts w:ascii="Arial" w:cs="Arial" w:eastAsia="Arial" w:hAnsi="Arial"/>
                <w:sz w:val="29"/>
                <w:szCs w:val="29"/>
                <w:b w:val="1"/>
                <w:bCs w:val="1"/>
                <w:i w:val="1"/>
                <w:iCs w:val="1"/>
                <w:color w:val="auto"/>
              </w:rPr>
              <w:t>UBS Investment Bank</w:t>
            </w:r>
          </w:p>
        </w:tc>
      </w:tr>
      <w:tr>
        <w:trPr>
          <w:trHeight w:val="414"/>
        </w:trPr>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gridSpan w:val="2"/>
          </w:tcPr>
          <w:p>
            <w:pPr>
              <w:jc w:val="center"/>
              <w:ind w:right="154"/>
              <w:spacing w:after="0"/>
              <w:rPr>
                <w:sz w:val="20"/>
                <w:szCs w:val="20"/>
                <w:color w:val="auto"/>
              </w:rPr>
            </w:pPr>
            <w:r>
              <w:rPr>
                <w:rFonts w:ascii="Arial" w:cs="Arial" w:eastAsia="Arial" w:hAnsi="Arial"/>
                <w:sz w:val="18"/>
                <w:szCs w:val="18"/>
                <w:b w:val="1"/>
                <w:bCs w:val="1"/>
                <w:color w:val="auto"/>
                <w:w w:val="89"/>
              </w:rPr>
              <w:t>Co-Managers</w:t>
            </w: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54"/>
        </w:trPr>
        <w:tc>
          <w:tcPr>
            <w:tcW w:w="1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5"/>
                <w:szCs w:val="25"/>
                <w:b w:val="1"/>
                <w:bCs w:val="1"/>
                <w:i w:val="1"/>
                <w:iCs w:val="1"/>
                <w:color w:val="auto"/>
              </w:rPr>
              <w:t>Baird</w:t>
            </w:r>
          </w:p>
        </w:tc>
        <w:tc>
          <w:tcPr>
            <w:tcW w:w="1140" w:type="dxa"/>
            <w:vAlign w:val="bottom"/>
          </w:tcPr>
          <w:p>
            <w:pPr>
              <w:ind w:left="240"/>
              <w:spacing w:after="0"/>
              <w:rPr>
                <w:sz w:val="20"/>
                <w:szCs w:val="20"/>
                <w:color w:val="auto"/>
              </w:rPr>
            </w:pPr>
            <w:r>
              <w:rPr>
                <w:rFonts w:ascii="Arial" w:cs="Arial" w:eastAsia="Arial" w:hAnsi="Arial"/>
                <w:sz w:val="25"/>
                <w:szCs w:val="25"/>
                <w:b w:val="1"/>
                <w:bCs w:val="1"/>
                <w:i w:val="1"/>
                <w:iCs w:val="1"/>
                <w:color w:val="auto"/>
              </w:rPr>
              <w:t>Stifel</w:t>
            </w:r>
          </w:p>
        </w:tc>
        <w:tc>
          <w:tcPr>
            <w:tcW w:w="2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260"/>
        </w:trPr>
        <w:tc>
          <w:tcPr>
            <w:tcW w:w="126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r>
      <w:tr>
        <w:trPr>
          <w:trHeight w:val="68"/>
        </w:trPr>
        <w:tc>
          <w:tcPr>
            <w:tcW w:w="1260" w:type="dxa"/>
            <w:vAlign w:val="bottom"/>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92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0720"/>
      </w:cols>
      <w:pgMar w:left="580" w:top="13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lvl w:ilvl="1">
      <w:lvlJc w:val="left"/>
      <w:lvlText w:val="•"/>
      <w:numFmt w:val="bullet"/>
      <w:start w:val="1"/>
    </w:lvl>
  </w:abstractNum>
  <w:abstractNum w:abstractNumId="5">
    <w:nsid w:val="3F2DBA31"/>
    <w:multiLevelType w:val="hybridMultilevel"/>
    <w:lvl w:ilvl="0">
      <w:lvlJc w:val="left"/>
      <w:lvlText w:val="(%1)"/>
      <w:numFmt w:val="decimal"/>
      <w:start w:val="1"/>
    </w:lvl>
    <w:lvl w:ilvl="1">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upperLetter"/>
      <w:start w:val="1"/>
    </w:lvl>
  </w:abstractNum>
  <w:abstractNum w:abstractNumId="15">
    <w:nsid w:val="6763845E"/>
    <w:multiLevelType w:val="hybridMultilevel"/>
    <w:lvl w:ilvl="0">
      <w:lvlJc w:val="left"/>
      <w:lvlText w:val="(%1)"/>
      <w:numFmt w:val="lowerRoman"/>
      <w:start w:val="3"/>
    </w:lvl>
    <w:lvl w:ilvl="1">
      <w:lvlJc w:val="left"/>
      <w:lvlText w:val="(%2)"/>
      <w:numFmt w:val="lowerRoman"/>
      <w:start w:val="1"/>
    </w:lvl>
  </w:abstractNum>
  <w:abstractNum w:abstractNumId="16">
    <w:nsid w:val="75A2A8D4"/>
    <w:multiLevelType w:val="hybridMultilevel"/>
    <w:lvl w:ilvl="0">
      <w:lvlJc w:val="left"/>
      <w:lvlText w:val="(%1)"/>
      <w:numFmt w:val="lowerRoman"/>
      <w:start w:val="3"/>
    </w:lvl>
  </w:abstractNum>
  <w:abstractNum w:abstractNumId="17">
    <w:nsid w:val="8EDBDAB"/>
    <w:multiLevelType w:val="hybridMultilevel"/>
    <w:lvl w:ilvl="0">
      <w:lvlJc w:val="left"/>
      <w:lvlText w:val="%1"/>
      <w:numFmt w:val="lowerRoman"/>
      <w:start w:val="1"/>
    </w:lvl>
    <w:lvl w:ilvl="1">
      <w:lvlJc w:val="left"/>
      <w:lvlText w:val="(%2)"/>
      <w:numFmt w:val="upperLetter"/>
      <w:start w:val="1"/>
    </w:lvl>
  </w:abstractNum>
  <w:abstractNum w:abstractNumId="18">
    <w:nsid w:val="79838CB2"/>
    <w:multiLevelType w:val="hybridMultilevel"/>
    <w:lvl w:ilvl="0">
      <w:lvlJc w:val="left"/>
      <w:lvlText w:val="(%1)"/>
      <w:numFmt w:val="lowerRoman"/>
      <w:start w:val="9"/>
    </w:lvl>
    <w:lvl w:ilvl="1">
      <w:lvlJc w:val="left"/>
      <w:lvlText w:val="%2"/>
      <w:numFmt w:val="upperLetter"/>
      <w:start w:val="1"/>
    </w:lvl>
  </w:abstractNum>
  <w:abstractNum w:abstractNumId="19">
    <w:nsid w:val="4353D0CD"/>
    <w:multiLevelType w:val="hybridMultilevel"/>
    <w:lvl w:ilvl="0">
      <w:lvlJc w:val="left"/>
      <w:lvlText w:val="(%1)"/>
      <w:numFmt w:val="lowerRoman"/>
      <w:start w:val="10"/>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decimal"/>
      <w:start w:val="44"/>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lowerRoman"/>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jpe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jpe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21" Type="http://schemas.openxmlformats.org/officeDocument/2006/relationships/hyperlink" Target="http://www.sec.gov/ix?doc=/Archives/edgar/data/1639691/000163969121000016/livn-20201231.htm" TargetMode="External"/><Relationship Id="rId22" Type="http://schemas.openxmlformats.org/officeDocument/2006/relationships/hyperlink" Target="http://www.sec.gov/ix?doc=/Archives/edgar/data/1639691/000163969121000091/livn-20210630.htm" TargetMode="External"/><Relationship Id="rId72" Type="http://schemas.openxmlformats.org/officeDocument/2006/relationships/hyperlink" Target="http://www.sec.gov/Archives/edgar/data/1639691/000163969121000016/livn-20201231xex41.htm" TargetMode="External"/><Relationship Id="rId73" Type="http://schemas.openxmlformats.org/officeDocument/2006/relationships/hyperlink" Target="http://www.sec.gov/ix?doc=/Archives/edgar/data/1639691/000163969121000047/livn-20210331.htm" TargetMode="External"/><Relationship Id="rId74" Type="http://schemas.openxmlformats.org/officeDocument/2006/relationships/hyperlink" Target="http://www.sec.gov/ix?doc=/Archives/edgar/data/1639691/000163969121000011/livn-20210224.htm" TargetMode="External"/><Relationship Id="rId75" Type="http://schemas.openxmlformats.org/officeDocument/2006/relationships/hyperlink" Target="http://www.sec.gov/ix?doc=/Archives/edgar/data/1639691/000163969121000035/livn-20210409.htm" TargetMode="External"/><Relationship Id="rId76" Type="http://schemas.openxmlformats.org/officeDocument/2006/relationships/hyperlink" Target="http://www.sec.gov/ix?doc=/Archives/edgar/data/1639691/000163969121000058/livn-20210609.htm" TargetMode="External"/><Relationship Id="rId77" Type="http://schemas.openxmlformats.org/officeDocument/2006/relationships/hyperlink" Target="http://www.sec.gov/Archives/edgar/data/1639691/000110465921058192/tm2113973-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2021-08-05T14:38:15Z</dcterms:created>
  <dcterms:modified xsi:type="dcterms:W3CDTF">2021-08-05T14:38:15Z</dcterms:modified>
</cp:coreProperties>
</file>