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8000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8000365"/>
                    </a:xfrm>
                    <a:prstGeom prst="rect">
                      <a:avLst/>
                    </a:prstGeom>
                    <a:noFill/>
                  </pic:spPr>
                </pic:pic>
              </a:graphicData>
            </a:graphic>
          </wp:anchor>
        </w:drawing>
      </w:r>
    </w:p>
    <w:p>
      <w:pPr>
        <w:spacing w:after="0" w:line="99" w:lineRule="exact"/>
        <w:rPr>
          <w:sz w:val="24"/>
          <w:szCs w:val="24"/>
          <w:color w:val="auto"/>
        </w:rPr>
      </w:pPr>
    </w:p>
    <w:p>
      <w:pPr>
        <w:sectPr>
          <w:pgSz w:w="11900" w:h="16905" w:orient="portrait"/>
          <w:cols w:equalWidth="0" w:num="2">
            <w:col w:w="2220" w:space="400"/>
            <w:col w:w="846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Dolci Marco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03/30/2023</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59"/>
        <w:spacing w:after="0"/>
        <w:rPr>
          <w:sz w:val="20"/>
          <w:szCs w:val="20"/>
          <w:color w:val="auto"/>
        </w:rPr>
      </w:pPr>
      <w:r>
        <w:rPr>
          <w:rFonts w:ascii="Times New Roman" w:cs="Times New Roman" w:eastAsia="Times New Roman" w:hAnsi="Times New Roman"/>
          <w:sz w:val="16"/>
          <w:szCs w:val="16"/>
          <w:color w:val="0000FF"/>
        </w:rPr>
        <w:t>President CP</w:t>
      </w:r>
    </w:p>
    <w:p>
      <w:pPr>
        <w:spacing w:after="0" w:line="309" w:lineRule="exact"/>
        <w:rPr>
          <w:sz w:val="24"/>
          <w:szCs w:val="24"/>
          <w:color w:val="auto"/>
        </w:rPr>
      </w:pPr>
    </w:p>
    <w:p>
      <w:pPr>
        <w:sectPr>
          <w:pgSz w:w="11900" w:h="16905" w:orient="portrait"/>
          <w:cols w:equalWidth="0" w:num="3">
            <w:col w:w="3180" w:space="720"/>
            <w:col w:w="3121" w:space="720"/>
            <w:col w:w="3339"/>
          </w:cols>
          <w:pgMar w:left="460" w:top="215" w:right="359" w:bottom="0" w:gutter="0" w:footer="0" w:header="0"/>
          <w:type w:val="continuous"/>
        </w:sectPr>
      </w:pP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W26LG</w:t>
            </w:r>
          </w:p>
        </w:tc>
      </w:tr>
      <w:tr>
        <w:trPr>
          <w:trHeight w:val="145"/>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7" w:lineRule="auto"/>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905"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99"/>
              </w:rPr>
              <w:t>514</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6,193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89"/>
              </w:rPr>
              <w:t>222</w:t>
            </w:r>
            <w:r>
              <w:rPr>
                <w:rFonts w:ascii="Times New Roman" w:cs="Times New Roman" w:eastAsia="Times New Roman" w:hAnsi="Times New Roman"/>
                <w:sz w:val="21"/>
                <w:szCs w:val="21"/>
                <w:color w:val="008000"/>
                <w:w w:val="89"/>
                <w:vertAlign w:val="superscript"/>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5,971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78"/>
              <w:spacing w:after="0"/>
              <w:rPr>
                <w:sz w:val="20"/>
                <w:szCs w:val="20"/>
                <w:color w:val="auto"/>
              </w:rPr>
            </w:pPr>
            <w:r>
              <w:rPr>
                <w:rFonts w:ascii="Times New Roman" w:cs="Times New Roman" w:eastAsia="Times New Roman" w:hAnsi="Times New Roman"/>
                <w:sz w:val="16"/>
                <w:szCs w:val="16"/>
                <w:color w:val="0000FF"/>
              </w:rPr>
              <w:t>1,434</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7,405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89"/>
              </w:rPr>
              <w:t>617</w:t>
            </w:r>
            <w:r>
              <w:rPr>
                <w:rFonts w:ascii="Times New Roman" w:cs="Times New Roman" w:eastAsia="Times New Roman" w:hAnsi="Times New Roman"/>
                <w:sz w:val="21"/>
                <w:szCs w:val="21"/>
                <w:color w:val="008000"/>
                <w:w w:val="89"/>
                <w:vertAlign w:val="superscript"/>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6,788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99"/>
              </w:rPr>
              <w:t>853</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7,641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line="303" w:lineRule="exact"/>
              <w:rPr>
                <w:sz w:val="20"/>
                <w:szCs w:val="20"/>
                <w:color w:val="auto"/>
              </w:rPr>
            </w:pPr>
            <w:r>
              <w:rPr>
                <w:rFonts w:ascii="Times New Roman" w:cs="Times New Roman" w:eastAsia="Times New Roman" w:hAnsi="Times New Roman"/>
                <w:sz w:val="32"/>
                <w:szCs w:val="32"/>
                <w:color w:val="0000FF"/>
                <w:w w:val="80"/>
                <w:vertAlign w:val="subscript"/>
              </w:rPr>
              <w:t>367</w:t>
            </w:r>
            <w:r>
              <w:rPr>
                <w:rFonts w:ascii="Times New Roman" w:cs="Times New Roman" w:eastAsia="Times New Roman" w:hAnsi="Times New Roman"/>
                <w:sz w:val="11"/>
                <w:szCs w:val="11"/>
                <w:color w:val="008000"/>
                <w:w w:val="80"/>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7,274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6"/>
                <w:szCs w:val="16"/>
                <w:color w:val="0000FF"/>
                <w:w w:val="99"/>
              </w:rPr>
              <w:t>762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8,036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58"/>
              <w:spacing w:after="0" w:line="303" w:lineRule="exact"/>
              <w:rPr>
                <w:sz w:val="20"/>
                <w:szCs w:val="20"/>
                <w:color w:val="auto"/>
              </w:rPr>
            </w:pPr>
            <w:r>
              <w:rPr>
                <w:rFonts w:ascii="Times New Roman" w:cs="Times New Roman" w:eastAsia="Times New Roman" w:hAnsi="Times New Roman"/>
                <w:sz w:val="32"/>
                <w:szCs w:val="32"/>
                <w:color w:val="0000FF"/>
                <w:w w:val="80"/>
                <w:vertAlign w:val="subscript"/>
              </w:rPr>
              <w:t>328</w:t>
            </w:r>
            <w:r>
              <w:rPr>
                <w:rFonts w:ascii="Times New Roman" w:cs="Times New Roman" w:eastAsia="Times New Roman" w:hAnsi="Times New Roman"/>
                <w:sz w:val="11"/>
                <w:szCs w:val="11"/>
                <w:color w:val="008000"/>
                <w:w w:val="80"/>
              </w:rPr>
              <w:t>(2)</w:t>
            </w:r>
          </w:p>
        </w:tc>
        <w:tc>
          <w:tcPr>
            <w:tcW w:w="68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7,708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jc w:val="center"/>
              <w:ind w:left="14"/>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ind w:left="14"/>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514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514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25"/>
                <w:szCs w:val="25"/>
                <w:color w:val="0000FF"/>
                <w:w w:val="84"/>
                <w:vertAlign w:val="subscript"/>
              </w:rPr>
              <w:t>0</w:t>
            </w:r>
            <w:r>
              <w:rPr>
                <w:rFonts w:ascii="Times New Roman" w:cs="Times New Roman" w:eastAsia="Times New Roman" w:hAnsi="Times New Roman"/>
                <w:sz w:val="11"/>
                <w:szCs w:val="11"/>
                <w:color w:val="008000"/>
                <w:w w:val="84"/>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1,434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1,434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1,434</w:t>
            </w:r>
            <w:r>
              <w:rPr>
                <w:rFonts w:ascii="Times New Roman" w:cs="Times New Roman" w:eastAsia="Times New Roman" w:hAnsi="Times New Roman"/>
                <w:sz w:val="21"/>
                <w:szCs w:val="21"/>
                <w:color w:val="008000"/>
                <w:w w:val="92"/>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853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853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1,706</w:t>
            </w:r>
            <w:r>
              <w:rPr>
                <w:rFonts w:ascii="Times New Roman" w:cs="Times New Roman" w:eastAsia="Times New Roman" w:hAnsi="Times New Roman"/>
                <w:sz w:val="21"/>
                <w:szCs w:val="21"/>
                <w:color w:val="008000"/>
                <w:w w:val="92"/>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762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762</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2,285</w:t>
            </w:r>
            <w:r>
              <w:rPr>
                <w:rFonts w:ascii="Times New Roman" w:cs="Times New Roman" w:eastAsia="Times New Roman" w:hAnsi="Times New Roman"/>
                <w:sz w:val="21"/>
                <w:szCs w:val="21"/>
                <w:color w:val="008000"/>
                <w:w w:val="92"/>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5,910</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5,910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5,910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2,955</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2,955</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2,955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2,955</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2,955</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2,955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5,910</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5,910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5,910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12,555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82.04</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03/30/2023</w:t>
            </w:r>
          </w:p>
        </w:tc>
        <w:tc>
          <w:tcPr>
            <w:tcW w:w="1120" w:type="dxa"/>
            <w:vAlign w:val="bottom"/>
          </w:tcPr>
          <w:p>
            <w:pPr>
              <w:spacing w:after="0"/>
              <w:rPr>
                <w:sz w:val="11"/>
                <w:szCs w:val="11"/>
                <w:color w:val="auto"/>
              </w:rPr>
            </w:pPr>
          </w:p>
        </w:tc>
        <w:tc>
          <w:tcPr>
            <w:tcW w:w="70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12,555</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12,555</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-3867150</wp:posOffset>
            </wp:positionV>
            <wp:extent cx="28575" cy="3872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722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0"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1"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0"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for which occurred on March 30, 2023. The RSUs are subject to forfeiture prior to vesting in</w:t>
      </w:r>
    </w:p>
    <w:p>
      <w:pPr>
        <w:sectPr>
          <w:pgSz w:w="11900" w:h="16905"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accordance with the terms of the Plan and the award agreement.</w:t>
      </w:r>
    </w:p>
    <w:p>
      <w:pPr>
        <w:spacing w:after="0" w:line="40" w:lineRule="exact"/>
        <w:rPr>
          <w:sz w:val="20"/>
          <w:szCs w:val="20"/>
          <w:color w:val="auto"/>
        </w:rPr>
      </w:pPr>
    </w:p>
    <w:p>
      <w:pPr>
        <w:ind w:left="1" w:right="100" w:hanging="1"/>
        <w:spacing w:after="0" w:line="24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21" w:lineRule="exact"/>
        <w:rPr>
          <w:rFonts w:ascii="Times New Roman" w:cs="Times New Roman" w:eastAsia="Times New Roman" w:hAnsi="Times New Roman"/>
          <w:sz w:val="13"/>
          <w:szCs w:val="13"/>
          <w:color w:val="008000"/>
        </w:rPr>
      </w:pPr>
    </w:p>
    <w:p>
      <w:pPr>
        <w:ind w:left="1" w:right="16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schedule, the first vesting occurring on March 30, 2024. The RSUs are subject to forfeiture prior to vesting in accordance with the terms of the 2022 Plan and the award agreement.</w:t>
      </w:r>
    </w:p>
    <w:p>
      <w:pPr>
        <w:spacing w:after="0" w:line="21"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1" w:right="40" w:hanging="1"/>
        <w:spacing w:after="0" w:line="285"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2023, reporting person was granted PSUs to vest or lapse on March 30, 2026 based on how the Company's free cash flow (FCF) for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1" w:lineRule="exact"/>
        <w:rPr>
          <w:rFonts w:ascii="Times New Roman" w:cs="Times New Roman" w:eastAsia="Times New Roman" w:hAnsi="Times New Roman"/>
          <w:sz w:val="12"/>
          <w:szCs w:val="12"/>
          <w:color w:val="008000"/>
        </w:rPr>
      </w:pPr>
    </w:p>
    <w:p>
      <w:pPr>
        <w:ind w:left="1" w:right="100" w:hanging="1"/>
        <w:spacing w:after="0" w:line="23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how the Company's Return on Investment Capital (ROIC) calculated for the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hanging="1"/>
        <w:spacing w:after="0" w:line="23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the Company's total shareholder return (TSR) for the three-year period beginning on January 1, 2023 and ending December 31, 2025 relative to the total shareholder return of a peer group of companies, as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right="6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stock appreciation rights (SARs) subject to a four-year vesting schedule, the first vesting occurring on March 30, 2024. The SARs are subject to forfeiture prior to vesting in accordance with the terms of the 2022 Plan and the award agreement.</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0000FF"/>
              </w:rPr>
              <w:t>/s/ Sarah K. Mohr, POA</w:t>
            </w:r>
          </w:p>
        </w:tc>
        <w:tc>
          <w:tcPr>
            <w:tcW w:w="42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03/30/2023</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8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1"/>
          </w:cols>
          <w:pgMar w:left="499" w:top="127" w:right="5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03" w:lineRule="exact"/>
        <w:rPr>
          <w:sz w:val="20"/>
          <w:szCs w:val="20"/>
          <w:color w:val="auto"/>
        </w:rPr>
      </w:pPr>
    </w:p>
    <w:p>
      <w:pPr>
        <w:ind w:right="40" w:firstLine="607"/>
        <w:spacing w:after="0" w:line="290"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3" w:lineRule="exact"/>
        <w:rPr>
          <w:sz w:val="20"/>
          <w:szCs w:val="20"/>
          <w:color w:val="auto"/>
        </w:rPr>
      </w:pPr>
    </w:p>
    <w:p>
      <w:pPr>
        <w:ind w:left="1220" w:right="60" w:hanging="612"/>
        <w:spacing w:after="0" w:line="297"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4" w:lineRule="exact"/>
        <w:rPr>
          <w:rFonts w:ascii="Times New Roman" w:cs="Times New Roman" w:eastAsia="Times New Roman" w:hAnsi="Times New Roman"/>
          <w:sz w:val="19"/>
          <w:szCs w:val="19"/>
          <w:color w:val="auto"/>
        </w:rPr>
      </w:pPr>
    </w:p>
    <w:p>
      <w:pPr>
        <w:ind w:left="1220" w:right="220" w:hanging="612"/>
        <w:spacing w:after="0" w:line="297"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4" w:lineRule="exact"/>
        <w:rPr>
          <w:rFonts w:ascii="Times New Roman" w:cs="Times New Roman" w:eastAsia="Times New Roman" w:hAnsi="Times New Roman"/>
          <w:sz w:val="19"/>
          <w:szCs w:val="19"/>
          <w:color w:val="auto"/>
        </w:rPr>
      </w:pPr>
    </w:p>
    <w:p>
      <w:pPr>
        <w:jc w:val="both"/>
        <w:ind w:left="1220" w:right="80" w:hanging="612"/>
        <w:spacing w:after="0" w:line="300"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w:t>
      </w:r>
    </w:p>
    <w:p>
      <w:pPr>
        <w:spacing w:after="0" w:line="1" w:lineRule="exact"/>
        <w:rPr>
          <w:rFonts w:ascii="Times New Roman" w:cs="Times New Roman" w:eastAsia="Times New Roman" w:hAnsi="Times New Roman"/>
          <w:sz w:val="18"/>
          <w:szCs w:val="18"/>
          <w:color w:val="auto"/>
        </w:rPr>
      </w:pPr>
    </w:p>
    <w:p>
      <w:pPr>
        <w:ind w:left="1220" w:right="1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firstLine="607"/>
        <w:spacing w:after="0" w:line="286"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8" w:lineRule="exact"/>
        <w:rPr>
          <w:sz w:val="20"/>
          <w:szCs w:val="20"/>
          <w:color w:val="auto"/>
        </w:rPr>
      </w:pPr>
    </w:p>
    <w:p>
      <w:pPr>
        <w:ind w:right="40" w:firstLine="607"/>
        <w:spacing w:after="0" w:line="304" w:lineRule="auto"/>
        <w:rPr>
          <w:sz w:val="20"/>
          <w:szCs w:val="20"/>
          <w:color w:val="auto"/>
        </w:rPr>
      </w:pPr>
      <w:r>
        <w:rPr>
          <w:rFonts w:ascii="Times New Roman" w:cs="Times New Roman" w:eastAsia="Times New Roman" w:hAnsi="Times New Roman"/>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22" w:lineRule="exact"/>
        <w:rPr>
          <w:sz w:val="20"/>
          <w:szCs w:val="20"/>
          <w:color w:val="auto"/>
        </w:rPr>
      </w:pPr>
    </w:p>
    <w:p>
      <w:pPr>
        <w:ind w:right="180" w:firstLine="607"/>
        <w:spacing w:after="0" w:line="302"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33" w:lineRule="exact"/>
        <w:rPr>
          <w:sz w:val="20"/>
          <w:szCs w:val="20"/>
          <w:color w:val="auto"/>
        </w:rPr>
      </w:pPr>
    </w:p>
    <w:p>
      <w:pPr>
        <w:ind w:right="80" w:firstLine="607"/>
        <w:spacing w:after="0" w:line="286"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-12700</wp:posOffset>
            </wp:positionV>
            <wp:extent cx="1209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Marco Dolci</w:t>
      </w:r>
    </w:p>
    <w:sectPr>
      <w:pgSz w:w="11900" w:h="16838" w:orient="portrait"/>
      <w:cols w:equalWidth="0" w:num="1">
        <w:col w:w="10920"/>
      </w:cols>
      <w:pgMar w:left="460" w:top="34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2023-04-03T17:08:16Z</dcterms:created>
  <dcterms:modified xsi:type="dcterms:W3CDTF">2023-04-03T17:08:16Z</dcterms:modified>
</cp:coreProperties>
</file>