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6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McDonald Damien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151765</wp:posOffset>
            </wp:positionV>
            <wp:extent cx="6967855" cy="13049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16,744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7,870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16,744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193,392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-1968500</wp:posOffset>
            </wp:positionV>
            <wp:extent cx="7033895" cy="20110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1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had vested restricted stock units (RSUs) settled in ordinary shares of LivaNova PLC (the Company), GBP 1.00 par value.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convert into ordinary shares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was granted RSUs subject to a four-year vesting schedule, vesting 25% on each of the first four anniversaries of November 4, 2016 subject to continued service during the vesting period and the award agreement.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Sarah K. Mohr, POA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11/06/2020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6894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2020-11-06T17:58:36Z</dcterms:created>
  <dcterms:modified xsi:type="dcterms:W3CDTF">2020-11-06T17:58:36Z</dcterms:modified>
</cp:coreProperties>
</file>