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49656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Skeffington Keyna Pidcock</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03/15/2018</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00" w:hanging="5"/>
        <w:spacing w:after="0" w:line="244"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65"/>
        <w:spacing w:after="0"/>
        <w:rPr>
          <w:sz w:val="20"/>
          <w:szCs w:val="20"/>
          <w:color w:val="auto"/>
        </w:rPr>
      </w:pPr>
      <w:r>
        <w:rPr>
          <w:rFonts w:ascii="Arial" w:cs="Arial" w:eastAsia="Arial" w:hAnsi="Arial"/>
          <w:sz w:val="17"/>
          <w:szCs w:val="17"/>
          <w:color w:val="0000FF"/>
        </w:rPr>
        <w:t>General Counsel</w:t>
      </w:r>
    </w:p>
    <w:p>
      <w:pPr>
        <w:spacing w:after="0" w:line="320" w:lineRule="exact"/>
        <w:rPr>
          <w:sz w:val="24"/>
          <w:szCs w:val="24"/>
          <w:color w:val="auto"/>
        </w:rPr>
      </w:pPr>
    </w:p>
    <w:p>
      <w:pPr>
        <w:sectPr>
          <w:pgSz w:w="11900" w:h="16838" w:orient="portrait"/>
          <w:cols w:equalWidth="0" w:num="3">
            <w:col w:w="3340" w:space="720"/>
            <w:col w:w="3275" w:space="720"/>
            <w:col w:w="3465"/>
          </w:cols>
          <w:pgMar w:left="240" w:top="223"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80" w:type="dxa"/>
            <w:vAlign w:val="bottom"/>
          </w:tcPr>
          <w:p>
            <w:pPr>
              <w:ind w:left="440"/>
              <w:spacing w:after="0"/>
              <w:rPr>
                <w:sz w:val="20"/>
                <w:szCs w:val="20"/>
                <w:color w:val="auto"/>
              </w:rPr>
            </w:pPr>
            <w:r>
              <w:rPr>
                <w:rFonts w:ascii="Arial" w:cs="Arial" w:eastAsia="Arial" w:hAnsi="Arial"/>
                <w:sz w:val="17"/>
                <w:szCs w:val="17"/>
                <w:color w:val="0000FF"/>
              </w:rPr>
              <w:t>W2 6LG</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25"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20" w:space="14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Derivative</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(Instr. 3 and 4)</w:t>
            </w:r>
          </w:p>
        </w:tc>
        <w:tc>
          <w:tcPr>
            <w:tcW w:w="54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8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03/15/2018</w:t>
            </w:r>
          </w:p>
        </w:tc>
        <w:tc>
          <w:tcPr>
            <w:tcW w:w="1100" w:type="dxa"/>
            <w:vAlign w:val="bottom"/>
          </w:tcPr>
          <w:p>
            <w:pPr>
              <w:spacing w:after="0"/>
              <w:rPr>
                <w:sz w:val="16"/>
                <w:szCs w:val="16"/>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rPr>
              <w:t>1,838</w:t>
            </w:r>
          </w:p>
        </w:tc>
        <w:tc>
          <w:tcPr>
            <w:tcW w:w="2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tcPr>
          <w:p>
            <w:pPr>
              <w:jc w:val="center"/>
              <w:spacing w:after="0"/>
              <w:rPr>
                <w:sz w:val="20"/>
                <w:szCs w:val="20"/>
                <w:color w:val="auto"/>
              </w:rPr>
            </w:pPr>
            <w:r>
              <w:rPr>
                <w:rFonts w:ascii="Arial" w:cs="Arial" w:eastAsia="Arial" w:hAnsi="Arial"/>
                <w:sz w:val="13"/>
                <w:szCs w:val="13"/>
                <w:color w:val="0000FF"/>
                <w:w w:val="92"/>
              </w:rPr>
              <w:t>Restricted</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1,838</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85"/>
              </w:rPr>
              <w:t>6,423</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00FF"/>
                <w:w w:val="94"/>
              </w:rPr>
              <w:t>Stock Units</w:t>
            </w:r>
          </w:p>
        </w:tc>
        <w:tc>
          <w:tcPr>
            <w:tcW w:w="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8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5,996</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820" w:type="dxa"/>
            <w:vAlign w:val="bottom"/>
          </w:tcPr>
          <w:p>
            <w:pPr>
              <w:ind w:left="60"/>
              <w:spacing w:after="0" w:line="145" w:lineRule="exact"/>
              <w:rPr>
                <w:sz w:val="20"/>
                <w:szCs w:val="20"/>
                <w:color w:val="auto"/>
              </w:rPr>
            </w:pPr>
            <w:r>
              <w:rPr>
                <w:rFonts w:ascii="Arial" w:cs="Arial" w:eastAsia="Arial" w:hAnsi="Arial"/>
                <w:sz w:val="13"/>
                <w:szCs w:val="13"/>
                <w:color w:val="0000FF"/>
              </w:rPr>
              <w:t>Appreciation</w:t>
            </w:r>
          </w:p>
        </w:tc>
        <w:tc>
          <w:tcPr>
            <w:tcW w:w="800" w:type="dxa"/>
            <w:vAlign w:val="bottom"/>
            <w:vMerge w:val="continue"/>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3"/>
                <w:szCs w:val="13"/>
                <w:color w:val="0000FF"/>
                <w:w w:val="92"/>
              </w:rPr>
              <w:t>03/15/2018</w:t>
            </w:r>
          </w:p>
        </w:tc>
        <w:tc>
          <w:tcPr>
            <w:tcW w:w="1100" w:type="dxa"/>
            <w:vAlign w:val="bottom"/>
          </w:tcPr>
          <w:p>
            <w:pPr>
              <w:spacing w:after="0"/>
              <w:rPr>
                <w:sz w:val="12"/>
                <w:szCs w:val="12"/>
                <w:color w:val="auto"/>
              </w:rPr>
            </w:pPr>
          </w:p>
        </w:tc>
        <w:tc>
          <w:tcPr>
            <w:tcW w:w="820" w:type="dxa"/>
            <w:vAlign w:val="bottom"/>
          </w:tcPr>
          <w:p>
            <w:pPr>
              <w:ind w:left="180"/>
              <w:spacing w:after="0" w:line="145" w:lineRule="exact"/>
              <w:rPr>
                <w:sz w:val="20"/>
                <w:szCs w:val="20"/>
                <w:color w:val="auto"/>
              </w:rPr>
            </w:pPr>
            <w:r>
              <w:rPr>
                <w:rFonts w:ascii="Arial" w:cs="Arial" w:eastAsia="Arial" w:hAnsi="Arial"/>
                <w:sz w:val="13"/>
                <w:szCs w:val="13"/>
                <w:color w:val="0000FF"/>
              </w:rPr>
              <w:t>A</w:t>
            </w:r>
          </w:p>
        </w:tc>
        <w:tc>
          <w:tcPr>
            <w:tcW w:w="480" w:type="dxa"/>
            <w:vAlign w:val="bottom"/>
          </w:tcPr>
          <w:p>
            <w:pPr>
              <w:ind w:left="80"/>
              <w:spacing w:after="0" w:line="145" w:lineRule="exact"/>
              <w:rPr>
                <w:sz w:val="20"/>
                <w:szCs w:val="20"/>
                <w:color w:val="auto"/>
              </w:rPr>
            </w:pPr>
            <w:r>
              <w:rPr>
                <w:rFonts w:ascii="Arial" w:cs="Arial" w:eastAsia="Arial" w:hAnsi="Arial"/>
                <w:sz w:val="13"/>
                <w:szCs w:val="13"/>
                <w:color w:val="0000FF"/>
              </w:rPr>
              <w:t>5,996</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3"/>
                <w:szCs w:val="13"/>
                <w:color w:val="0000FF"/>
                <w:w w:val="96"/>
              </w:rPr>
              <w:t>Appreciation</w:t>
            </w:r>
          </w:p>
        </w:tc>
        <w:tc>
          <w:tcPr>
            <w:tcW w:w="540" w:type="dxa"/>
            <w:vAlign w:val="bottom"/>
            <w:vMerge w:val="continue"/>
          </w:tcPr>
          <w:p>
            <w:pPr>
              <w:spacing w:after="0"/>
              <w:rPr>
                <w:sz w:val="12"/>
                <w:szCs w:val="12"/>
                <w:color w:val="auto"/>
              </w:rPr>
            </w:pPr>
          </w:p>
        </w:tc>
        <w:tc>
          <w:tcPr>
            <w:tcW w:w="700" w:type="dxa"/>
            <w:vAlign w:val="bottom"/>
          </w:tcPr>
          <w:p>
            <w:pPr>
              <w:jc w:val="center"/>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center"/>
              <w:spacing w:after="0" w:line="145" w:lineRule="exact"/>
              <w:rPr>
                <w:sz w:val="20"/>
                <w:szCs w:val="20"/>
                <w:color w:val="auto"/>
              </w:rPr>
            </w:pPr>
            <w:r>
              <w:rPr>
                <w:rFonts w:ascii="Arial" w:cs="Arial" w:eastAsia="Arial" w:hAnsi="Arial"/>
                <w:sz w:val="13"/>
                <w:szCs w:val="13"/>
                <w:color w:val="0000FF"/>
                <w:w w:val="90"/>
              </w:rPr>
              <w:t>21,199</w:t>
            </w:r>
          </w:p>
        </w:tc>
        <w:tc>
          <w:tcPr>
            <w:tcW w:w="74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20" w:type="dxa"/>
            <w:vAlign w:val="bottom"/>
          </w:tcPr>
          <w:p>
            <w:pPr>
              <w:ind w:left="60"/>
              <w:spacing w:after="0"/>
              <w:rPr>
                <w:sz w:val="20"/>
                <w:szCs w:val="20"/>
                <w:color w:val="auto"/>
              </w:rPr>
            </w:pPr>
            <w:r>
              <w:rPr>
                <w:rFonts w:ascii="Arial" w:cs="Arial" w:eastAsia="Arial" w:hAnsi="Arial"/>
                <w:sz w:val="13"/>
                <w:szCs w:val="13"/>
                <w:color w:val="0000FF"/>
              </w:rPr>
              <w:t>Rights</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00FF"/>
                <w:w w:val="92"/>
              </w:rPr>
              <w:t>Rights</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03/15/2018</w:t>
            </w:r>
          </w:p>
        </w:tc>
        <w:tc>
          <w:tcPr>
            <w:tcW w:w="1100" w:type="dxa"/>
            <w:vAlign w:val="bottom"/>
          </w:tcPr>
          <w:p>
            <w:pPr>
              <w:spacing w:after="0"/>
              <w:rPr>
                <w:sz w:val="16"/>
                <w:szCs w:val="16"/>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rPr>
              <w:t>1,838</w:t>
            </w:r>
          </w:p>
        </w:tc>
        <w:tc>
          <w:tcPr>
            <w:tcW w:w="2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880" w:type="dxa"/>
            <w:vAlign w:val="bottom"/>
          </w:tcPr>
          <w:p>
            <w:pPr>
              <w:jc w:val="center"/>
              <w:spacing w:after="0"/>
              <w:rPr>
                <w:sz w:val="20"/>
                <w:szCs w:val="20"/>
                <w:color w:val="auto"/>
              </w:rPr>
            </w:pPr>
            <w:r>
              <w:rPr>
                <w:rFonts w:ascii="Arial" w:cs="Arial" w:eastAsia="Arial" w:hAnsi="Arial"/>
                <w:sz w:val="13"/>
                <w:szCs w:val="13"/>
                <w:color w:val="0000FF"/>
                <w:w w:val="88"/>
              </w:rPr>
              <w:t>Performance</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1,838</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85"/>
              </w:rPr>
              <w:t>8,261</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00FF"/>
                <w:w w:val="94"/>
              </w:rPr>
              <w:t>Stock Units</w:t>
            </w:r>
          </w:p>
        </w:tc>
        <w:tc>
          <w:tcPr>
            <w:tcW w:w="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03/15/2018</w:t>
            </w:r>
          </w:p>
        </w:tc>
        <w:tc>
          <w:tcPr>
            <w:tcW w:w="1100" w:type="dxa"/>
            <w:vAlign w:val="bottom"/>
          </w:tcPr>
          <w:p>
            <w:pPr>
              <w:spacing w:after="0"/>
              <w:rPr>
                <w:sz w:val="16"/>
                <w:szCs w:val="16"/>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rPr>
              <w:t>1,838</w:t>
            </w:r>
          </w:p>
        </w:tc>
        <w:tc>
          <w:tcPr>
            <w:tcW w:w="2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880" w:type="dxa"/>
            <w:vAlign w:val="bottom"/>
          </w:tcPr>
          <w:p>
            <w:pPr>
              <w:jc w:val="center"/>
              <w:spacing w:after="0"/>
              <w:rPr>
                <w:sz w:val="20"/>
                <w:szCs w:val="20"/>
                <w:color w:val="auto"/>
              </w:rPr>
            </w:pPr>
            <w:r>
              <w:rPr>
                <w:rFonts w:ascii="Arial" w:cs="Arial" w:eastAsia="Arial" w:hAnsi="Arial"/>
                <w:sz w:val="13"/>
                <w:szCs w:val="13"/>
                <w:color w:val="0000FF"/>
                <w:w w:val="88"/>
              </w:rPr>
              <w:t>Performance</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1,838</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0"/>
              </w:rPr>
              <w:t>10,099</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00FF"/>
                <w:w w:val="94"/>
              </w:rPr>
              <w:t>Stock Units</w:t>
            </w:r>
          </w:p>
        </w:tc>
        <w:tc>
          <w:tcPr>
            <w:tcW w:w="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4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first four anniversaries of March 15, 2018, subject to continued service during the vesting period.</w:t>
      </w:r>
    </w:p>
    <w:p>
      <w:pPr>
        <w:spacing w:after="0" w:line="59" w:lineRule="exact"/>
        <w:rPr>
          <w:rFonts w:ascii="Arial" w:cs="Arial" w:eastAsia="Arial" w:hAnsi="Arial"/>
          <w:sz w:val="12"/>
          <w:szCs w:val="12"/>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88.38 Conversion or Exercise Price of Derivative Security.</w:t>
      </w:r>
    </w:p>
    <w:p>
      <w:pPr>
        <w:spacing w:after="0" w:line="47" w:lineRule="exact"/>
        <w:rPr>
          <w:rFonts w:ascii="Arial" w:cs="Arial" w:eastAsia="Arial" w:hAnsi="Arial"/>
          <w:sz w:val="13"/>
          <w:szCs w:val="13"/>
          <w:color w:val="008000"/>
        </w:rPr>
      </w:pPr>
    </w:p>
    <w:p>
      <w:pPr>
        <w:ind w:left="40" w:right="20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Plan and the SAR Agreement, the SARs shall vest in equal installments of 25% on each of the four anniversaries of the grant date, March 15, 2018.</w:t>
      </w:r>
    </w:p>
    <w:p>
      <w:pPr>
        <w:spacing w:after="0" w:line="21" w:lineRule="exact"/>
        <w:rPr>
          <w:rFonts w:ascii="Arial" w:cs="Arial" w:eastAsia="Arial" w:hAnsi="Arial"/>
          <w:sz w:val="13"/>
          <w:szCs w:val="13"/>
          <w:color w:val="008000"/>
        </w:rPr>
      </w:pPr>
    </w:p>
    <w:p>
      <w:pPr>
        <w:ind w:left="40" w:right="160" w:firstLine="5"/>
        <w:spacing w:after="0"/>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15, 2018, reporting person was granted 1,838 PSUs to vest or lapse on the filing of the Company's Annual Report on Form 10-K for the fiscal year ending December 31, 2020 ("2020 Form 10-K") based on the rank of the Company's total shareholder return for the three-year period ending December 31, 2020 relative to the total shareholder return of a benchmark group of companies. The form of agreement for this award was filed with the Securities and Exchange Commission in a Current Report on Form 8-K on March 16, 2018. The number included in column 5 of Table II reflects the target number of PSUs eligible for vesting.</w:t>
      </w:r>
    </w:p>
    <w:p>
      <w:pPr>
        <w:spacing w:after="0" w:line="33" w:lineRule="exact"/>
        <w:rPr>
          <w:rFonts w:ascii="Arial" w:cs="Arial" w:eastAsia="Arial" w:hAnsi="Arial"/>
          <w:sz w:val="13"/>
          <w:szCs w:val="13"/>
          <w:color w:val="008000"/>
        </w:rPr>
      </w:pPr>
    </w:p>
    <w:p>
      <w:pPr>
        <w:ind w:left="40" w:right="140" w:firstLine="5"/>
        <w:spacing w:after="0" w:line="244"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15, 2018, reporting person was granted 1,838 PSUs to vest or lapse on the filing of the Company's 2020 Form 10-K based on how the Company's cumulative adjusted free cash flow for fiscal years 2018, 2019 and 2020 compares to a target. The form of agreement for this award was filed with the Securities and Exchange Commission on March 16, 2018. The number included in column 5 of Table II reflects the target number of PSUs eligible for vesting.</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2"/>
          </w:tcPr>
          <w:p>
            <w:pPr>
              <w:spacing w:after="0"/>
              <w:rPr>
                <w:sz w:val="20"/>
                <w:szCs w:val="20"/>
                <w:color w:val="auto"/>
              </w:rPr>
            </w:pPr>
            <w:r>
              <w:rPr>
                <w:rFonts w:ascii="Arial" w:cs="Arial" w:eastAsia="Arial" w:hAnsi="Arial"/>
                <w:sz w:val="17"/>
                <w:szCs w:val="17"/>
                <w:color w:val="0000FF"/>
              </w:rPr>
              <w:t>/s/ Keyna Pidcock Skeffington</w:t>
            </w:r>
          </w:p>
        </w:tc>
        <w:tc>
          <w:tcPr>
            <w:tcW w:w="780" w:type="dxa"/>
            <w:vAlign w:val="bottom"/>
          </w:tcPr>
          <w:p>
            <w:pPr>
              <w:spacing w:after="0"/>
              <w:rPr>
                <w:sz w:val="20"/>
                <w:szCs w:val="20"/>
                <w:color w:val="auto"/>
              </w:rPr>
            </w:pPr>
            <w:r>
              <w:rPr>
                <w:rFonts w:ascii="Arial" w:cs="Arial" w:eastAsia="Arial" w:hAnsi="Arial"/>
                <w:sz w:val="17"/>
                <w:szCs w:val="17"/>
                <w:color w:val="0000FF"/>
                <w:w w:val="89"/>
              </w:rPr>
              <w:t>03/19/2018</w:t>
            </w:r>
          </w:p>
        </w:tc>
      </w:tr>
      <w:tr>
        <w:trPr>
          <w:trHeight w:val="228"/>
        </w:trPr>
        <w:tc>
          <w:tcPr>
            <w:tcW w:w="20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8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28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2019-12-08T13:06:02Z</dcterms:created>
  <dcterms:modified xsi:type="dcterms:W3CDTF">2019-12-08T13:06:02Z</dcterms:modified>
</cp:coreProperties>
</file>