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68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8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18"/>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312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900"/>
        <w:spacing w:after="0" w:line="301" w:lineRule="exact"/>
        <w:tabs>
          <w:tab w:leader="none" w:pos="109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400"/>
          </w:cols>
          <w:pgMar w:left="240" w:top="715" w:right="259" w:bottom="1440" w:gutter="0" w:footer="0" w:header="0"/>
        </w:sectPr>
      </w:pPr>
    </w:p>
    <w:p>
      <w:pPr>
        <w:spacing w:after="0" w:line="83" w:lineRule="exact"/>
        <w:rPr>
          <w:sz w:val="24"/>
          <w:szCs w:val="24"/>
          <w:color w:val="auto"/>
        </w:rPr>
      </w:pPr>
    </w:p>
    <w:p>
      <w:pPr>
        <w:ind w:left="1094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On October 30, 2019, LivaNova PLC (the “Company”) issued a press release announcing financial results for the quarter ended September 30, 2019. The Company will host a business update conference call and webcast today, October 30, 2019, at 12 p.m. London time (8 a.m. Eastern Time), during which the Company will discuss the financial results. The conference call will be available to interested parties through a live audio webcast and accessible through the Investor Relations section of the LivaNova corporate website at </w:t>
      </w:r>
      <w:r>
        <w:rPr>
          <w:rFonts w:ascii="Arial" w:cs="Arial" w:eastAsia="Arial" w:hAnsi="Arial"/>
          <w:sz w:val="18"/>
          <w:szCs w:val="18"/>
          <w:u w:val="single" w:color="auto"/>
          <w:color w:val="0563C1"/>
        </w:rPr>
        <w:t>www.livanova.com</w:t>
      </w:r>
      <w:r>
        <w:rPr>
          <w:rFonts w:ascii="Arial" w:cs="Arial" w:eastAsia="Arial" w:hAnsi="Arial"/>
          <w:sz w:val="18"/>
          <w:szCs w:val="18"/>
          <w:color w:val="auto"/>
        </w:rPr>
        <w:t>. A copy of the Company’s press release is furnished as Exhibit 99.1 on this Current Report on Form 8-K.</w:t>
      </w:r>
    </w:p>
    <w:p>
      <w:pPr>
        <w:spacing w:after="0" w:line="188"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3"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364" w:lineRule="exact"/>
        <w:rPr>
          <w:sz w:val="20"/>
          <w:szCs w:val="20"/>
          <w:color w:val="auto"/>
        </w:rPr>
      </w:pPr>
    </w:p>
    <w:p>
      <w:pPr>
        <w:ind w:left="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issued by LivaNova PLC dated October 30, 2019</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30,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36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8084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5C39"/>
        </w:rPr>
        <w:t>LivaNova Reports Third Quarter 2019 Results</w:t>
      </w:r>
    </w:p>
    <w:p>
      <w:pPr>
        <w:spacing w:after="0" w:line="341" w:lineRule="exact"/>
        <w:rPr>
          <w:sz w:val="20"/>
          <w:szCs w:val="20"/>
          <w:color w:val="auto"/>
        </w:rPr>
      </w:pPr>
    </w:p>
    <w:p>
      <w:pPr>
        <w:jc w:val="both"/>
        <w:spacing w:after="0" w:line="398" w:lineRule="auto"/>
        <w:rPr>
          <w:sz w:val="20"/>
          <w:szCs w:val="20"/>
          <w:color w:val="auto"/>
        </w:rPr>
      </w:pPr>
      <w:r>
        <w:rPr>
          <w:rFonts w:ascii="Arial" w:cs="Arial" w:eastAsia="Arial" w:hAnsi="Arial"/>
          <w:sz w:val="20"/>
          <w:szCs w:val="20"/>
          <w:b w:val="1"/>
          <w:bCs w:val="1"/>
          <w:color w:val="auto"/>
        </w:rPr>
        <w:t xml:space="preserve">London, October 30, 2019 – </w:t>
      </w:r>
      <w:r>
        <w:rPr>
          <w:rFonts w:ascii="Arial" w:cs="Arial" w:eastAsia="Arial" w:hAnsi="Arial"/>
          <w:sz w:val="20"/>
          <w:szCs w:val="20"/>
          <w:color w:val="auto"/>
        </w:rPr>
        <w:t>LivaNova PLC (NASDAQ:LIVN), a market-leading medical technology and innovation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today reported results for the quarter ended September 30, 2019.</w:t>
      </w:r>
    </w:p>
    <w:p>
      <w:pPr>
        <w:spacing w:after="0" w:line="315" w:lineRule="exact"/>
        <w:rPr>
          <w:sz w:val="20"/>
          <w:szCs w:val="20"/>
          <w:color w:val="auto"/>
        </w:rPr>
      </w:pPr>
    </w:p>
    <w:p>
      <w:pPr>
        <w:jc w:val="both"/>
        <w:spacing w:after="0" w:line="340" w:lineRule="auto"/>
        <w:rPr>
          <w:sz w:val="20"/>
          <w:szCs w:val="20"/>
          <w:color w:val="auto"/>
        </w:rPr>
      </w:pPr>
      <w:r>
        <w:rPr>
          <w:rFonts w:ascii="Arial" w:cs="Arial" w:eastAsia="Arial" w:hAnsi="Arial"/>
          <w:sz w:val="20"/>
          <w:szCs w:val="20"/>
          <w:color w:val="auto"/>
        </w:rPr>
        <w:t>For the third quarter of 2019, worldwide sales from continuing operations were $268.6 million, a decrease of 1.3 percent on a reported basis and flat on a constant-currency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as compared to the same quarter of the previous year. On the basis of U.S. Generally Accepted Accounting Principles (GAAP), third quarter 2019 diluted income per share from continuing operations was $0.66. Third quarter 2019 adjusted diluted earnings per share from continuing operations were $0.84.</w:t>
      </w:r>
    </w:p>
    <w:p>
      <w:pPr>
        <w:spacing w:after="0" w:line="371"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"The third quarter of 2019 showed further sequential momentum in our U.S. Neuromodulation business which led to adjusted earnings per share above our guidance range," said Damien McDonald, Chief Executive Officer of LivaNova. "The solid performance in Neuromodulation was partially offset by softness in our Cardiovascular franchise. We continue to drive the transformation of LivaNova through our focus on execution and delivery of our pipeline.”</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2019 Results</w:t>
      </w:r>
    </w:p>
    <w:p>
      <w:pPr>
        <w:spacing w:after="0" w:line="37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Worldwide sales from continuing operations for the third quarter were $268.6 million, which was flat on a constant-currency basis compared to the third quarter of 2018. The following table highlights worldwide sales for the third quarter of 2019 by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55" w:lineRule="exact"/>
        <w:rPr>
          <w:sz w:val="20"/>
          <w:szCs w:val="20"/>
          <w:color w:val="auto"/>
        </w:rPr>
      </w:pPr>
    </w:p>
    <w:p>
      <w:pPr>
        <w:spacing w:after="0"/>
        <w:rPr>
          <w:sz w:val="20"/>
          <w:szCs w:val="20"/>
          <w:color w:val="auto"/>
        </w:rPr>
      </w:pPr>
      <w:r>
        <w:rPr>
          <w:rFonts w:ascii="Arial" w:cs="Arial" w:eastAsia="Arial" w:hAnsi="Arial"/>
          <w:sz w:val="7"/>
          <w:szCs w:val="7"/>
          <w:color w:val="auto"/>
        </w:rPr>
        <w:t>1</w:t>
      </w:r>
      <w:r>
        <w:rPr>
          <w:rFonts w:ascii="Arial" w:cs="Arial" w:eastAsia="Arial" w:hAnsi="Arial"/>
          <w:sz w:val="10"/>
          <w:szCs w:val="10"/>
          <w:color w:val="auto"/>
        </w:rPr>
        <w:t>Constant-currency percent change is considered a non-GAAP metric.</w:t>
      </w:r>
    </w:p>
    <w:p>
      <w:pPr>
        <w:sectPr>
          <w:pgSz w:w="11900" w:h="16838" w:orient="portrait"/>
          <w:cols w:equalWidth="0" w:num="1">
            <w:col w:w="11420"/>
          </w:cols>
          <w:pgMar w:left="240" w:top="612"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66"/>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in millions</w:t>
            </w:r>
          </w:p>
        </w:tc>
        <w:tc>
          <w:tcPr>
            <w:tcW w:w="2880" w:type="dxa"/>
            <w:vAlign w:val="bottom"/>
            <w:tcBorders>
              <w:top w:val="single" w:sz="8" w:color="auto"/>
            </w:tcBorders>
            <w:gridSpan w:val="3"/>
          </w:tcPr>
          <w:p>
            <w:pPr>
              <w:jc w:val="center"/>
              <w:ind w:left="545"/>
              <w:spacing w:after="0"/>
              <w:rPr>
                <w:sz w:val="20"/>
                <w:szCs w:val="20"/>
                <w:color w:val="auto"/>
              </w:rPr>
            </w:pPr>
            <w:r>
              <w:rPr>
                <w:rFonts w:ascii="Arial" w:cs="Arial" w:eastAsia="Arial" w:hAnsi="Arial"/>
                <w:sz w:val="20"/>
                <w:szCs w:val="20"/>
                <w:color w:val="auto"/>
                <w:w w:val="99"/>
              </w:rPr>
              <w:t>Three months ended</w:t>
            </w:r>
          </w:p>
        </w:tc>
        <w:tc>
          <w:tcPr>
            <w:tcW w:w="640" w:type="dxa"/>
            <w:vAlign w:val="bottom"/>
            <w:tcBorders>
              <w:top w:val="single" w:sz="8" w:color="auto"/>
              <w:right w:val="single" w:sz="8" w:color="auto"/>
            </w:tcBorders>
          </w:tcPr>
          <w:p>
            <w:pPr>
              <w:spacing w:after="0"/>
              <w:rPr>
                <w:sz w:val="23"/>
                <w:szCs w:val="23"/>
                <w:color w:val="auto"/>
              </w:rPr>
            </w:pPr>
          </w:p>
        </w:tc>
        <w:tc>
          <w:tcPr>
            <w:tcW w:w="1720" w:type="dxa"/>
            <w:vAlign w:val="bottom"/>
            <w:tcBorders>
              <w:top w:val="single" w:sz="8" w:color="auto"/>
              <w:right w:val="single" w:sz="8" w:color="auto"/>
            </w:tcBorders>
          </w:tcPr>
          <w:p>
            <w:pPr>
              <w:spacing w:after="0"/>
              <w:rPr>
                <w:sz w:val="23"/>
                <w:szCs w:val="23"/>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Constant-</w:t>
            </w:r>
          </w:p>
        </w:tc>
      </w:tr>
      <w:tr>
        <w:trPr>
          <w:trHeight w:val="243"/>
        </w:trPr>
        <w:tc>
          <w:tcPr>
            <w:tcW w:w="4460" w:type="dxa"/>
            <w:vAlign w:val="bottom"/>
            <w:tcBorders>
              <w:left w:val="single" w:sz="8" w:color="auto"/>
              <w:right w:val="single" w:sz="8" w:color="auto"/>
            </w:tcBorders>
          </w:tcPr>
          <w:p>
            <w:pPr>
              <w:spacing w:after="0"/>
              <w:rPr>
                <w:sz w:val="21"/>
                <w:szCs w:val="21"/>
                <w:color w:val="auto"/>
              </w:rPr>
            </w:pPr>
          </w:p>
        </w:tc>
        <w:tc>
          <w:tcPr>
            <w:tcW w:w="1080" w:type="dxa"/>
            <w:vAlign w:val="bottom"/>
            <w:tcBorders>
              <w:bottom w:val="single" w:sz="8" w:color="00000A"/>
            </w:tcBorders>
          </w:tcPr>
          <w:p>
            <w:pPr>
              <w:spacing w:after="0"/>
              <w:rPr>
                <w:sz w:val="21"/>
                <w:szCs w:val="21"/>
                <w:color w:val="auto"/>
              </w:rPr>
            </w:pPr>
          </w:p>
        </w:tc>
        <w:tc>
          <w:tcPr>
            <w:tcW w:w="1800" w:type="dxa"/>
            <w:vAlign w:val="bottom"/>
            <w:tcBorders>
              <w:bottom w:val="single" w:sz="8" w:color="00000A"/>
            </w:tcBorders>
            <w:gridSpan w:val="2"/>
          </w:tcPr>
          <w:p>
            <w:pPr>
              <w:jc w:val="center"/>
              <w:ind w:right="350"/>
              <w:spacing w:after="0"/>
              <w:rPr>
                <w:sz w:val="20"/>
                <w:szCs w:val="20"/>
                <w:color w:val="auto"/>
              </w:rPr>
            </w:pPr>
            <w:r>
              <w:rPr>
                <w:rFonts w:ascii="Arial" w:cs="Arial" w:eastAsia="Arial" w:hAnsi="Arial"/>
                <w:sz w:val="20"/>
                <w:szCs w:val="20"/>
                <w:color w:val="auto"/>
                <w:w w:val="97"/>
              </w:rPr>
              <w:t>September 30,</w:t>
            </w:r>
          </w:p>
        </w:tc>
        <w:tc>
          <w:tcPr>
            <w:tcW w:w="640" w:type="dxa"/>
            <w:vAlign w:val="bottom"/>
            <w:tcBorders>
              <w:bottom w:val="single" w:sz="8" w:color="00000A"/>
              <w:right w:val="single" w:sz="8" w:color="auto"/>
            </w:tcBorders>
          </w:tcPr>
          <w:p>
            <w:pPr>
              <w:spacing w:after="0"/>
              <w:rPr>
                <w:sz w:val="21"/>
                <w:szCs w:val="21"/>
                <w:color w:val="auto"/>
              </w:rPr>
            </w:pPr>
          </w:p>
        </w:tc>
        <w:tc>
          <w:tcPr>
            <w:tcW w:w="1720" w:type="dxa"/>
            <w:vAlign w:val="bottom"/>
            <w:tcBorders>
              <w:right w:val="single" w:sz="8" w:color="auto"/>
            </w:tcBorders>
          </w:tcPr>
          <w:p>
            <w:pPr>
              <w:jc w:val="right"/>
              <w:ind w:right="309"/>
              <w:spacing w:after="0"/>
              <w:rPr>
                <w:sz w:val="20"/>
                <w:szCs w:val="20"/>
                <w:color w:val="auto"/>
              </w:rPr>
            </w:pPr>
            <w:r>
              <w:rPr>
                <w:rFonts w:ascii="Arial" w:cs="Arial" w:eastAsia="Arial" w:hAnsi="Arial"/>
                <w:sz w:val="20"/>
                <w:szCs w:val="20"/>
                <w:color w:val="auto"/>
              </w:rPr>
              <w:t>% Change</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Currency</w:t>
            </w:r>
          </w:p>
        </w:tc>
      </w:tr>
      <w:tr>
        <w:trPr>
          <w:trHeight w:val="261"/>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Business / Product Line: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64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1740" w:type="dxa"/>
            <w:vAlign w:val="bottom"/>
            <w:tcBorders>
              <w:bottom w:val="single" w:sz="8" w:color="auto"/>
              <w:right w:val="single" w:sz="8" w:color="auto"/>
            </w:tcBorders>
          </w:tcPr>
          <w:p>
            <w:pPr>
              <w:jc w:val="center"/>
              <w:spacing w:after="0" w:line="217" w:lineRule="exact"/>
              <w:rPr>
                <w:sz w:val="20"/>
                <w:szCs w:val="20"/>
                <w:color w:val="auto"/>
              </w:rPr>
            </w:pPr>
            <w:r>
              <w:rPr>
                <w:rFonts w:ascii="Arial" w:cs="Arial" w:eastAsia="Arial" w:hAnsi="Arial"/>
                <w:sz w:val="20"/>
                <w:szCs w:val="20"/>
                <w:color w:val="auto"/>
                <w:w w:val="98"/>
              </w:rPr>
              <w:t>% Change</w:t>
            </w:r>
          </w:p>
        </w:tc>
      </w:tr>
      <w:tr>
        <w:trPr>
          <w:trHeight w:val="250"/>
        </w:trPr>
        <w:tc>
          <w:tcPr>
            <w:tcW w:w="44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$120.0</w:t>
            </w:r>
          </w:p>
        </w:tc>
        <w:tc>
          <w:tcPr>
            <w:tcW w:w="11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$127.9</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44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28.9</w:t>
            </w:r>
          </w:p>
        </w:tc>
        <w:tc>
          <w:tcPr>
            <w:tcW w:w="11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32.5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44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Advanced Circulatory Support</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i w:val="1"/>
                <w:iCs w:val="1"/>
                <w:color w:val="auto"/>
              </w:rPr>
              <w:t>6.5</w:t>
            </w:r>
          </w:p>
        </w:tc>
        <w:tc>
          <w:tcPr>
            <w:tcW w:w="11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6.1</w:t>
            </w:r>
          </w:p>
        </w:tc>
        <w:tc>
          <w:tcPr>
            <w:tcW w:w="172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7.6%</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7.6%</w:t>
            </w: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155.4</w:t>
            </w:r>
          </w:p>
        </w:tc>
        <w:tc>
          <w:tcPr>
            <w:tcW w:w="11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166.6</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112.5</w:t>
            </w:r>
          </w:p>
        </w:tc>
        <w:tc>
          <w:tcPr>
            <w:tcW w:w="11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172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7.2%</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7.8%</w:t>
            </w: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0.6</w:t>
            </w:r>
          </w:p>
        </w:tc>
        <w:tc>
          <w:tcPr>
            <w:tcW w:w="11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720" w:type="dxa"/>
            <w:vAlign w:val="bottom"/>
            <w:tcBorders>
              <w:bottom w:val="single" w:sz="8" w:color="auto"/>
              <w:right w:val="single" w:sz="8" w:color="auto"/>
            </w:tcBorders>
          </w:tcPr>
          <w:p>
            <w:pPr>
              <w:jc w:val="right"/>
              <w:ind w:right="29"/>
              <w:spacing w:after="0"/>
              <w:rPr>
                <w:sz w:val="20"/>
                <w:szCs w:val="20"/>
                <w:color w:val="auto"/>
              </w:rPr>
            </w:pPr>
            <w:r>
              <w:rPr>
                <w:rFonts w:ascii="Arial" w:cs="Arial" w:eastAsia="Arial" w:hAnsi="Arial"/>
                <w:sz w:val="18"/>
                <w:szCs w:val="18"/>
                <w:color w:val="auto"/>
              </w:rPr>
              <w:t>10.9%</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16.4%</w:t>
            </w:r>
          </w:p>
        </w:tc>
      </w:tr>
      <w:tr>
        <w:trPr>
          <w:trHeight w:val="25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120" w:type="dxa"/>
            <w:vAlign w:val="bottom"/>
            <w:tcBorders>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7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18"/>
                <w:szCs w:val="18"/>
                <w:color w:val="auto"/>
              </w:rPr>
              <w:t>0.0%</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 Numbers may not add up precisely due to rounding. Constant-currency percent change is considered a non-GAAP metric.</w:t>
      </w:r>
    </w:p>
    <w:p>
      <w:pPr>
        <w:spacing w:after="0" w:line="256"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Cardiovascular</w:t>
      </w:r>
    </w:p>
    <w:p>
      <w:pPr>
        <w:spacing w:after="0" w:line="145"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Cardiovascular sales, which includes Cardiopulmonary, Heart Valves and Advanced Circulatory Support (ACS) products, were $155.4 million, representing a 4.9 percent decrease versus the third quarter of 2018.</w:t>
      </w:r>
    </w:p>
    <w:p>
      <w:pPr>
        <w:spacing w:after="0" w:line="339" w:lineRule="exact"/>
        <w:rPr>
          <w:sz w:val="20"/>
          <w:szCs w:val="20"/>
          <w:color w:val="auto"/>
        </w:rPr>
      </w:pPr>
    </w:p>
    <w:p>
      <w:pPr>
        <w:jc w:val="both"/>
        <w:ind w:right="20"/>
        <w:spacing w:after="0" w:line="368" w:lineRule="auto"/>
        <w:rPr>
          <w:sz w:val="20"/>
          <w:szCs w:val="20"/>
          <w:color w:val="auto"/>
        </w:rPr>
      </w:pPr>
      <w:r>
        <w:rPr>
          <w:rFonts w:ascii="Arial" w:cs="Arial" w:eastAsia="Arial" w:hAnsi="Arial"/>
          <w:sz w:val="20"/>
          <w:szCs w:val="20"/>
          <w:color w:val="auto"/>
        </w:rPr>
        <w:t>Sales in Cardiopulmonary products were $120.0 million, representing a 4.5 percent decrease versus the third quarter of 2018. In the prior year period, LivaNova exited a Canadian distribution agreement in its Rest of World region, which amounted to $8.0 million. For the third quarter of 2019, Cardiopulmonary growth was led by oxygenators which was primarily driven by Rest of World.</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Heart Valve sales were $28.9 million, a decrease of 9.1 percent compared to the third quarter of 2018.</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309" w:lineRule="auto"/>
        <w:rPr>
          <w:sz w:val="20"/>
          <w:szCs w:val="20"/>
          <w:color w:val="auto"/>
        </w:rPr>
      </w:pPr>
      <w:r>
        <w:rPr>
          <w:rFonts w:ascii="Arial" w:cs="Arial" w:eastAsia="Arial" w:hAnsi="Arial"/>
          <w:sz w:val="20"/>
          <w:szCs w:val="20"/>
          <w:color w:val="auto"/>
        </w:rPr>
        <w:t>ACS sales were $6.5 million in the quarter, an increase of 7.6 percent compared to the third quarter of 2018, primarily related to growth in ProtekDuo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kits. In the third quarter, LivaNova received U.S. Food and Drug Administration clearance for the next-generation LifeSPARC</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pump and controller system.</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45" w:lineRule="exact"/>
        <w:rPr>
          <w:sz w:val="20"/>
          <w:szCs w:val="20"/>
          <w:color w:val="auto"/>
        </w:rPr>
      </w:pPr>
    </w:p>
    <w:p>
      <w:pPr>
        <w:jc w:val="both"/>
        <w:ind w:right="40"/>
        <w:spacing w:after="0" w:line="373" w:lineRule="auto"/>
        <w:rPr>
          <w:sz w:val="20"/>
          <w:szCs w:val="20"/>
          <w:color w:val="auto"/>
        </w:rPr>
      </w:pPr>
      <w:r>
        <w:rPr>
          <w:rFonts w:ascii="Arial" w:cs="Arial" w:eastAsia="Arial" w:hAnsi="Arial"/>
          <w:sz w:val="20"/>
          <w:szCs w:val="20"/>
          <w:color w:val="auto"/>
        </w:rPr>
        <w:t>Neuromodulation sales were $112.5 million in the third quarter, representing a 7.8 percent increase versus the third quarter of 2018. The U.S. returned to growth while Europe and Rest of World delivered another quarter of double-digit growth.</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40"/>
          </w:cols>
          <w:pgMar w:left="240" w:top="754" w:right="2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On a U.S. GAAP basis, third quarter 2019 operating income from continuing operations was $25.8 million. Adjusted operating income from continuing operations for the third quarter of 2019 was $47.8 million, an increase of 1.7 percent as compared to the third quarter of 2018 related to performance in Neuromodulation, offset by continued investment in strategic portfolio initiatives and commercial expansion.</w:t>
      </w:r>
    </w:p>
    <w:p>
      <w:pPr>
        <w:spacing w:after="0" w:line="3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adjusted effective tax rate in the quarter was 11.2 percent, an improvement from 12.6 percent in the third quarter of 2018 related to changes in the geographic income mix.</w:t>
      </w:r>
    </w:p>
    <w:p>
      <w:pPr>
        <w:spacing w:after="0" w:line="339"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On a U.S. GAAP basis, third quarter 2019 diluted income per share from continuing operations was $0.66. Third quarter 2019 adjusted diluted earnings per share from continuing operations were $0.84, an increase of 7.7 percent compared to the third quarter of 2018.</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Guidance</w:t>
      </w:r>
    </w:p>
    <w:p>
      <w:pPr>
        <w:spacing w:after="0" w:line="145" w:lineRule="exact"/>
        <w:rPr>
          <w:sz w:val="20"/>
          <w:szCs w:val="20"/>
          <w:color w:val="auto"/>
        </w:rPr>
      </w:pPr>
    </w:p>
    <w:p>
      <w:pPr>
        <w:jc w:val="both"/>
        <w:spacing w:after="0" w:line="348" w:lineRule="auto"/>
        <w:rPr>
          <w:sz w:val="20"/>
          <w:szCs w:val="20"/>
          <w:color w:val="auto"/>
        </w:rPr>
      </w:pPr>
      <w:r>
        <w:rPr>
          <w:rFonts w:ascii="Arial" w:cs="Arial" w:eastAsia="Arial" w:hAnsi="Arial"/>
          <w:sz w:val="20"/>
          <w:szCs w:val="20"/>
          <w:color w:val="auto"/>
        </w:rPr>
        <w:t>LivaNova worldwide net sales for full-year 2019 are expected to grow between 1 and 3 percent on a constant-currency basis. This guidance continues to include the impact of exiting a low-margin distribution agreement in Canada and one quarter of sales from TandemLife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prior to the deal closing in April 2018. Adjusted diluted earnings per share from continuing operations for 2019 are expected to be in the range of $3.00 to $3.10.</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45"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 xml:space="preserve">The Company will host a live audio webcast for interested parties commencing at 12 p.m. London time (8 a.m. Eastern Time) on Wednesday, October 30 that will be accessible through the Investor Relations section of the LivaNova corporate website at </w:t>
      </w:r>
      <w:r>
        <w:rPr>
          <w:rFonts w:ascii="Arial" w:cs="Arial" w:eastAsia="Arial" w:hAnsi="Arial"/>
          <w:sz w:val="20"/>
          <w:szCs w:val="20"/>
          <w:u w:val="single" w:color="auto"/>
          <w:color w:val="auto"/>
        </w:rPr>
        <w:t>www.livanova.com</w:t>
      </w:r>
      <w:r>
        <w:rPr>
          <w:rFonts w:ascii="Arial" w:cs="Arial" w:eastAsia="Arial" w:hAnsi="Arial"/>
          <w:sz w:val="20"/>
          <w:szCs w:val="20"/>
          <w:color w:val="auto"/>
        </w:rPr>
        <w:t>. To listen to the conference call live by telephone, dial (844) 601-5111 (if dialing from within the U.S.) or (647) 253-8650 (if dialing from outside the U.S.). The conference ID is 8197892.</w:t>
      </w:r>
    </w:p>
    <w:p>
      <w:pPr>
        <w:spacing w:after="0" w:line="34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30"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FF5C39"/>
        </w:rPr>
        <w:t>About LivaNova</w:t>
      </w:r>
    </w:p>
    <w:p>
      <w:pPr>
        <w:spacing w:after="0" w:line="21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LivaNova operates as two businesses: Cardiovascular and Neuromodulation, with operating headquarters in Mirandola (Italy) and Houston (U.S.),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u w:val="single" w:color="auto"/>
          <w:color w:val="auto"/>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8" w:lineRule="exact"/>
        <w:rPr>
          <w:sz w:val="20"/>
          <w:szCs w:val="20"/>
          <w:color w:val="auto"/>
        </w:rPr>
      </w:pPr>
    </w:p>
    <w:p>
      <w:pPr>
        <w:jc w:val="both"/>
        <w:spacing w:after="0" w:line="374"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90" w:right="239" w:bottom="1440" w:gutter="0" w:footer="0" w:header="0"/>
        </w:sectPr>
      </w:pPr>
    </w:p>
    <w:bookmarkStart w:id="7" w:name="page8"/>
    <w:bookmarkEnd w:id="7"/>
    <w:p>
      <w:pPr>
        <w:jc w:val="both"/>
        <w:spacing w:after="0" w:line="353" w:lineRule="auto"/>
        <w:rPr>
          <w:sz w:val="20"/>
          <w:szCs w:val="20"/>
          <w:color w:val="auto"/>
        </w:rPr>
      </w:pPr>
      <w:r>
        <w:rPr>
          <w:rFonts w:ascii="Arial" w:cs="Arial" w:eastAsia="Arial" w:hAnsi="Arial"/>
          <w:sz w:val="20"/>
          <w:szCs w:val="20"/>
          <w:color w:val="auto"/>
        </w:rPr>
        <w:t>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333"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continued operations; adjusted income tax expense; adjusted net income from continuing operations; and adjusted diluted earnings per share,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90"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FF5C39"/>
        </w:rPr>
        <w:t>Safe Harbor Statement</w:t>
      </w:r>
    </w:p>
    <w:p>
      <w:pPr>
        <w:spacing w:after="0" w:line="121" w:lineRule="exact"/>
        <w:rPr>
          <w:sz w:val="20"/>
          <w:szCs w:val="20"/>
          <w:color w:val="auto"/>
        </w:rPr>
      </w:pPr>
    </w:p>
    <w:p>
      <w:pPr>
        <w:jc w:val="both"/>
        <w:spacing w:after="0" w:line="366"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2019,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assumptions made in connection with critical accounting estimates and legal proceedings; (xii) 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 costs, or other regulatory compliance costs. The foregoing list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703" w:right="239" w:bottom="1440" w:gutter="0" w:footer="0" w:header="0"/>
        </w:sectPr>
      </w:pPr>
    </w:p>
    <w:bookmarkStart w:id="9" w:name="page10"/>
    <w:bookmarkEnd w:id="9"/>
    <w:p>
      <w:pPr>
        <w:jc w:val="both"/>
        <w:spacing w:after="0" w:line="368" w:lineRule="auto"/>
        <w:rPr>
          <w:sz w:val="20"/>
          <w:szCs w:val="20"/>
          <w:color w:val="auto"/>
        </w:rPr>
      </w:pPr>
      <w:r>
        <w:rPr>
          <w:rFonts w:ascii="Arial" w:cs="Arial" w:eastAsia="Arial" w:hAnsi="Arial"/>
          <w:sz w:val="20"/>
          <w:szCs w:val="20"/>
          <w:color w:val="auto"/>
        </w:rPr>
        <w:t>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10"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Melissa Farina</w:t>
      </w:r>
    </w:p>
    <w:p>
      <w:pPr>
        <w:ind w:left="80"/>
        <w:spacing w:after="0" w:line="236" w:lineRule="auto"/>
        <w:rPr>
          <w:sz w:val="20"/>
          <w:szCs w:val="20"/>
          <w:color w:val="auto"/>
        </w:rPr>
      </w:pPr>
      <w:r>
        <w:rPr>
          <w:rFonts w:ascii="Arial" w:cs="Arial" w:eastAsia="Arial" w:hAnsi="Arial"/>
          <w:sz w:val="20"/>
          <w:szCs w:val="20"/>
          <w:color w:val="auto"/>
        </w:rPr>
        <w:t>Vice President, Investor Relations</w:t>
      </w:r>
    </w:p>
    <w:p>
      <w:pPr>
        <w:ind w:left="80"/>
        <w:spacing w:after="0" w:line="225" w:lineRule="auto"/>
        <w:rPr>
          <w:sz w:val="20"/>
          <w:szCs w:val="20"/>
          <w:color w:val="auto"/>
        </w:rPr>
      </w:pPr>
      <w:r>
        <w:rPr>
          <w:rFonts w:ascii="Arial" w:cs="Arial" w:eastAsia="Arial" w:hAnsi="Arial"/>
          <w:sz w:val="20"/>
          <w:szCs w:val="20"/>
          <w:color w:val="auto"/>
        </w:rPr>
        <w:t>Phone: +1 (281) 228 7262</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703" w:right="239" w:bottom="1440" w:gutter="0" w:footer="0" w:header="0"/>
        </w:sectPr>
      </w:pPr>
    </w:p>
    <w:bookmarkStart w:id="10" w:name="page11"/>
    <w:bookmarkEnd w:id="10"/>
    <w:tbl>
      <w:tblPr>
        <w:tblLayout w:type="fixed"/>
        <w:tblInd w:w="5" w:type="dxa"/>
        <w:tblCellMar>
          <w:top w:w="0" w:type="dxa"/>
          <w:left w:w="0" w:type="dxa"/>
          <w:bottom w:w="0" w:type="dxa"/>
          <w:right w:w="0" w:type="dxa"/>
        </w:tblCellMar>
      </w:tblPr>
      <w:tr>
        <w:trPr>
          <w:trHeight w:val="215"/>
        </w:trPr>
        <w:tc>
          <w:tcPr>
            <w:tcW w:w="4660" w:type="dxa"/>
            <w:vAlign w:val="bottom"/>
          </w:tcPr>
          <w:p>
            <w:pPr>
              <w:spacing w:after="0"/>
              <w:rPr>
                <w:sz w:val="20"/>
                <w:szCs w:val="20"/>
                <w:color w:val="auto"/>
              </w:rPr>
            </w:pPr>
            <w:r>
              <w:rPr>
                <w:rFonts w:ascii="Arial" w:cs="Arial" w:eastAsia="Arial" w:hAnsi="Arial"/>
                <w:sz w:val="16"/>
                <w:szCs w:val="16"/>
                <w:b w:val="1"/>
                <w:bCs w:val="1"/>
                <w:color w:val="auto"/>
              </w:rPr>
              <w:t>LIVANOVA PLC</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6"/>
                <w:szCs w:val="16"/>
                <w:b w:val="1"/>
                <w:bCs w:val="1"/>
                <w:color w:val="auto"/>
              </w:rPr>
              <w:t>(U.S. dollars 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83"/>
        </w:trPr>
        <w:tc>
          <w:tcPr>
            <w:tcW w:w="46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Three Months Ended September 30,</w:t>
            </w:r>
          </w:p>
        </w:tc>
        <w:tc>
          <w:tcPr>
            <w:tcW w:w="1920" w:type="dxa"/>
            <w:vAlign w:val="bottom"/>
            <w:tcBorders>
              <w:bottom w:val="single" w:sz="8" w:color="auto"/>
            </w:tcBorders>
          </w:tcPr>
          <w:p>
            <w:pPr>
              <w:spacing w:after="0"/>
              <w:rPr>
                <w:sz w:val="24"/>
                <w:szCs w:val="24"/>
                <w:color w:val="auto"/>
              </w:rPr>
            </w:pPr>
          </w:p>
        </w:tc>
      </w:tr>
      <w:tr>
        <w:trPr>
          <w:trHeight w:val="198"/>
        </w:trPr>
        <w:tc>
          <w:tcPr>
            <w:tcW w:w="4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 at Actual</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Change at Constant-</w:t>
            </w:r>
          </w:p>
        </w:tc>
      </w:tr>
      <w:tr>
        <w:trPr>
          <w:trHeight w:val="234"/>
        </w:trPr>
        <w:tc>
          <w:tcPr>
            <w:tcW w:w="466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Currency Rates</w:t>
            </w:r>
          </w:p>
        </w:tc>
        <w:tc>
          <w:tcPr>
            <w:tcW w:w="1920" w:type="dxa"/>
            <w:vAlign w:val="bottom"/>
          </w:tcPr>
          <w:p>
            <w:pPr>
              <w:jc w:val="right"/>
              <w:ind w:right="219"/>
              <w:spacing w:after="0" w:line="234" w:lineRule="exact"/>
              <w:rPr>
                <w:sz w:val="20"/>
                <w:szCs w:val="20"/>
                <w:color w:val="auto"/>
              </w:rPr>
            </w:pPr>
            <w:r>
              <w:rPr>
                <w:rFonts w:ascii="Arial" w:cs="Arial" w:eastAsia="Arial" w:hAnsi="Arial"/>
                <w:sz w:val="16"/>
                <w:szCs w:val="16"/>
                <w:b w:val="1"/>
                <w:bCs w:val="1"/>
                <w:color w:val="auto"/>
              </w:rPr>
              <w:t>Currency Rates</w:t>
            </w:r>
            <w:r>
              <w:rPr>
                <w:rFonts w:ascii="Arial" w:cs="Arial" w:eastAsia="Arial" w:hAnsi="Arial"/>
                <w:sz w:val="21"/>
                <w:szCs w:val="21"/>
                <w:color w:val="auto"/>
                <w:vertAlign w:val="superscript"/>
              </w:rPr>
              <w:t>(1)</w:t>
            </w:r>
          </w:p>
        </w:tc>
      </w:tr>
      <w:tr>
        <w:trPr>
          <w:trHeight w:val="244"/>
        </w:trPr>
        <w:tc>
          <w:tcPr>
            <w:tcW w:w="466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127.9</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(9.1%)</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4"/>
                <w:szCs w:val="24"/>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7.6%</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7.6%</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41.6</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166.6</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104.9</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7.2%</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7.8%</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10.9%</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16.4%</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139.7</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51.1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81.3</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67"/>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$268.6</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$272.1</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0.0%</w:t>
            </w:r>
          </w:p>
        </w:tc>
      </w:tr>
      <w:tr>
        <w:trPr>
          <w:trHeight w:val="20"/>
        </w:trPr>
        <w:tc>
          <w:tcPr>
            <w:tcW w:w="4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329" w:lineRule="exact"/>
        <w:rPr>
          <w:sz w:val="20"/>
          <w:szCs w:val="20"/>
          <w:color w:val="auto"/>
        </w:rPr>
      </w:pPr>
    </w:p>
    <w:p>
      <w:pPr>
        <w:ind w:left="325" w:right="40" w:hanging="325"/>
        <w:spacing w:after="0" w:line="258" w:lineRule="auto"/>
        <w:tabs>
          <w:tab w:leader="none" w:pos="325"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32" w:lineRule="exact"/>
        <w:rPr>
          <w:sz w:val="20"/>
          <w:szCs w:val="20"/>
          <w:color w:val="auto"/>
        </w:rPr>
      </w:pPr>
    </w:p>
    <w:p>
      <w:pPr>
        <w:ind w:left="325" w:hanging="325"/>
        <w:spacing w:after="0"/>
        <w:tabs>
          <w:tab w:leader="none" w:pos="32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273"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5"/>
          </w:cols>
          <w:pgMar w:left="275" w:top="783" w:right="239" w:bottom="1440" w:gutter="0" w:footer="0" w:header="0"/>
        </w:sectPr>
      </w:pPr>
    </w:p>
    <w:bookmarkStart w:id="11" w:name="page12"/>
    <w:bookmarkEnd w:id="11"/>
    <w:tbl>
      <w:tblPr>
        <w:tblLayout w:type="fixed"/>
        <w:tblInd w:w="5" w:type="dxa"/>
        <w:tblCellMar>
          <w:top w:w="0" w:type="dxa"/>
          <w:left w:w="0" w:type="dxa"/>
          <w:bottom w:w="0" w:type="dxa"/>
          <w:right w:w="0" w:type="dxa"/>
        </w:tblCellMar>
      </w:tblPr>
      <w:tr>
        <w:trPr>
          <w:trHeight w:val="215"/>
        </w:trPr>
        <w:tc>
          <w:tcPr>
            <w:tcW w:w="4660" w:type="dxa"/>
            <w:vAlign w:val="bottom"/>
          </w:tcPr>
          <w:p>
            <w:pPr>
              <w:spacing w:after="0"/>
              <w:rPr>
                <w:sz w:val="20"/>
                <w:szCs w:val="20"/>
                <w:color w:val="auto"/>
              </w:rPr>
            </w:pPr>
            <w:r>
              <w:rPr>
                <w:rFonts w:ascii="Arial" w:cs="Arial" w:eastAsia="Arial" w:hAnsi="Arial"/>
                <w:sz w:val="16"/>
                <w:szCs w:val="16"/>
                <w:b w:val="1"/>
                <w:bCs w:val="1"/>
                <w:color w:val="auto"/>
              </w:rPr>
              <w:t>LIVANOVA PLC</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6"/>
                <w:szCs w:val="16"/>
                <w:b w:val="1"/>
                <w:bCs w:val="1"/>
                <w:color w:val="auto"/>
              </w:rPr>
              <w:t>(U.S. dollars 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83"/>
        </w:trPr>
        <w:tc>
          <w:tcPr>
            <w:tcW w:w="46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Nine Months Ended September 30,</w:t>
            </w:r>
          </w:p>
        </w:tc>
        <w:tc>
          <w:tcPr>
            <w:tcW w:w="1920" w:type="dxa"/>
            <w:vAlign w:val="bottom"/>
            <w:tcBorders>
              <w:bottom w:val="single" w:sz="8" w:color="auto"/>
            </w:tcBorders>
          </w:tcPr>
          <w:p>
            <w:pPr>
              <w:spacing w:after="0"/>
              <w:rPr>
                <w:sz w:val="24"/>
                <w:szCs w:val="24"/>
                <w:color w:val="auto"/>
              </w:rPr>
            </w:pPr>
          </w:p>
        </w:tc>
      </w:tr>
      <w:tr>
        <w:trPr>
          <w:trHeight w:val="198"/>
        </w:trPr>
        <w:tc>
          <w:tcPr>
            <w:tcW w:w="4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 at Actual</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Change at Constant-</w:t>
            </w:r>
          </w:p>
        </w:tc>
      </w:tr>
      <w:tr>
        <w:trPr>
          <w:trHeight w:val="234"/>
        </w:trPr>
        <w:tc>
          <w:tcPr>
            <w:tcW w:w="466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920" w:type="dxa"/>
            <w:vAlign w:val="bottom"/>
            <w:gridSpan w:val="2"/>
          </w:tcPr>
          <w:p>
            <w:pPr>
              <w:ind w:left="320"/>
              <w:spacing w:after="0"/>
              <w:rPr>
                <w:sz w:val="20"/>
                <w:szCs w:val="20"/>
                <w:color w:val="auto"/>
              </w:rPr>
            </w:pPr>
            <w:r>
              <w:rPr>
                <w:rFonts w:ascii="Arial" w:cs="Arial" w:eastAsia="Arial" w:hAnsi="Arial"/>
                <w:sz w:val="16"/>
                <w:szCs w:val="16"/>
                <w:b w:val="1"/>
                <w:bCs w:val="1"/>
                <w:color w:val="auto"/>
              </w:rPr>
              <w:t>Currency Rates</w:t>
            </w:r>
          </w:p>
        </w:tc>
        <w:tc>
          <w:tcPr>
            <w:tcW w:w="1920" w:type="dxa"/>
            <w:vAlign w:val="bottom"/>
          </w:tcPr>
          <w:p>
            <w:pPr>
              <w:jc w:val="right"/>
              <w:ind w:right="219"/>
              <w:spacing w:after="0" w:line="234" w:lineRule="exact"/>
              <w:rPr>
                <w:sz w:val="20"/>
                <w:szCs w:val="20"/>
                <w:color w:val="auto"/>
              </w:rPr>
            </w:pPr>
            <w:r>
              <w:rPr>
                <w:rFonts w:ascii="Arial" w:cs="Arial" w:eastAsia="Arial" w:hAnsi="Arial"/>
                <w:sz w:val="16"/>
                <w:szCs w:val="16"/>
                <w:b w:val="1"/>
                <w:bCs w:val="1"/>
                <w:color w:val="auto"/>
              </w:rPr>
              <w:t>Currency Rates</w:t>
            </w:r>
            <w:r>
              <w:rPr>
                <w:rFonts w:ascii="Arial" w:cs="Arial" w:eastAsia="Arial" w:hAnsi="Arial"/>
                <w:sz w:val="21"/>
                <w:szCs w:val="21"/>
                <w:color w:val="auto"/>
                <w:vertAlign w:val="superscript"/>
              </w:rPr>
              <w:t>(1)</w:t>
            </w:r>
          </w:p>
        </w:tc>
      </w:tr>
      <w:tr>
        <w:trPr>
          <w:trHeight w:val="244"/>
        </w:trPr>
        <w:tc>
          <w:tcPr>
            <w:tcW w:w="4660" w:type="dxa"/>
            <w:vAlign w:val="bottom"/>
          </w:tcPr>
          <w:p>
            <w:pPr>
              <w:spacing w:after="0"/>
              <w:rPr>
                <w:sz w:val="20"/>
                <w:szCs w:val="20"/>
                <w:color w:val="auto"/>
              </w:rPr>
            </w:pPr>
            <w:r>
              <w:rPr>
                <w:rFonts w:ascii="Arial" w:cs="Arial" w:eastAsia="Arial" w:hAnsi="Arial"/>
                <w:sz w:val="16"/>
                <w:szCs w:val="16"/>
                <w:b w:val="1"/>
                <w:bCs w:val="1"/>
                <w:color w:val="auto"/>
              </w:rPr>
              <w:t>Cardiopulmonary</w:t>
            </w: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$121.0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163.8</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372.2</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389.7</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Heart Valves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97.4</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Advanced Circulatory Support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95.3%</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91.0%</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91.2%</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Cardiovascular</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151.2</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138.8</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483.2</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499.2</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0.4%</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254.6</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309.4</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0.7%</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1.6%</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920" w:type="dxa"/>
            <w:vAlign w:val="bottom"/>
            <w:gridSpan w:val="2"/>
          </w:tcPr>
          <w:p>
            <w:pPr>
              <w:ind w:left="1320"/>
              <w:spacing w:after="0"/>
              <w:rPr>
                <w:sz w:val="20"/>
                <w:szCs w:val="20"/>
                <w:color w:val="auto"/>
              </w:rPr>
            </w:pPr>
            <w:r>
              <w:rPr>
                <w:rFonts w:ascii="Arial" w:cs="Arial" w:eastAsia="Arial" w:hAnsi="Arial"/>
                <w:sz w:val="16"/>
                <w:szCs w:val="16"/>
                <w:color w:val="auto"/>
              </w:rPr>
              <w:t>N/A</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N/A</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50"/>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45.1%</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54.7%</w:t>
            </w:r>
          </w:p>
        </w:tc>
      </w:tr>
      <w:tr>
        <w:trPr>
          <w:trHeight w:val="251"/>
        </w:trPr>
        <w:tc>
          <w:tcPr>
            <w:tcW w:w="4660" w:type="dxa"/>
            <w:vAlign w:val="bottom"/>
          </w:tcPr>
          <w:p>
            <w:pPr>
              <w:spacing w:after="0"/>
              <w:rPr>
                <w:sz w:val="20"/>
                <w:szCs w:val="20"/>
                <w:color w:val="auto"/>
              </w:rPr>
            </w:pPr>
            <w:r>
              <w:rPr>
                <w:rFonts w:ascii="Arial" w:cs="Arial" w:eastAsia="Arial" w:hAnsi="Arial"/>
                <w:sz w:val="16"/>
                <w:szCs w:val="16"/>
                <w:b w:val="1"/>
                <w:bCs w:val="1"/>
                <w:color w:val="auto"/>
              </w:rPr>
              <w:t>Totals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US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401.4</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405.8</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660" w:type="dxa"/>
            <w:vAlign w:val="bottom"/>
          </w:tcPr>
          <w:p>
            <w:pPr>
              <w:spacing w:after="0"/>
              <w:rPr>
                <w:sz w:val="20"/>
                <w:szCs w:val="20"/>
                <w:color w:val="auto"/>
              </w:rPr>
            </w:pPr>
            <w:r>
              <w:rPr>
                <w:rFonts w:ascii="Arial" w:cs="Arial" w:eastAsia="Arial" w:hAnsi="Arial"/>
                <w:sz w:val="16"/>
                <w:szCs w:val="16"/>
                <w:color w:val="auto"/>
              </w:rPr>
              <w:t>Europe</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170.5</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83"/>
        </w:trPr>
        <w:tc>
          <w:tcPr>
            <w:tcW w:w="4660" w:type="dxa"/>
            <w:vAlign w:val="bottom"/>
          </w:tcPr>
          <w:p>
            <w:pPr>
              <w:spacing w:after="0"/>
              <w:rPr>
                <w:sz w:val="20"/>
                <w:szCs w:val="20"/>
                <w:color w:val="auto"/>
              </w:rPr>
            </w:pPr>
            <w:r>
              <w:rPr>
                <w:rFonts w:ascii="Arial" w:cs="Arial" w:eastAsia="Arial" w:hAnsi="Arial"/>
                <w:sz w:val="16"/>
                <w:szCs w:val="16"/>
                <w:color w:val="auto"/>
              </w:rPr>
              <w:t>Rest of world</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229.9</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233.7</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67"/>
        </w:trPr>
        <w:tc>
          <w:tcPr>
            <w:tcW w:w="4660" w:type="dxa"/>
            <w:vAlign w:val="bottom"/>
          </w:tcPr>
          <w:p>
            <w:pPr>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$796.6</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$810.0</w:t>
            </w: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0.9%</w:t>
            </w:r>
          </w:p>
        </w:tc>
      </w:tr>
      <w:tr>
        <w:trPr>
          <w:trHeight w:val="20"/>
        </w:trPr>
        <w:tc>
          <w:tcPr>
            <w:tcW w:w="4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329" w:lineRule="exact"/>
        <w:rPr>
          <w:sz w:val="20"/>
          <w:szCs w:val="20"/>
          <w:color w:val="auto"/>
        </w:rPr>
      </w:pPr>
    </w:p>
    <w:p>
      <w:pPr>
        <w:ind w:left="325" w:right="40" w:hanging="325"/>
        <w:spacing w:after="0" w:line="258" w:lineRule="auto"/>
        <w:tabs>
          <w:tab w:leader="none" w:pos="325"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Constant-currency growth, a non-GAAP financial measure, measures the change in sales between current and prior-year periods using average exchange rates in effect during the applicable prior-year period.</w:t>
      </w:r>
    </w:p>
    <w:p>
      <w:pPr>
        <w:spacing w:after="0" w:line="32" w:lineRule="exact"/>
        <w:rPr>
          <w:sz w:val="20"/>
          <w:szCs w:val="20"/>
          <w:color w:val="auto"/>
        </w:rPr>
      </w:pPr>
    </w:p>
    <w:p>
      <w:pPr>
        <w:ind w:left="325" w:hanging="325"/>
        <w:spacing w:after="0"/>
        <w:tabs>
          <w:tab w:leader="none" w:pos="325"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sales results presented are unaudited. Numbers may not add up precisely due to rounding.</w:t>
      </w:r>
    </w:p>
    <w:p>
      <w:pPr>
        <w:spacing w:after="0" w:line="200" w:lineRule="exact"/>
        <w:rPr>
          <w:sz w:val="20"/>
          <w:szCs w:val="20"/>
          <w:color w:val="auto"/>
        </w:rPr>
      </w:pPr>
    </w:p>
    <w:p>
      <w:pPr>
        <w:spacing w:after="0" w:line="290"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5"/>
          </w:cols>
          <w:pgMar w:left="275" w:top="783" w:right="239" w:bottom="1440" w:gutter="0" w:footer="0" w:header="0"/>
        </w:sectPr>
      </w:pPr>
    </w:p>
    <w:bookmarkStart w:id="12" w:name="page13"/>
    <w:bookmarkEnd w:id="12"/>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CONDENSED CONSOLIDATED STATEMENTS OF INCOME - UNAUDITED</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370"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37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0"/>
                <w:szCs w:val="20"/>
                <w:color w:val="auto"/>
              </w:rPr>
            </w:pPr>
            <w:r>
              <w:rPr>
                <w:rFonts w:ascii="Arial" w:cs="Arial" w:eastAsia="Arial" w:hAnsi="Arial"/>
                <w:sz w:val="16"/>
                <w:szCs w:val="16"/>
                <w:color w:val="auto"/>
              </w:rPr>
              <w:t>Net sales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$272.1</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6"/>
                <w:szCs w:val="16"/>
                <w:color w:val="auto"/>
              </w:rPr>
              <w:t>Costs and expenses: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Cost of sales - exclusive of amortization</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Product remediation</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Merger and integration expenses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Restructuring expenses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Amortization of intangibles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Insurance recovery</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Operating income (loss) from continuing operations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(5.8)</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(544.8%)</w:t>
            </w:r>
          </w:p>
        </w:tc>
        <w:tc>
          <w:tcPr>
            <w:tcW w:w="0" w:type="dxa"/>
            <w:vAlign w:val="bottom"/>
          </w:tcPr>
          <w:p>
            <w:pPr>
              <w:spacing w:after="0"/>
              <w:rPr>
                <w:sz w:val="1"/>
                <w:szCs w:val="1"/>
                <w:color w:val="auto"/>
              </w:rPr>
            </w:pPr>
          </w:p>
        </w:tc>
      </w:tr>
      <w:tr>
        <w:trPr>
          <w:trHeight w:val="251"/>
        </w:trPr>
        <w:tc>
          <w:tcPr>
            <w:tcW w:w="562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1"/>
                <w:szCs w:val="21"/>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Foreign exchange and other gains (losses)</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Income (loss) from continuing operations before tax</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(8.9)</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64"/>
        </w:trPr>
        <w:tc>
          <w:tcPr>
            <w:tcW w:w="5620" w:type="dxa"/>
            <w:vAlign w:val="bottom"/>
          </w:tcPr>
          <w:p>
            <w:pPr>
              <w:ind w:left="200"/>
              <w:spacing w:after="0"/>
              <w:rPr>
                <w:sz w:val="20"/>
                <w:szCs w:val="20"/>
                <w:color w:val="auto"/>
              </w:rPr>
            </w:pPr>
            <w:r>
              <w:rPr>
                <w:rFonts w:ascii="Arial" w:cs="Arial" w:eastAsia="Arial" w:hAnsi="Arial"/>
                <w:sz w:val="16"/>
                <w:szCs w:val="16"/>
                <w:color w:val="auto"/>
              </w:rPr>
              <w:t>Income tax benefit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Net income (loss) from continuing operations</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(609.5%)</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0"/>
                <w:szCs w:val="20"/>
                <w:color w:val="auto"/>
              </w:rPr>
            </w:pPr>
            <w:r>
              <w:rPr>
                <w:rFonts w:ascii="Arial" w:cs="Arial" w:eastAsia="Arial" w:hAnsi="Arial"/>
                <w:sz w:val="16"/>
                <w:szCs w:val="16"/>
                <w:color w:val="auto"/>
              </w:rPr>
              <w:t>Net loss from discontinued operations, net of tax</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spacing w:after="0"/>
              <w:rPr>
                <w:sz w:val="20"/>
                <w:szCs w:val="20"/>
                <w:color w:val="auto"/>
              </w:rPr>
            </w:pPr>
            <w:r>
              <w:rPr>
                <w:rFonts w:ascii="Arial" w:cs="Arial" w:eastAsia="Arial" w:hAnsi="Arial"/>
                <w:sz w:val="16"/>
                <w:szCs w:val="16"/>
                <w:color w:val="auto"/>
              </w:rPr>
              <w:t>Net income (loss)</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521"/>
        </w:trPr>
        <w:tc>
          <w:tcPr>
            <w:tcW w:w="5620" w:type="dxa"/>
            <w:vAlign w:val="bottom"/>
          </w:tcPr>
          <w:p>
            <w:pPr>
              <w:spacing w:after="0"/>
              <w:rPr>
                <w:sz w:val="20"/>
                <w:szCs w:val="20"/>
                <w:color w:val="auto"/>
              </w:rPr>
            </w:pPr>
            <w:r>
              <w:rPr>
                <w:rFonts w:ascii="Arial" w:cs="Arial" w:eastAsia="Arial" w:hAnsi="Arial"/>
                <w:sz w:val="16"/>
                <w:szCs w:val="16"/>
                <w:color w:val="auto"/>
              </w:rPr>
              <w:t>Basic income (loss) per share:</w:t>
            </w: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Diluted income (loss) per share:</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Basic</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Diluted</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205" w:hanging="205"/>
        <w:spacing w:after="0"/>
        <w:tabs>
          <w:tab w:leader="none" w:pos="205" w:val="left"/>
        </w:tabs>
        <w:numPr>
          <w:ilvl w:val="0"/>
          <w:numId w:val="7"/>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5"/>
          </w:cols>
          <w:pgMar w:left="275" w:top="81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37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70"/>
        </w:trPr>
        <w:tc>
          <w:tcPr>
            <w:tcW w:w="566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1"/>
                <w:szCs w:val="21"/>
                <w:b w:val="1"/>
                <w:bCs w:val="1"/>
                <w:color w:val="auto"/>
                <w:vertAlign w:val="superscript"/>
              </w:rPr>
              <w:t>(1)</w:t>
            </w:r>
          </w:p>
        </w:tc>
      </w:tr>
      <w:tr>
        <w:trPr>
          <w:trHeight w:val="314"/>
        </w:trPr>
        <w:tc>
          <w:tcPr>
            <w:tcW w:w="682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4"/>
                <w:szCs w:val="24"/>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70"/>
        </w:trPr>
        <w:tc>
          <w:tcPr>
            <w:tcW w:w="682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682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682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6"/>
        </w:trPr>
        <w:tc>
          <w:tcPr>
            <w:tcW w:w="682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24"/>
                <w:szCs w:val="24"/>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7.7%</w:t>
            </w:r>
          </w:p>
        </w:tc>
      </w:tr>
    </w:tbl>
    <w:p>
      <w:pPr>
        <w:spacing w:after="0" w:line="258" w:lineRule="exact"/>
        <w:rPr>
          <w:sz w:val="20"/>
          <w:szCs w:val="20"/>
          <w:color w:val="auto"/>
        </w:rPr>
      </w:pPr>
    </w:p>
    <w:p>
      <w:pPr>
        <w:ind w:left="240" w:right="40" w:hanging="238"/>
        <w:spacing w:after="0" w:line="258" w:lineRule="auto"/>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1"/>
                <w:szCs w:val="21"/>
                <w:color w:val="auto"/>
              </w:rPr>
            </w:pPr>
          </w:p>
        </w:tc>
        <w:tc>
          <w:tcPr>
            <w:tcW w:w="3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GAAP Three Months Ended September 30,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Three Months Ended September 30,</w:t>
            </w:r>
          </w:p>
        </w:tc>
      </w:tr>
      <w:tr>
        <w:trPr>
          <w:trHeight w:val="257"/>
        </w:trPr>
        <w:tc>
          <w:tcPr>
            <w:tcW w:w="2280" w:type="dxa"/>
            <w:vAlign w:val="bottom"/>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2018</w:t>
            </w:r>
          </w:p>
        </w:tc>
      </w:tr>
      <w:tr>
        <w:trPr>
          <w:trHeight w:val="237"/>
        </w:trPr>
        <w:tc>
          <w:tcPr>
            <w:tcW w:w="37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6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270"/>
        </w:trPr>
        <w:tc>
          <w:tcPr>
            <w:tcW w:w="374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60" w:type="dxa"/>
            <w:vAlign w:val="bottom"/>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70"/>
        </w:trPr>
        <w:tc>
          <w:tcPr>
            <w:tcW w:w="3740" w:type="dxa"/>
            <w:vAlign w:val="bottom"/>
            <w:gridSpan w:val="2"/>
          </w:tcPr>
          <w:p>
            <w:pPr>
              <w:spacing w:after="0"/>
              <w:rPr>
                <w:sz w:val="20"/>
                <w:szCs w:val="20"/>
                <w:color w:val="auto"/>
              </w:rPr>
            </w:pPr>
            <w:r>
              <w:rPr>
                <w:rFonts w:ascii="Arial" w:cs="Arial" w:eastAsia="Arial" w:hAnsi="Arial"/>
                <w:sz w:val="16"/>
                <w:szCs w:val="16"/>
                <w:color w:val="auto"/>
              </w:rPr>
              <w:t>R&amp;D</w:t>
            </w:r>
          </w:p>
        </w:tc>
        <w:tc>
          <w:tcPr>
            <w:tcW w:w="76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38"/>
        </w:trPr>
        <w:tc>
          <w:tcPr>
            <w:tcW w:w="3740" w:type="dxa"/>
            <w:vAlign w:val="bottom"/>
            <w:gridSpan w:val="2"/>
          </w:tcPr>
          <w:p>
            <w:pPr>
              <w:spacing w:after="0"/>
              <w:rPr>
                <w:sz w:val="20"/>
                <w:szCs w:val="20"/>
                <w:color w:val="auto"/>
              </w:rPr>
            </w:pPr>
            <w:r>
              <w:rPr>
                <w:rFonts w:ascii="Arial" w:cs="Arial" w:eastAsia="Arial" w:hAnsi="Arial"/>
                <w:sz w:val="16"/>
                <w:szCs w:val="16"/>
                <w:color w:val="auto"/>
              </w:rPr>
              <w:t>Operating income (loss) from</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5"/>
        </w:trPr>
        <w:tc>
          <w:tcPr>
            <w:tcW w:w="374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38"/>
        </w:trPr>
        <w:tc>
          <w:tcPr>
            <w:tcW w:w="3740" w:type="dxa"/>
            <w:vAlign w:val="bottom"/>
            <w:gridSpan w:val="2"/>
          </w:tcPr>
          <w:p>
            <w:pPr>
              <w:spacing w:after="0"/>
              <w:rPr>
                <w:sz w:val="20"/>
                <w:szCs w:val="20"/>
                <w:color w:val="auto"/>
              </w:rPr>
            </w:pPr>
            <w:r>
              <w:rPr>
                <w:rFonts w:ascii="Arial" w:cs="Arial" w:eastAsia="Arial" w:hAnsi="Arial"/>
                <w:sz w:val="16"/>
                <w:szCs w:val="16"/>
                <w:color w:val="auto"/>
              </w:rPr>
              <w:t>Net income (loss) from</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89"/>
        </w:trPr>
        <w:tc>
          <w:tcPr>
            <w:tcW w:w="3740" w:type="dxa"/>
            <w:vAlign w:val="bottom"/>
            <w:gridSpan w:val="2"/>
          </w:tcPr>
          <w:p>
            <w:pPr>
              <w:spacing w:after="0"/>
              <w:rPr>
                <w:sz w:val="20"/>
                <w:szCs w:val="20"/>
                <w:color w:val="auto"/>
              </w:rPr>
            </w:pPr>
            <w:r>
              <w:rPr>
                <w:rFonts w:ascii="Arial" w:cs="Arial" w:eastAsia="Arial" w:hAnsi="Arial"/>
                <w:sz w:val="16"/>
                <w:szCs w:val="16"/>
                <w:color w:val="auto"/>
              </w:rPr>
              <w:t>continuing operations, net of</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5"/>
        </w:trPr>
        <w:tc>
          <w:tcPr>
            <w:tcW w:w="3740" w:type="dxa"/>
            <w:vAlign w:val="bottom"/>
            <w:gridSpan w:val="2"/>
          </w:tcPr>
          <w:p>
            <w:pPr>
              <w:spacing w:after="0"/>
              <w:rPr>
                <w:sz w:val="20"/>
                <w:szCs w:val="20"/>
                <w:color w:val="auto"/>
              </w:rPr>
            </w:pPr>
            <w:r>
              <w:rPr>
                <w:rFonts w:ascii="Arial" w:cs="Arial" w:eastAsia="Arial" w:hAnsi="Arial"/>
                <w:sz w:val="16"/>
                <w:szCs w:val="16"/>
                <w:color w:val="auto"/>
              </w:rPr>
              <w:t>tax</w:t>
            </w: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70"/>
        </w:trPr>
        <w:tc>
          <w:tcPr>
            <w:tcW w:w="374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6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12.6%</w:t>
            </w:r>
          </w:p>
        </w:tc>
      </w:tr>
    </w:tbl>
    <w:p>
      <w:pPr>
        <w:spacing w:after="0" w:line="348" w:lineRule="exact"/>
        <w:rPr>
          <w:sz w:val="20"/>
          <w:szCs w:val="20"/>
          <w:color w:val="auto"/>
        </w:rPr>
      </w:pPr>
    </w:p>
    <w:p>
      <w:pPr>
        <w:ind w:left="420" w:right="40" w:hanging="324"/>
        <w:spacing w:after="0" w:line="258"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80" w:top="778" w:right="239" w:bottom="1440" w:gutter="0" w:footer="0" w:header="0"/>
        </w:sectPr>
      </w:pPr>
    </w:p>
    <w:bookmarkStart w:id="14" w:name="page15"/>
    <w:bookmarkEnd w:id="14"/>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CONDENSED CONSOLIDATED STATEMENTS OF INCOME - UNAUDITED</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(U.S. dollars in millions, except per share amounts)</w:t>
      </w:r>
    </w:p>
    <w:p>
      <w:pPr>
        <w:spacing w:after="0" w:line="370"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37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1"/>
        </w:trPr>
        <w:tc>
          <w:tcPr>
            <w:tcW w:w="5620" w:type="dxa"/>
            <w:vAlign w:val="bottom"/>
          </w:tcPr>
          <w:p>
            <w:pPr>
              <w:spacing w:after="0"/>
              <w:rPr>
                <w:sz w:val="20"/>
                <w:szCs w:val="20"/>
                <w:color w:val="auto"/>
              </w:rPr>
            </w:pPr>
            <w:r>
              <w:rPr>
                <w:rFonts w:ascii="Arial" w:cs="Arial" w:eastAsia="Arial" w:hAnsi="Arial"/>
                <w:sz w:val="16"/>
                <w:szCs w:val="16"/>
                <w:color w:val="auto"/>
              </w:rPr>
              <w:t>Net sales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$796.6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$810.0</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0"/>
                <w:szCs w:val="20"/>
                <w:color w:val="auto"/>
              </w:rPr>
            </w:pPr>
            <w:r>
              <w:rPr>
                <w:rFonts w:ascii="Arial" w:cs="Arial" w:eastAsia="Arial" w:hAnsi="Arial"/>
                <w:sz w:val="16"/>
                <w:szCs w:val="16"/>
                <w:color w:val="auto"/>
              </w:rPr>
              <w:t>Costs and expenses: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Cost of sales - exclusive of amortization</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245.3</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270.9</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Product remediation</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375.9</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342.7</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Merger and integration expenses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Restructuring expenses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Impairment of intangible assets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Amortization of intangibles</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Insurance recovery</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Operating (loss) income from 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51"/>
        </w:trPr>
        <w:tc>
          <w:tcPr>
            <w:tcW w:w="562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1"/>
                <w:szCs w:val="21"/>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Gain on acquisition</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Foreign exchange and other losses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(Loss) income from continuing operations before tax</w:t>
            </w:r>
          </w:p>
        </w:tc>
        <w:tc>
          <w:tcPr>
            <w:tcW w:w="180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251"/>
        </w:trPr>
        <w:tc>
          <w:tcPr>
            <w:tcW w:w="562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1"/>
                <w:szCs w:val="21"/>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Losses from equity method investments</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0"/>
                <w:szCs w:val="20"/>
                <w:color w:val="auto"/>
              </w:rPr>
            </w:pPr>
            <w:r>
              <w:rPr>
                <w:rFonts w:ascii="Arial" w:cs="Arial" w:eastAsia="Arial" w:hAnsi="Arial"/>
                <w:sz w:val="16"/>
                <w:szCs w:val="16"/>
                <w:color w:val="auto"/>
              </w:rPr>
              <w:t>Net income (loss) from discontinued operations, net of tax</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20" w:type="dxa"/>
            <w:vAlign w:val="bottom"/>
          </w:tcPr>
          <w:p>
            <w:pPr>
              <w:spacing w:after="0"/>
              <w:rPr>
                <w:sz w:val="20"/>
                <w:szCs w:val="20"/>
                <w:color w:val="auto"/>
              </w:rPr>
            </w:pPr>
            <w:r>
              <w:rPr>
                <w:rFonts w:ascii="Arial" w:cs="Arial" w:eastAsia="Arial" w:hAnsi="Arial"/>
                <w:sz w:val="16"/>
                <w:szCs w:val="16"/>
                <w:color w:val="auto"/>
              </w:rPr>
              <w:t>Net (loss) income</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4"/>
                <w:szCs w:val="24"/>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521"/>
        </w:trPr>
        <w:tc>
          <w:tcPr>
            <w:tcW w:w="5620" w:type="dxa"/>
            <w:vAlign w:val="bottom"/>
          </w:tcPr>
          <w:p>
            <w:pPr>
              <w:spacing w:after="0"/>
              <w:rPr>
                <w:sz w:val="20"/>
                <w:szCs w:val="20"/>
                <w:color w:val="auto"/>
              </w:rPr>
            </w:pPr>
            <w:r>
              <w:rPr>
                <w:rFonts w:ascii="Arial" w:cs="Arial" w:eastAsia="Arial" w:hAnsi="Arial"/>
                <w:sz w:val="16"/>
                <w:szCs w:val="16"/>
                <w:color w:val="auto"/>
              </w:rPr>
              <w:t>Basic (loss) income per share:</w:t>
            </w: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Diluted (loss) income per share:</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1800" w:type="dxa"/>
            <w:vAlign w:val="bottom"/>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200"/>
              <w:spacing w:after="0"/>
              <w:rPr>
                <w:sz w:val="20"/>
                <w:szCs w:val="20"/>
                <w:color w:val="auto"/>
              </w:rPr>
            </w:pPr>
            <w:r>
              <w:rPr>
                <w:rFonts w:ascii="Arial" w:cs="Arial" w:eastAsia="Arial" w:hAnsi="Arial"/>
                <w:sz w:val="16"/>
                <w:szCs w:val="16"/>
                <w:color w:val="auto"/>
              </w:rPr>
              <w:t>Discontinued operations</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2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Basic</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200"/>
              <w:spacing w:after="0"/>
              <w:rPr>
                <w:sz w:val="20"/>
                <w:szCs w:val="20"/>
                <w:color w:val="auto"/>
              </w:rPr>
            </w:pPr>
            <w:r>
              <w:rPr>
                <w:rFonts w:ascii="Arial" w:cs="Arial" w:eastAsia="Arial" w:hAnsi="Arial"/>
                <w:sz w:val="16"/>
                <w:szCs w:val="16"/>
                <w:color w:val="auto"/>
              </w:rPr>
              <w:t>Diluted</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205" w:hanging="205"/>
        <w:spacing w:after="0"/>
        <w:tabs>
          <w:tab w:leader="none" w:pos="205" w:val="left"/>
        </w:tabs>
        <w:numPr>
          <w:ilvl w:val="0"/>
          <w:numId w:val="10"/>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5"/>
          </w:cols>
          <w:pgMar w:left="275" w:top="81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37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 September 30,</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70"/>
        </w:trPr>
        <w:tc>
          <w:tcPr>
            <w:tcW w:w="562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xml:space="preserve">% Change </w:t>
            </w:r>
            <w:r>
              <w:rPr>
                <w:rFonts w:ascii="Arial" w:cs="Arial" w:eastAsia="Arial" w:hAnsi="Arial"/>
                <w:sz w:val="21"/>
                <w:szCs w:val="21"/>
                <w:b w:val="1"/>
                <w:bCs w:val="1"/>
                <w:color w:val="auto"/>
                <w:vertAlign w:val="superscript"/>
              </w:rPr>
              <w:t>(1)</w:t>
            </w:r>
          </w:p>
        </w:tc>
      </w:tr>
      <w:tr>
        <w:trPr>
          <w:trHeight w:val="314"/>
        </w:trPr>
        <w:tc>
          <w:tcPr>
            <w:tcW w:w="676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$301.9</w:t>
            </w:r>
          </w:p>
        </w:tc>
        <w:tc>
          <w:tcPr>
            <w:tcW w:w="1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0"/>
        </w:trPr>
        <w:tc>
          <w:tcPr>
            <w:tcW w:w="676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0"/>
        </w:trPr>
        <w:tc>
          <w:tcPr>
            <w:tcW w:w="6760" w:type="dxa"/>
            <w:vAlign w:val="bottom"/>
            <w:gridSpan w:val="2"/>
          </w:tcPr>
          <w:p>
            <w:pPr>
              <w:spacing w:after="0"/>
              <w:rPr>
                <w:sz w:val="20"/>
                <w:szCs w:val="20"/>
                <w:color w:val="auto"/>
              </w:rPr>
            </w:pPr>
            <w:r>
              <w:rPr>
                <w:rFonts w:ascii="Arial" w:cs="Arial" w:eastAsia="Arial" w:hAnsi="Arial"/>
                <w:sz w:val="16"/>
                <w:szCs w:val="16"/>
                <w:color w:val="auto"/>
              </w:rPr>
              <w:t xml:space="preserve">Adjusted operating income from continuing operations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0"/>
        </w:trPr>
        <w:tc>
          <w:tcPr>
            <w:tcW w:w="6760" w:type="dxa"/>
            <w:vAlign w:val="bottom"/>
            <w:gridSpan w:val="2"/>
          </w:tcPr>
          <w:p>
            <w:pPr>
              <w:spacing w:after="0"/>
              <w:rPr>
                <w:sz w:val="20"/>
                <w:szCs w:val="20"/>
                <w:color w:val="auto"/>
              </w:rPr>
            </w:pPr>
            <w:r>
              <w:rPr>
                <w:rFonts w:ascii="Arial" w:cs="Arial" w:eastAsia="Arial" w:hAnsi="Arial"/>
                <w:sz w:val="16"/>
                <w:szCs w:val="16"/>
                <w:color w:val="auto"/>
              </w:rPr>
              <w:t xml:space="preserve">Adjusted income from continuing operations, net of tax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76"/>
        </w:trPr>
        <w:tc>
          <w:tcPr>
            <w:tcW w:w="676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from continuing operations </w:t>
            </w:r>
            <w:r>
              <w:rPr>
                <w:rFonts w:ascii="Arial" w:cs="Arial" w:eastAsia="Arial" w:hAnsi="Arial"/>
                <w:sz w:val="21"/>
                <w:szCs w:val="21"/>
                <w:color w:val="auto"/>
                <w:vertAlign w:val="superscript"/>
              </w:rPr>
              <w:t>(1)</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4"/>
                <w:szCs w:val="24"/>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(14.4%)</w:t>
            </w:r>
          </w:p>
        </w:tc>
      </w:tr>
    </w:tbl>
    <w:p>
      <w:pPr>
        <w:spacing w:after="0" w:line="258" w:lineRule="exact"/>
        <w:rPr>
          <w:sz w:val="20"/>
          <w:szCs w:val="20"/>
          <w:color w:val="auto"/>
        </w:rPr>
      </w:pPr>
    </w:p>
    <w:p>
      <w:pPr>
        <w:ind w:left="240" w:right="40" w:hanging="238"/>
        <w:spacing w:after="0" w:line="258" w:lineRule="auto"/>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1"/>
                <w:szCs w:val="21"/>
                <w:color w:val="auto"/>
              </w:rPr>
            </w:pPr>
          </w:p>
        </w:tc>
        <w:tc>
          <w:tcPr>
            <w:tcW w:w="39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GAAP Nine Months Ended September 30,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Nine Months Ended September 30,</w:t>
            </w:r>
          </w:p>
        </w:tc>
      </w:tr>
      <w:tr>
        <w:trPr>
          <w:trHeight w:val="257"/>
        </w:trPr>
        <w:tc>
          <w:tcPr>
            <w:tcW w:w="2300" w:type="dxa"/>
            <w:vAlign w:val="bottom"/>
          </w:tcPr>
          <w:p>
            <w:pPr>
              <w:spacing w:after="0"/>
              <w:rPr>
                <w:sz w:val="22"/>
                <w:szCs w:val="22"/>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2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2018</w:t>
            </w:r>
          </w:p>
        </w:tc>
      </w:tr>
      <w:tr>
        <w:trPr>
          <w:trHeight w:val="237"/>
        </w:trPr>
        <w:tc>
          <w:tcPr>
            <w:tcW w:w="37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74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67.8%</w:t>
            </w:r>
          </w:p>
        </w:tc>
      </w:tr>
      <w:tr>
        <w:trPr>
          <w:trHeight w:val="270"/>
        </w:trPr>
        <w:tc>
          <w:tcPr>
            <w:tcW w:w="3780" w:type="dxa"/>
            <w:vAlign w:val="bottom"/>
            <w:gridSpan w:val="2"/>
          </w:tcPr>
          <w:p>
            <w:pPr>
              <w:spacing w:after="0"/>
              <w:rPr>
                <w:sz w:val="20"/>
                <w:szCs w:val="20"/>
                <w:color w:val="auto"/>
              </w:rPr>
            </w:pPr>
            <w:r>
              <w:rPr>
                <w:rFonts w:ascii="Arial" w:cs="Arial" w:eastAsia="Arial" w:hAnsi="Arial"/>
                <w:sz w:val="16"/>
                <w:szCs w:val="16"/>
                <w:color w:val="auto"/>
              </w:rPr>
              <w:t>SG&amp;A</w:t>
            </w:r>
          </w:p>
        </w:tc>
        <w:tc>
          <w:tcPr>
            <w:tcW w:w="74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70"/>
        </w:trPr>
        <w:tc>
          <w:tcPr>
            <w:tcW w:w="3780" w:type="dxa"/>
            <w:vAlign w:val="bottom"/>
            <w:gridSpan w:val="2"/>
          </w:tcPr>
          <w:p>
            <w:pPr>
              <w:spacing w:after="0"/>
              <w:rPr>
                <w:sz w:val="20"/>
                <w:szCs w:val="20"/>
                <w:color w:val="auto"/>
              </w:rPr>
            </w:pPr>
            <w:r>
              <w:rPr>
                <w:rFonts w:ascii="Arial" w:cs="Arial" w:eastAsia="Arial" w:hAnsi="Arial"/>
                <w:sz w:val="16"/>
                <w:szCs w:val="16"/>
                <w:color w:val="auto"/>
              </w:rPr>
              <w:t>R&amp;D</w:t>
            </w:r>
          </w:p>
        </w:tc>
        <w:tc>
          <w:tcPr>
            <w:tcW w:w="7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38"/>
        </w:trPr>
        <w:tc>
          <w:tcPr>
            <w:tcW w:w="3780" w:type="dxa"/>
            <w:vAlign w:val="bottom"/>
            <w:gridSpan w:val="2"/>
          </w:tcPr>
          <w:p>
            <w:pPr>
              <w:spacing w:after="0"/>
              <w:rPr>
                <w:sz w:val="20"/>
                <w:szCs w:val="20"/>
                <w:color w:val="auto"/>
              </w:rPr>
            </w:pPr>
            <w:r>
              <w:rPr>
                <w:rFonts w:ascii="Arial" w:cs="Arial" w:eastAsia="Arial" w:hAnsi="Arial"/>
                <w:sz w:val="16"/>
                <w:szCs w:val="16"/>
                <w:color w:val="auto"/>
              </w:rPr>
              <w:t>Operating (loss) income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95"/>
        </w:trPr>
        <w:tc>
          <w:tcPr>
            <w:tcW w:w="378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38"/>
        </w:trPr>
        <w:tc>
          <w:tcPr>
            <w:tcW w:w="3780" w:type="dxa"/>
            <w:vAlign w:val="bottom"/>
            <w:gridSpan w:val="2"/>
          </w:tcPr>
          <w:p>
            <w:pPr>
              <w:spacing w:after="0"/>
              <w:rPr>
                <w:sz w:val="20"/>
                <w:szCs w:val="20"/>
                <w:color w:val="auto"/>
              </w:rPr>
            </w:pPr>
            <w:r>
              <w:rPr>
                <w:rFonts w:ascii="Arial" w:cs="Arial" w:eastAsia="Arial" w:hAnsi="Arial"/>
                <w:sz w:val="16"/>
                <w:szCs w:val="16"/>
                <w:color w:val="auto"/>
              </w:rPr>
              <w:t>Net (loss) income from</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89"/>
        </w:trPr>
        <w:tc>
          <w:tcPr>
            <w:tcW w:w="3780" w:type="dxa"/>
            <w:vAlign w:val="bottom"/>
            <w:gridSpan w:val="2"/>
          </w:tcPr>
          <w:p>
            <w:pPr>
              <w:spacing w:after="0"/>
              <w:rPr>
                <w:sz w:val="20"/>
                <w:szCs w:val="20"/>
                <w:color w:val="auto"/>
              </w:rPr>
            </w:pPr>
            <w:r>
              <w:rPr>
                <w:rFonts w:ascii="Arial" w:cs="Arial" w:eastAsia="Arial" w:hAnsi="Arial"/>
                <w:sz w:val="16"/>
                <w:szCs w:val="16"/>
                <w:color w:val="auto"/>
              </w:rPr>
              <w:t>continuing operations, net of</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5"/>
        </w:trPr>
        <w:tc>
          <w:tcPr>
            <w:tcW w:w="3780" w:type="dxa"/>
            <w:vAlign w:val="bottom"/>
            <w:gridSpan w:val="2"/>
          </w:tcPr>
          <w:p>
            <w:pPr>
              <w:spacing w:after="0"/>
              <w:rPr>
                <w:sz w:val="20"/>
                <w:szCs w:val="20"/>
                <w:color w:val="auto"/>
              </w:rPr>
            </w:pPr>
            <w:r>
              <w:rPr>
                <w:rFonts w:ascii="Arial" w:cs="Arial" w:eastAsia="Arial" w:hAnsi="Arial"/>
                <w:sz w:val="16"/>
                <w:szCs w:val="16"/>
                <w:color w:val="auto"/>
              </w:rPr>
              <w:t>tax</w:t>
            </w: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70"/>
        </w:trPr>
        <w:tc>
          <w:tcPr>
            <w:tcW w:w="378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74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15.4%</w:t>
            </w:r>
          </w:p>
        </w:tc>
      </w:tr>
    </w:tbl>
    <w:p>
      <w:pPr>
        <w:spacing w:after="0" w:line="348" w:lineRule="exact"/>
        <w:rPr>
          <w:sz w:val="20"/>
          <w:szCs w:val="20"/>
          <w:color w:val="auto"/>
        </w:rPr>
      </w:pPr>
    </w:p>
    <w:p>
      <w:pPr>
        <w:ind w:left="420" w:right="40" w:hanging="324"/>
        <w:spacing w:after="0" w:line="258"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80" w:top="778" w:right="239" w:bottom="1440" w:gutter="0" w:footer="0" w:header="0"/>
        </w:sectPr>
      </w:pPr>
    </w:p>
    <w:bookmarkStart w:id="16" w:name="page17"/>
    <w:bookmarkEnd w:id="16"/>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772"/>
              <w:spacing w:after="0"/>
              <w:rPr>
                <w:sz w:val="20"/>
                <w:szCs w:val="20"/>
                <w:color w:val="auto"/>
              </w:rPr>
            </w:pPr>
            <w:r>
              <w:rPr>
                <w:rFonts w:ascii="Arial" w:cs="Arial" w:eastAsia="Arial" w:hAnsi="Arial"/>
                <w:sz w:val="13"/>
                <w:szCs w:val="13"/>
                <w:b w:val="1"/>
                <w:bCs w:val="1"/>
                <w:color w:val="auto"/>
              </w:rPr>
              <w:t>Specified Items</w:t>
            </w:r>
          </w:p>
        </w:tc>
        <w:tc>
          <w:tcPr>
            <w:tcW w:w="9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Depreciation</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 and</w:t>
            </w:r>
          </w:p>
        </w:tc>
        <w:tc>
          <w:tcPr>
            <w:tcW w:w="9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Product</w:t>
            </w:r>
          </w:p>
        </w:tc>
        <w:tc>
          <w:tcPr>
            <w:tcW w:w="8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Consideration</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Integration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Restructuring</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Acquisition</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and Other</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30"/>
        </w:trPr>
        <w:tc>
          <w:tcPr>
            <w:tcW w:w="1880" w:type="dxa"/>
            <w:vAlign w:val="bottom"/>
            <w:gridSpan w:val="2"/>
            <w:vMerge w:val="continue"/>
          </w:tcPr>
          <w:p>
            <w:pPr>
              <w:spacing w:after="0"/>
              <w:rPr>
                <w:sz w:val="11"/>
                <w:szCs w:val="11"/>
                <w:color w:val="auto"/>
              </w:rPr>
            </w:pPr>
          </w:p>
        </w:tc>
        <w:tc>
          <w:tcPr>
            <w:tcW w:w="8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8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86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4"/>
              </w:rPr>
              <w:t>Costs</w:t>
            </w:r>
          </w:p>
        </w:tc>
        <w:tc>
          <w:tcPr>
            <w:tcW w:w="9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Reserves</w:t>
            </w:r>
          </w:p>
        </w:tc>
        <w:tc>
          <w:tcPr>
            <w:tcW w:w="9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7"/>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Cost of sales - exclusive of</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$86.1</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($0.6)</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($5.0)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70"/>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Product remediation</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3.1</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(3.1)</w:t>
            </w: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Gross profit percent</w:t>
            </w:r>
          </w:p>
        </w:tc>
        <w:tc>
          <w:tcPr>
            <w:tcW w:w="800" w:type="dxa"/>
            <w:vAlign w:val="bottom"/>
          </w:tcPr>
          <w:p>
            <w:pPr>
              <w:jc w:val="right"/>
              <w:spacing w:after="0"/>
              <w:rPr>
                <w:sz w:val="20"/>
                <w:szCs w:val="20"/>
                <w:color w:val="auto"/>
              </w:rPr>
            </w:pPr>
            <w:r>
              <w:rPr>
                <w:rFonts w:ascii="Arial" w:cs="Arial" w:eastAsia="Arial" w:hAnsi="Arial"/>
                <w:sz w:val="14"/>
                <w:szCs w:val="14"/>
                <w:color w:val="auto"/>
              </w:rPr>
              <w:t>66.8%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1.9 %</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06"/>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Selling, general and</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administrative</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$123.0</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($14.4)</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($6.9)</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06"/>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45.9</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0.4</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(5.9)</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(1.6)</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70"/>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Other operating expenses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(15.3)</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(6.7)</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(0.7)</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(11.1)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33.8</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Operating income from</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25.8</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6.7</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0.7</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12.0</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3.1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(0.4)</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(8.5)</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8.5</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70"/>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Operating margin percent</w:t>
            </w:r>
          </w:p>
        </w:tc>
        <w:tc>
          <w:tcPr>
            <w:tcW w:w="800" w:type="dxa"/>
            <w:vAlign w:val="bottom"/>
          </w:tcPr>
          <w:p>
            <w:pPr>
              <w:jc w:val="right"/>
              <w:spacing w:after="0"/>
              <w:rPr>
                <w:sz w:val="20"/>
                <w:szCs w:val="20"/>
                <w:color w:val="auto"/>
              </w:rPr>
            </w:pPr>
            <w:r>
              <w:rPr>
                <w:rFonts w:ascii="Arial" w:cs="Arial" w:eastAsia="Arial" w:hAnsi="Arial"/>
                <w:sz w:val="14"/>
                <w:szCs w:val="14"/>
                <w:color w:val="auto"/>
              </w:rPr>
              <w:t>9.6%</w:t>
            </w: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960" w:type="dxa"/>
            <w:vAlign w:val="bottom"/>
          </w:tcPr>
          <w:p>
            <w:pPr>
              <w:jc w:val="right"/>
              <w:spacing w:after="0"/>
              <w:rPr>
                <w:sz w:val="20"/>
                <w:szCs w:val="20"/>
                <w:color w:val="auto"/>
              </w:rPr>
            </w:pPr>
            <w:r>
              <w:rPr>
                <w:rFonts w:ascii="Arial" w:cs="Arial" w:eastAsia="Arial" w:hAnsi="Arial"/>
                <w:sz w:val="14"/>
                <w:szCs w:val="14"/>
                <w:color w:val="auto"/>
              </w:rPr>
              <w:t>3.2%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6"/>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expense</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(10.7)</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1.6</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0.2</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3.1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1.0</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(4.2)</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11.8</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0.5</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6"/>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Net income from</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32.1</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5.2</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0.5</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8.9</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2.1</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(0.3)</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(4.3)</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6.5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(11.8)</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1.9</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06"/>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Diluted EPS - Continuing</w:t>
            </w: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$0.66</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$0.11</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$0.01</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$0.18</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$0.04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($0.01)</w:t>
            </w:r>
          </w:p>
        </w:tc>
        <w:tc>
          <w:tcPr>
            <w:tcW w:w="960" w:type="dxa"/>
            <w:vAlign w:val="bottom"/>
          </w:tcPr>
          <w:p>
            <w:pPr>
              <w:jc w:val="right"/>
              <w:ind w:right="92"/>
              <w:spacing w:after="0"/>
              <w:rPr>
                <w:sz w:val="20"/>
                <w:szCs w:val="20"/>
                <w:color w:val="auto"/>
              </w:rPr>
            </w:pPr>
            <w:r>
              <w:rPr>
                <w:rFonts w:ascii="Arial" w:cs="Arial" w:eastAsia="Arial" w:hAnsi="Arial"/>
                <w:sz w:val="14"/>
                <w:szCs w:val="14"/>
                <w:color w:val="auto"/>
              </w:rPr>
              <w:t>($0.09)</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$0.13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($0.24)</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$0.04</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three months ended September 30, 2019 include:</w:t>
      </w:r>
    </w:p>
    <w:p>
      <w:pPr>
        <w:spacing w:after="0" w:line="73" w:lineRule="exact"/>
        <w:rPr>
          <w:sz w:val="20"/>
          <w:szCs w:val="20"/>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contingent consideration related to acquisitions, legal expenses related to 3T Heater-Cooler defense and other matters and insurance recovery</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p>
      <w:pPr>
        <w:spacing w:after="0" w:line="55" w:lineRule="exact"/>
        <w:rPr>
          <w:sz w:val="20"/>
          <w:szCs w:val="20"/>
          <w:color w:val="auto"/>
        </w:rPr>
      </w:pPr>
    </w:p>
    <w:p>
      <w:pPr>
        <w:ind w:left="300" w:hanging="265"/>
        <w:spacing w:after="0"/>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783" w:right="239" w:bottom="1440" w:gutter="0" w:footer="0" w:header="0"/>
        </w:sectPr>
      </w:pPr>
    </w:p>
    <w:bookmarkStart w:id="17" w:name="page18"/>
    <w:bookmarkEnd w:id="17"/>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Specified Items</w:t>
            </w:r>
          </w:p>
        </w:tc>
        <w:tc>
          <w:tcPr>
            <w:tcW w:w="9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Depreciation</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 and</w:t>
            </w:r>
          </w:p>
        </w:tc>
        <w:tc>
          <w:tcPr>
            <w:tcW w:w="9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Product</w:t>
            </w:r>
          </w:p>
        </w:tc>
        <w:tc>
          <w:tcPr>
            <w:tcW w:w="7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CRM</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Integration</w:t>
            </w:r>
          </w:p>
        </w:tc>
        <w:tc>
          <w:tcPr>
            <w:tcW w:w="4020" w:type="dxa"/>
            <w:vAlign w:val="bottom"/>
            <w:gridSpan w:val="5"/>
          </w:tcPr>
          <w:p>
            <w:pPr>
              <w:jc w:val="right"/>
              <w:spacing w:after="0" w:line="135" w:lineRule="exact"/>
              <w:rPr>
                <w:sz w:val="20"/>
                <w:szCs w:val="20"/>
                <w:color w:val="auto"/>
              </w:rPr>
            </w:pPr>
            <w:r>
              <w:rPr>
                <w:rFonts w:ascii="Arial" w:cs="Arial" w:eastAsia="Arial" w:hAnsi="Arial"/>
                <w:sz w:val="13"/>
                <w:szCs w:val="13"/>
                <w:b w:val="1"/>
                <w:bCs w:val="1"/>
                <w:color w:val="auto"/>
              </w:rPr>
              <w:t>Restructuring  Amortization Remediation Acquisition  Disposal</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30"/>
        </w:trPr>
        <w:tc>
          <w:tcPr>
            <w:tcW w:w="1600" w:type="dxa"/>
            <w:vAlign w:val="bottom"/>
            <w:gridSpan w:val="2"/>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7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right"/>
              <w:ind w:right="130"/>
              <w:spacing w:after="0" w:line="130" w:lineRule="exact"/>
              <w:rPr>
                <w:sz w:val="20"/>
                <w:szCs w:val="20"/>
                <w:color w:val="auto"/>
              </w:rPr>
            </w:pPr>
            <w:r>
              <w:rPr>
                <w:rFonts w:ascii="Arial" w:cs="Arial" w:eastAsia="Arial" w:hAnsi="Arial"/>
                <w:sz w:val="13"/>
                <w:szCs w:val="13"/>
                <w:b w:val="1"/>
                <w:bCs w:val="1"/>
                <w:color w:val="auto"/>
              </w:rPr>
              <w:t>Expenses</w:t>
            </w:r>
          </w:p>
        </w:tc>
        <w:tc>
          <w:tcPr>
            <w:tcW w:w="90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5"/>
              </w:rPr>
              <w:t>Expenses</w:t>
            </w:r>
          </w:p>
        </w:tc>
        <w:tc>
          <w:tcPr>
            <w:tcW w:w="880" w:type="dxa"/>
            <w:vAlign w:val="bottom"/>
          </w:tcPr>
          <w:p>
            <w:pPr>
              <w:jc w:val="center"/>
              <w:ind w:right="90"/>
              <w:spacing w:after="0" w:line="130" w:lineRule="exact"/>
              <w:rPr>
                <w:sz w:val="20"/>
                <w:szCs w:val="20"/>
                <w:color w:val="auto"/>
              </w:rPr>
            </w:pPr>
            <w:r>
              <w:rPr>
                <w:rFonts w:ascii="Arial" w:cs="Arial" w:eastAsia="Arial" w:hAnsi="Arial"/>
                <w:sz w:val="13"/>
                <w:szCs w:val="13"/>
                <w:b w:val="1"/>
                <w:bCs w:val="1"/>
                <w:color w:val="auto"/>
                <w:w w:val="98"/>
              </w:rPr>
              <w:t>Expenses</w:t>
            </w:r>
          </w:p>
        </w:tc>
        <w:tc>
          <w:tcPr>
            <w:tcW w:w="720" w:type="dxa"/>
            <w:vAlign w:val="bottom"/>
          </w:tcPr>
          <w:p>
            <w:pPr>
              <w:jc w:val="right"/>
              <w:ind w:right="190"/>
              <w:spacing w:after="0" w:line="130" w:lineRule="exact"/>
              <w:rPr>
                <w:sz w:val="20"/>
                <w:szCs w:val="20"/>
                <w:color w:val="auto"/>
              </w:rPr>
            </w:pPr>
            <w:r>
              <w:rPr>
                <w:rFonts w:ascii="Arial" w:cs="Arial" w:eastAsia="Arial" w:hAnsi="Arial"/>
                <w:sz w:val="13"/>
                <w:szCs w:val="13"/>
                <w:b w:val="1"/>
                <w:bCs w:val="1"/>
                <w:color w:val="auto"/>
              </w:rPr>
              <w:t>Costs</w:t>
            </w:r>
          </w:p>
        </w:tc>
        <w:tc>
          <w:tcPr>
            <w:tcW w:w="60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9"/>
              </w:rPr>
              <w:t>Costs</w:t>
            </w:r>
          </w:p>
        </w:tc>
        <w:tc>
          <w:tcPr>
            <w:tcW w:w="9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Consideration</w:t>
            </w:r>
          </w:p>
        </w:tc>
        <w:tc>
          <w:tcPr>
            <w:tcW w:w="9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9"/>
              </w:rPr>
              <w:t>(D)</w:t>
            </w: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(E)</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7"/>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Cost of sales -</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exclusive of</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$94.3</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($5.1)</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($0.1)</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($2.2)</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70"/>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Product remediation</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3.4</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auto"/>
              </w:rPr>
              <w:t>(3.4)</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Gross profit percent</w:t>
            </w:r>
          </w:p>
        </w:tc>
        <w:tc>
          <w:tcPr>
            <w:tcW w:w="740" w:type="dxa"/>
            <w:vAlign w:val="bottom"/>
          </w:tcPr>
          <w:p>
            <w:pPr>
              <w:jc w:val="right"/>
              <w:spacing w:after="0"/>
              <w:rPr>
                <w:sz w:val="20"/>
                <w:szCs w:val="20"/>
                <w:color w:val="auto"/>
              </w:rPr>
            </w:pPr>
            <w:r>
              <w:rPr>
                <w:rFonts w:ascii="Arial" w:cs="Arial" w:eastAsia="Arial" w:hAnsi="Arial"/>
                <w:sz w:val="14"/>
                <w:szCs w:val="14"/>
                <w:color w:val="auto"/>
              </w:rPr>
              <w:t>64.1 %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1.3%</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0.8%</w:t>
            </w:r>
          </w:p>
        </w:tc>
        <w:tc>
          <w:tcPr>
            <w:tcW w:w="960" w:type="dxa"/>
            <w:vAlign w:val="bottom"/>
          </w:tcPr>
          <w:p>
            <w:pPr>
              <w:jc w:val="right"/>
              <w:spacing w:after="0"/>
              <w:rPr>
                <w:sz w:val="20"/>
                <w:szCs w:val="20"/>
                <w:color w:val="auto"/>
              </w:rPr>
            </w:pPr>
            <w:r>
              <w:rPr>
                <w:rFonts w:ascii="Arial" w:cs="Arial" w:eastAsia="Arial" w:hAnsi="Arial"/>
                <w:sz w:val="14"/>
                <w:szCs w:val="14"/>
                <w:color w:val="auto"/>
              </w:rPr>
              <w:t>0.1%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Selling, general and</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$115.1</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($0.3)</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($6.1)</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($5.8)</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42.4</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(1.5)</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1"/>
              <w:spacing w:after="0"/>
              <w:rPr>
                <w:sz w:val="20"/>
                <w:szCs w:val="20"/>
                <w:color w:val="auto"/>
              </w:rPr>
            </w:pPr>
            <w:r>
              <w:rPr>
                <w:rFonts w:ascii="Arial" w:cs="Arial" w:eastAsia="Arial" w:hAnsi="Arial"/>
                <w:sz w:val="14"/>
                <w:szCs w:val="14"/>
                <w:color w:val="auto"/>
              </w:rPr>
              <w:t>(2.0)</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Other operating</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expenses</w:t>
            </w:r>
          </w:p>
        </w:tc>
        <w:tc>
          <w:tcPr>
            <w:tcW w:w="740" w:type="dxa"/>
            <w:vAlign w:val="bottom"/>
          </w:tcPr>
          <w:p>
            <w:pPr>
              <w:jc w:val="right"/>
              <w:ind w:right="150"/>
              <w:spacing w:after="0"/>
              <w:rPr>
                <w:sz w:val="20"/>
                <w:szCs w:val="20"/>
                <w:color w:val="auto"/>
              </w:rPr>
            </w:pPr>
            <w:r>
              <w:rPr>
                <w:rFonts w:ascii="Arial" w:cs="Arial" w:eastAsia="Arial" w:hAnsi="Arial"/>
                <w:sz w:val="14"/>
                <w:szCs w:val="14"/>
                <w:color w:val="auto"/>
              </w:rPr>
              <w:t>22.6</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(12.7)</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(0.4)</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(9.5)</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Operating (loss)</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income from</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(5.8)</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12.7</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0.4</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14.9</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3.4</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2.2</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1.5</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10.4</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7.3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Operating margin</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percent</w:t>
            </w: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5.5%</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1.3%</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0.8%</w:t>
            </w: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expense</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(2.7)</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2.7</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2.6</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0.8</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0.5</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0.5</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0.4</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2.1</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0.2</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from continuing</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(6.3)</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10.0</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0.4</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12.3</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2.7</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1.7</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0.9</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10.0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5.2</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1.5</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06"/>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Diluted EPS -</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Continuing</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($0.13)</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$0.20</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$0.01</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$0.25</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$0.05</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$0.04</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$0.02</w:t>
            </w:r>
          </w:p>
        </w:tc>
        <w:tc>
          <w:tcPr>
            <w:tcW w:w="940" w:type="dxa"/>
            <w:vAlign w:val="bottom"/>
          </w:tcPr>
          <w:p>
            <w:pPr>
              <w:jc w:val="right"/>
              <w:ind w:right="91"/>
              <w:spacing w:after="0"/>
              <w:rPr>
                <w:sz w:val="20"/>
                <w:szCs w:val="20"/>
                <w:color w:val="auto"/>
              </w:rPr>
            </w:pPr>
            <w:r>
              <w:rPr>
                <w:rFonts w:ascii="Arial" w:cs="Arial" w:eastAsia="Arial" w:hAnsi="Arial"/>
                <w:sz w:val="14"/>
                <w:szCs w:val="14"/>
                <w:color w:val="auto"/>
              </w:rPr>
              <w:t>$0.20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$0.10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$0.03</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$0.01</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three months ended September 30, 2018 include:</w:t>
      </w:r>
    </w:p>
    <w:p>
      <w:pPr>
        <w:spacing w:after="0" w:line="73" w:lineRule="exact"/>
        <w:rPr>
          <w:sz w:val="20"/>
          <w:szCs w:val="20"/>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Corporate costs incurred to divest of the CRM business not attributable to discontinued operations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w:t>
      </w:r>
    </w:p>
    <w:p>
      <w:pPr>
        <w:spacing w:after="0" w:line="55" w:lineRule="exact"/>
        <w:rPr>
          <w:sz w:val="20"/>
          <w:szCs w:val="20"/>
          <w:color w:val="auto"/>
        </w:rPr>
      </w:pPr>
    </w:p>
    <w:p>
      <w:pPr>
        <w:ind w:left="300" w:hanging="265"/>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783" w:right="239" w:bottom="1440" w:gutter="0" w:footer="0" w:header="0"/>
        </w:sectPr>
      </w:pPr>
    </w:p>
    <w:bookmarkStart w:id="18" w:name="page19"/>
    <w:bookmarkEnd w:id="18"/>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3"/>
                <w:szCs w:val="13"/>
                <w:b w:val="1"/>
                <w:bCs w:val="1"/>
                <w:color w:val="auto"/>
              </w:rPr>
              <w:t>Specified Items</w:t>
            </w: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0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Nine Months</w:t>
            </w:r>
          </w:p>
        </w:tc>
        <w:tc>
          <w:tcPr>
            <w:tcW w:w="7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Depreciation</w:t>
            </w:r>
          </w:p>
        </w:tc>
        <w:tc>
          <w:tcPr>
            <w:tcW w:w="8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Product</w:t>
            </w:r>
          </w:p>
        </w:tc>
        <w:tc>
          <w:tcPr>
            <w:tcW w:w="8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Ended</w:t>
            </w:r>
          </w:p>
        </w:tc>
        <w:tc>
          <w:tcPr>
            <w:tcW w:w="7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and</w:t>
            </w:r>
          </w:p>
        </w:tc>
        <w:tc>
          <w:tcPr>
            <w:tcW w:w="8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Consideration</w:t>
            </w:r>
          </w:p>
        </w:tc>
        <w:tc>
          <w:tcPr>
            <w:tcW w:w="9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00" w:type="dxa"/>
            <w:vAlign w:val="bottom"/>
            <w:gridSpan w:val="2"/>
            <w:vMerge w:val="continue"/>
          </w:tcPr>
          <w:p>
            <w:pPr>
              <w:spacing w:after="0"/>
              <w:rPr>
                <w:sz w:val="7"/>
                <w:szCs w:val="7"/>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rPr>
              <w:t>GAAP</w:t>
            </w: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Integration</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Restructuring</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800" w:type="dxa"/>
            <w:vAlign w:val="bottom"/>
          </w:tcPr>
          <w:p>
            <w:pPr>
              <w:spacing w:after="0"/>
              <w:rPr>
                <w:sz w:val="7"/>
                <w:szCs w:val="7"/>
                <w:color w:val="auto"/>
              </w:rPr>
            </w:pP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Remediation</w:t>
            </w:r>
          </w:p>
        </w:tc>
        <w:tc>
          <w:tcPr>
            <w:tcW w:w="8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Acquisition</w:t>
            </w:r>
          </w:p>
        </w:tc>
        <w:tc>
          <w:tcPr>
            <w:tcW w:w="10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and Other</w:t>
            </w:r>
          </w:p>
        </w:tc>
        <w:tc>
          <w:tcPr>
            <w:tcW w:w="9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45"/>
        </w:trPr>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1300" w:type="dxa"/>
            <w:vAlign w:val="bottom"/>
            <w:gridSpan w:val="2"/>
            <w:vMerge w:val="continue"/>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Financial</w:t>
            </w:r>
          </w:p>
        </w:tc>
        <w:tc>
          <w:tcPr>
            <w:tcW w:w="7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800" w:type="dxa"/>
            <w:vAlign w:val="bottom"/>
          </w:tcPr>
          <w:p>
            <w:pPr>
              <w:jc w:val="right"/>
              <w:ind w:right="9"/>
              <w:spacing w:after="0" w:line="130" w:lineRule="exact"/>
              <w:rPr>
                <w:sz w:val="20"/>
                <w:szCs w:val="20"/>
                <w:color w:val="auto"/>
              </w:rPr>
            </w:pPr>
            <w:r>
              <w:rPr>
                <w:rFonts w:ascii="Arial" w:cs="Arial" w:eastAsia="Arial" w:hAnsi="Arial"/>
                <w:sz w:val="13"/>
                <w:szCs w:val="13"/>
                <w:b w:val="1"/>
                <w:bCs w:val="1"/>
                <w:color w:val="auto"/>
                <w:w w:val="99"/>
              </w:rPr>
              <w:t>Impairment</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8"/>
              </w:rPr>
              <w:t>Expenses</w:t>
            </w:r>
          </w:p>
        </w:tc>
        <w:tc>
          <w:tcPr>
            <w:tcW w:w="82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4"/>
              </w:rPr>
              <w:t>Costs</w:t>
            </w:r>
          </w:p>
        </w:tc>
        <w:tc>
          <w:tcPr>
            <w:tcW w:w="1040" w:type="dxa"/>
            <w:vAlign w:val="bottom"/>
          </w:tcPr>
          <w:p>
            <w:pPr>
              <w:jc w:val="center"/>
              <w:ind w:right="12"/>
              <w:spacing w:after="0" w:line="130" w:lineRule="exact"/>
              <w:rPr>
                <w:sz w:val="20"/>
                <w:szCs w:val="20"/>
                <w:color w:val="auto"/>
              </w:rPr>
            </w:pPr>
            <w:r>
              <w:rPr>
                <w:rFonts w:ascii="Arial" w:cs="Arial" w:eastAsia="Arial" w:hAnsi="Arial"/>
                <w:sz w:val="13"/>
                <w:szCs w:val="13"/>
                <w:b w:val="1"/>
                <w:bCs w:val="1"/>
                <w:color w:val="auto"/>
                <w:w w:val="96"/>
              </w:rPr>
              <w:t>Reserves</w:t>
            </w:r>
          </w:p>
        </w:tc>
        <w:tc>
          <w:tcPr>
            <w:tcW w:w="9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7"/>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Cost of sales -</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exclusive of</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$245.3</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($2.0)</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$0.4</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Product</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remediation</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11.1</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1"/>
              <w:spacing w:after="0"/>
              <w:rPr>
                <w:sz w:val="20"/>
                <w:szCs w:val="20"/>
                <w:color w:val="auto"/>
              </w:rPr>
            </w:pPr>
            <w:r>
              <w:rPr>
                <w:rFonts w:ascii="Arial" w:cs="Arial" w:eastAsia="Arial" w:hAnsi="Arial"/>
                <w:sz w:val="14"/>
                <w:szCs w:val="14"/>
                <w:color w:val="auto"/>
              </w:rPr>
              <w:t>(11.1)</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percent</w:t>
            </w:r>
          </w:p>
        </w:tc>
        <w:tc>
          <w:tcPr>
            <w:tcW w:w="700" w:type="dxa"/>
            <w:vAlign w:val="bottom"/>
          </w:tcPr>
          <w:p>
            <w:pPr>
              <w:jc w:val="right"/>
              <w:spacing w:after="0"/>
              <w:rPr>
                <w:sz w:val="20"/>
                <w:szCs w:val="20"/>
                <w:color w:val="auto"/>
              </w:rPr>
            </w:pPr>
            <w:r>
              <w:rPr>
                <w:rFonts w:ascii="Arial" w:cs="Arial" w:eastAsia="Arial" w:hAnsi="Arial"/>
                <w:sz w:val="14"/>
                <w:szCs w:val="14"/>
                <w:color w:val="auto"/>
              </w:rPr>
              <w:t>67.8 %</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960" w:type="dxa"/>
            <w:vAlign w:val="bottom"/>
          </w:tcPr>
          <w:p>
            <w:pPr>
              <w:jc w:val="right"/>
              <w:spacing w:after="0"/>
              <w:rPr>
                <w:sz w:val="20"/>
                <w:szCs w:val="20"/>
                <w:color w:val="auto"/>
              </w:rPr>
            </w:pPr>
            <w:r>
              <w:rPr>
                <w:rFonts w:ascii="Arial" w:cs="Arial" w:eastAsia="Arial" w:hAnsi="Arial"/>
                <w:sz w:val="14"/>
                <w:szCs w:val="14"/>
                <w:color w:val="auto"/>
              </w:rPr>
              <w:t>0.1%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Selling, general</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and</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administrative</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$375.9</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($0.4)</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($0.7)</w:t>
            </w:r>
          </w:p>
        </w:tc>
        <w:tc>
          <w:tcPr>
            <w:tcW w:w="1040" w:type="dxa"/>
            <w:vAlign w:val="bottom"/>
          </w:tcPr>
          <w:p>
            <w:pPr>
              <w:jc w:val="right"/>
              <w:ind w:right="92"/>
              <w:spacing w:after="0"/>
              <w:rPr>
                <w:sz w:val="20"/>
                <w:szCs w:val="20"/>
                <w:color w:val="auto"/>
              </w:rPr>
            </w:pPr>
            <w:r>
              <w:rPr>
                <w:rFonts w:ascii="Arial" w:cs="Arial" w:eastAsia="Arial" w:hAnsi="Arial"/>
                <w:sz w:val="14"/>
                <w:szCs w:val="14"/>
                <w:color w:val="auto"/>
              </w:rPr>
              <w:t>($42.2)</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($18.5)</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(0.9)</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(1.5)</w:t>
            </w:r>
          </w:p>
        </w:tc>
        <w:tc>
          <w:tcPr>
            <w:tcW w:w="1040" w:type="dxa"/>
            <w:vAlign w:val="bottom"/>
          </w:tcPr>
          <w:p>
            <w:pPr>
              <w:jc w:val="right"/>
              <w:ind w:right="92"/>
              <w:spacing w:after="0"/>
              <w:rPr>
                <w:sz w:val="20"/>
                <w:szCs w:val="20"/>
                <w:color w:val="auto"/>
              </w:rPr>
            </w:pPr>
            <w:r>
              <w:rPr>
                <w:rFonts w:ascii="Arial" w:cs="Arial" w:eastAsia="Arial" w:hAnsi="Arial"/>
                <w:sz w:val="14"/>
                <w:szCs w:val="14"/>
                <w:color w:val="auto"/>
              </w:rPr>
              <w:t>(1.6)</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(4.5)</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Other operating</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expenses</w:t>
            </w:r>
          </w:p>
        </w:tc>
        <w:tc>
          <w:tcPr>
            <w:tcW w:w="700" w:type="dxa"/>
            <w:vAlign w:val="bottom"/>
          </w:tcPr>
          <w:p>
            <w:pPr>
              <w:jc w:val="right"/>
              <w:ind w:right="130"/>
              <w:spacing w:after="0"/>
              <w:rPr>
                <w:sz w:val="20"/>
                <w:szCs w:val="20"/>
                <w:color w:val="auto"/>
              </w:rPr>
            </w:pPr>
            <w:r>
              <w:rPr>
                <w:rFonts w:ascii="Arial" w:cs="Arial" w:eastAsia="Arial" w:hAnsi="Arial"/>
                <w:sz w:val="14"/>
                <w:szCs w:val="14"/>
                <w:color w:val="auto"/>
              </w:rPr>
              <w:t>65.1</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(14.3)</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(4.6)</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(29.7)</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(50.3)</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33.8</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Operating (loss)</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income from</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continuing</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(24.9)</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14.3</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4.6</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32.3</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51.2</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11.1</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2.2</w:t>
            </w: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9.5</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24.1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Operating margin</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percent</w:t>
            </w: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800" w:type="dxa"/>
            <w:vAlign w:val="bottom"/>
          </w:tcPr>
          <w:p>
            <w:pPr>
              <w:jc w:val="right"/>
              <w:spacing w:after="0"/>
              <w:rPr>
                <w:sz w:val="20"/>
                <w:szCs w:val="20"/>
                <w:color w:val="auto"/>
              </w:rPr>
            </w:pPr>
            <w:r>
              <w:rPr>
                <w:rFonts w:ascii="Arial" w:cs="Arial" w:eastAsia="Arial" w:hAnsi="Arial"/>
                <w:sz w:val="14"/>
                <w:szCs w:val="14"/>
                <w:color w:val="auto"/>
              </w:rPr>
              <w:t>6.4%</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0.3%</w:t>
            </w:r>
          </w:p>
        </w:tc>
        <w:tc>
          <w:tcPr>
            <w:tcW w:w="1040" w:type="dxa"/>
            <w:vAlign w:val="bottom"/>
          </w:tcPr>
          <w:p>
            <w:pPr>
              <w:jc w:val="right"/>
              <w:spacing w:after="0"/>
              <w:rPr>
                <w:sz w:val="20"/>
                <w:szCs w:val="20"/>
                <w:color w:val="auto"/>
              </w:rPr>
            </w:pPr>
            <w:r>
              <w:rPr>
                <w:rFonts w:ascii="Arial" w:cs="Arial" w:eastAsia="Arial" w:hAnsi="Arial"/>
                <w:sz w:val="14"/>
                <w:szCs w:val="14"/>
                <w:color w:val="auto"/>
              </w:rPr>
              <w:t>1.2 %</w:t>
            </w: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Income tax</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(benefit) expense</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(23.4)</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3.3</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8.2</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12.4</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3.6</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0.5</w:t>
            </w: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5.4</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5.6</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0.8</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from continuing</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(12.1)</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11.1</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3.4</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24.1</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38.8</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7.6</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1.7</w:t>
            </w: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4.2</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18.5</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3.3</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206"/>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Diluted EPS -</w:t>
            </w: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Continuing</w:t>
            </w: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($0.25)</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$0.23</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$0.07</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$0.49</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$0.79</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$0.15</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$0.03</w:t>
            </w:r>
          </w:p>
        </w:tc>
        <w:tc>
          <w:tcPr>
            <w:tcW w:w="1040" w:type="dxa"/>
            <w:vAlign w:val="bottom"/>
          </w:tcPr>
          <w:p>
            <w:pPr>
              <w:jc w:val="right"/>
              <w:ind w:right="152"/>
              <w:spacing w:after="0"/>
              <w:rPr>
                <w:sz w:val="20"/>
                <w:szCs w:val="20"/>
                <w:color w:val="auto"/>
              </w:rPr>
            </w:pPr>
            <w:r>
              <w:rPr>
                <w:rFonts w:ascii="Arial" w:cs="Arial" w:eastAsia="Arial" w:hAnsi="Arial"/>
                <w:sz w:val="14"/>
                <w:szCs w:val="14"/>
                <w:color w:val="auto"/>
              </w:rPr>
              <w:t>$0.09</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$0.38</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$0.02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$0.07</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nine months ended September 30, 2019 include:</w:t>
      </w:r>
    </w:p>
    <w:p>
      <w:pPr>
        <w:spacing w:after="0" w:line="73" w:lineRule="exact"/>
        <w:rPr>
          <w:sz w:val="20"/>
          <w:szCs w:val="20"/>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Impairment of ImThera intangible assets and other long-lived assets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Primarily relates to contingent consideration related to acquisitions, legal expenses related to 3T Heater-Cooler defense and other matters and insurance recovery</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p>
      <w:pPr>
        <w:spacing w:after="0" w:line="55" w:lineRule="exact"/>
        <w:rPr>
          <w:sz w:val="20"/>
          <w:szCs w:val="20"/>
          <w:color w:val="auto"/>
        </w:rPr>
      </w:pPr>
    </w:p>
    <w:p>
      <w:pPr>
        <w:ind w:left="300" w:hanging="265"/>
        <w:spacing w:after="0"/>
        <w:tabs>
          <w:tab w:leader="none" w:pos="3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783" w:right="239" w:bottom="1440" w:gutter="0" w:footer="0" w:header="0"/>
        </w:sectPr>
      </w:pPr>
    </w:p>
    <w:bookmarkStart w:id="19" w:name="page20"/>
    <w:bookmarkEnd w:id="19"/>
    <w:p>
      <w:pPr>
        <w:ind w:left="40" w:right="5040"/>
        <w:spacing w:after="0" w:line="286"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Specified Items</w:t>
            </w:r>
          </w:p>
        </w:tc>
        <w:tc>
          <w:tcPr>
            <w:tcW w:w="9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8"/>
              </w:rPr>
              <w:t>Depreciation</w:t>
            </w: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6"/>
              </w:rPr>
              <w:t>Non-recurring</w:t>
            </w: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Merger and</w:t>
            </w:r>
          </w:p>
        </w:tc>
        <w:tc>
          <w:tcPr>
            <w:tcW w:w="9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8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Product</w:t>
            </w:r>
          </w:p>
        </w:tc>
        <w:tc>
          <w:tcPr>
            <w:tcW w:w="7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CRM</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Legal and</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Stock-based</w:t>
            </w:r>
          </w:p>
        </w:tc>
        <w:tc>
          <w:tcPr>
            <w:tcW w:w="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Certain</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GAAP</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Integration</w:t>
            </w:r>
          </w:p>
        </w:tc>
        <w:tc>
          <w:tcPr>
            <w:tcW w:w="4040" w:type="dxa"/>
            <w:vAlign w:val="bottom"/>
            <w:gridSpan w:val="5"/>
          </w:tcPr>
          <w:p>
            <w:pPr>
              <w:jc w:val="right"/>
              <w:ind w:right="10"/>
              <w:spacing w:after="0" w:line="135" w:lineRule="exact"/>
              <w:rPr>
                <w:sz w:val="20"/>
                <w:szCs w:val="20"/>
                <w:color w:val="auto"/>
              </w:rPr>
            </w:pPr>
            <w:r>
              <w:rPr>
                <w:rFonts w:ascii="Arial" w:cs="Arial" w:eastAsia="Arial" w:hAnsi="Arial"/>
                <w:sz w:val="13"/>
                <w:szCs w:val="13"/>
                <w:b w:val="1"/>
                <w:bCs w:val="1"/>
                <w:color w:val="auto"/>
              </w:rPr>
              <w:t>Restructuring  Amortization Remediation Acquisition  Disposal</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Contingent</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Certain Tax</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30"/>
        </w:trPr>
        <w:tc>
          <w:tcPr>
            <w:tcW w:w="1560" w:type="dxa"/>
            <w:vAlign w:val="bottom"/>
            <w:gridSpan w:val="2"/>
            <w:vMerge w:val="continue"/>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7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right"/>
              <w:ind w:right="110"/>
              <w:spacing w:after="0" w:line="130" w:lineRule="exact"/>
              <w:rPr>
                <w:sz w:val="20"/>
                <w:szCs w:val="20"/>
                <w:color w:val="auto"/>
              </w:rPr>
            </w:pPr>
            <w:r>
              <w:rPr>
                <w:rFonts w:ascii="Arial" w:cs="Arial" w:eastAsia="Arial" w:hAnsi="Arial"/>
                <w:sz w:val="13"/>
                <w:szCs w:val="13"/>
                <w:b w:val="1"/>
                <w:bCs w:val="1"/>
                <w:color w:val="auto"/>
              </w:rPr>
              <w:t>Expenses</w:t>
            </w:r>
          </w:p>
        </w:tc>
        <w:tc>
          <w:tcPr>
            <w:tcW w:w="90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5"/>
              </w:rPr>
              <w:t>Expenses</w:t>
            </w:r>
          </w:p>
        </w:tc>
        <w:tc>
          <w:tcPr>
            <w:tcW w:w="880" w:type="dxa"/>
            <w:vAlign w:val="bottom"/>
          </w:tcPr>
          <w:p>
            <w:pPr>
              <w:jc w:val="center"/>
              <w:ind w:right="90"/>
              <w:spacing w:after="0" w:line="130" w:lineRule="exact"/>
              <w:rPr>
                <w:sz w:val="20"/>
                <w:szCs w:val="20"/>
                <w:color w:val="auto"/>
              </w:rPr>
            </w:pPr>
            <w:r>
              <w:rPr>
                <w:rFonts w:ascii="Arial" w:cs="Arial" w:eastAsia="Arial" w:hAnsi="Arial"/>
                <w:sz w:val="13"/>
                <w:szCs w:val="13"/>
                <w:b w:val="1"/>
                <w:bCs w:val="1"/>
                <w:color w:val="auto"/>
                <w:w w:val="98"/>
              </w:rPr>
              <w:t>Expenses</w:t>
            </w:r>
          </w:p>
        </w:tc>
        <w:tc>
          <w:tcPr>
            <w:tcW w:w="720" w:type="dxa"/>
            <w:vAlign w:val="bottom"/>
          </w:tcPr>
          <w:p>
            <w:pPr>
              <w:jc w:val="right"/>
              <w:ind w:right="190"/>
              <w:spacing w:after="0" w:line="130" w:lineRule="exact"/>
              <w:rPr>
                <w:sz w:val="20"/>
                <w:szCs w:val="20"/>
                <w:color w:val="auto"/>
              </w:rPr>
            </w:pPr>
            <w:r>
              <w:rPr>
                <w:rFonts w:ascii="Arial" w:cs="Arial" w:eastAsia="Arial" w:hAnsi="Arial"/>
                <w:sz w:val="13"/>
                <w:szCs w:val="13"/>
                <w:b w:val="1"/>
                <w:bCs w:val="1"/>
                <w:color w:val="auto"/>
              </w:rPr>
              <w:t>Costs</w:t>
            </w:r>
          </w:p>
        </w:tc>
        <w:tc>
          <w:tcPr>
            <w:tcW w:w="620" w:type="dxa"/>
            <w:vAlign w:val="bottom"/>
          </w:tcPr>
          <w:p>
            <w:pPr>
              <w:jc w:val="center"/>
              <w:ind w:right="10"/>
              <w:spacing w:after="0" w:line="130" w:lineRule="exact"/>
              <w:rPr>
                <w:sz w:val="20"/>
                <w:szCs w:val="20"/>
                <w:color w:val="auto"/>
              </w:rPr>
            </w:pPr>
            <w:r>
              <w:rPr>
                <w:rFonts w:ascii="Arial" w:cs="Arial" w:eastAsia="Arial" w:hAnsi="Arial"/>
                <w:sz w:val="13"/>
                <w:szCs w:val="13"/>
                <w:b w:val="1"/>
                <w:bCs w:val="1"/>
                <w:color w:val="auto"/>
                <w:w w:val="94"/>
              </w:rPr>
              <w:t>Costs</w:t>
            </w:r>
          </w:p>
        </w:tc>
        <w:tc>
          <w:tcPr>
            <w:tcW w:w="9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Consideration</w:t>
            </w:r>
          </w:p>
        </w:tc>
        <w:tc>
          <w:tcPr>
            <w:tcW w:w="9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Costs</w:t>
            </w: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8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9"/>
              </w:rPr>
              <w:t>Financial</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8"/>
              </w:rPr>
              <w:t>(D)</w:t>
            </w: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(E)</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7"/>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Cost of sales -</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exclusive of</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amortization</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$270.9</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($10.8)</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($0.2)</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$1.4</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($0.8)</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$260.4</w:t>
            </w:r>
          </w:p>
        </w:tc>
        <w:tc>
          <w:tcPr>
            <w:tcW w:w="0" w:type="dxa"/>
            <w:vAlign w:val="bottom"/>
          </w:tcPr>
          <w:p>
            <w:pPr>
              <w:spacing w:after="0"/>
              <w:rPr>
                <w:sz w:val="1"/>
                <w:szCs w:val="1"/>
                <w:color w:val="auto"/>
              </w:rPr>
            </w:pPr>
          </w:p>
        </w:tc>
      </w:tr>
      <w:tr>
        <w:trPr>
          <w:trHeight w:val="270"/>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Product remediation</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8.7</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auto"/>
              </w:rPr>
              <w:t>(8.7)</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Gross profit 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65.5%</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960" w:type="dxa"/>
            <w:vAlign w:val="bottom"/>
          </w:tcPr>
          <w:p>
            <w:pPr>
              <w:jc w:val="right"/>
              <w:spacing w:after="0"/>
              <w:rPr>
                <w:sz w:val="20"/>
                <w:szCs w:val="20"/>
                <w:color w:val="auto"/>
              </w:rPr>
            </w:pPr>
            <w:r>
              <w:rPr>
                <w:rFonts w:ascii="Arial" w:cs="Arial" w:eastAsia="Arial" w:hAnsi="Arial"/>
                <w:sz w:val="14"/>
                <w:szCs w:val="14"/>
                <w:color w:val="auto"/>
              </w:rPr>
              <w:t>0.1%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06"/>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Selling, general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administrative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$342.7</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($4.4)</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($3.2)</w:t>
            </w: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($17.5)</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($15.1)</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206"/>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Research and</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108.4</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(0.2)</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(5.2)</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(0.1)</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(3.5)</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206"/>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Other operating</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expenses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50.9</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(20.0)</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(28.1)</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Operating income</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from 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28.4</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20.0</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2.8</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39.7</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8.7</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9.8</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3.3</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16.3</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19.4</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206"/>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Operating margin</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percent</w:t>
            </w:r>
          </w:p>
        </w:tc>
        <w:tc>
          <w:tcPr>
            <w:tcW w:w="720" w:type="dxa"/>
            <w:vAlign w:val="bottom"/>
          </w:tcPr>
          <w:p>
            <w:pPr>
              <w:jc w:val="right"/>
              <w:spacing w:after="0"/>
              <w:rPr>
                <w:sz w:val="20"/>
                <w:szCs w:val="20"/>
                <w:color w:val="auto"/>
              </w:rPr>
            </w:pPr>
            <w:r>
              <w:rPr>
                <w:rFonts w:ascii="Arial" w:cs="Arial" w:eastAsia="Arial" w:hAnsi="Arial"/>
                <w:sz w:val="14"/>
                <w:szCs w:val="14"/>
                <w:color w:val="auto"/>
              </w:rPr>
              <w:t>3.5%</w:t>
            </w: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4.9%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980" w:type="dxa"/>
            <w:vAlign w:val="bottom"/>
          </w:tcPr>
          <w:p>
            <w:pPr>
              <w:jc w:val="right"/>
              <w:spacing w:after="0"/>
              <w:rPr>
                <w:sz w:val="20"/>
                <w:szCs w:val="20"/>
                <w:color w:val="auto"/>
              </w:rPr>
            </w:pPr>
            <w:r>
              <w:rPr>
                <w:rFonts w:ascii="Arial" w:cs="Arial" w:eastAsia="Arial" w:hAnsi="Arial"/>
                <w:sz w:val="14"/>
                <w:szCs w:val="14"/>
                <w:color w:val="auto"/>
              </w:rPr>
              <w:t>2.0 %</w:t>
            </w: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70"/>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Gain on acquisition</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11.5</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(11.5)</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Income tax expense</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0.2</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4.3</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8.3</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2.0</w:t>
            </w:r>
          </w:p>
        </w:tc>
        <w:tc>
          <w:tcPr>
            <w:tcW w:w="720" w:type="dxa"/>
            <w:vAlign w:val="bottom"/>
          </w:tcPr>
          <w:p>
            <w:pPr>
              <w:jc w:val="right"/>
              <w:ind w:right="130"/>
              <w:spacing w:after="0"/>
              <w:rPr>
                <w:sz w:val="20"/>
                <w:szCs w:val="20"/>
                <w:color w:val="auto"/>
              </w:rPr>
            </w:pPr>
            <w:r>
              <w:rPr>
                <w:rFonts w:ascii="Arial" w:cs="Arial" w:eastAsia="Arial" w:hAnsi="Arial"/>
                <w:sz w:val="14"/>
                <w:szCs w:val="14"/>
                <w:color w:val="auto"/>
              </w:rPr>
              <w:t>2.3</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3.8</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4.7</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(5.9)</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0.6</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6"/>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Net income from</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continuing 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31.1</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15.7</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2.2</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31.3</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6.7</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(4.0)</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2.2</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12.6</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14.7</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5.9</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1.7</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06"/>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Diluted EPS -</w:t>
            </w: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Continuing</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Operations</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$0.63</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$0.32</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$0.05</w:t>
            </w: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$0.63</w:t>
            </w:r>
          </w:p>
        </w:tc>
        <w:tc>
          <w:tcPr>
            <w:tcW w:w="880" w:type="dxa"/>
            <w:vAlign w:val="bottom"/>
          </w:tcPr>
          <w:p>
            <w:pPr>
              <w:jc w:val="right"/>
              <w:ind w:right="170"/>
              <w:spacing w:after="0"/>
              <w:rPr>
                <w:sz w:val="20"/>
                <w:szCs w:val="20"/>
                <w:color w:val="auto"/>
              </w:rPr>
            </w:pPr>
            <w:r>
              <w:rPr>
                <w:rFonts w:ascii="Arial" w:cs="Arial" w:eastAsia="Arial" w:hAnsi="Arial"/>
                <w:sz w:val="14"/>
                <w:szCs w:val="14"/>
                <w:color w:val="auto"/>
              </w:rPr>
              <w:t>$0.14</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($0.08)</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$0.04</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$0.25</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$0.30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$0.12</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$0.04</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results for the nine months ended September 30, 2018 include:</w:t>
      </w:r>
    </w:p>
    <w:p>
      <w:pPr>
        <w:spacing w:after="0" w:line="73" w:lineRule="exact"/>
        <w:rPr>
          <w:sz w:val="20"/>
          <w:szCs w:val="20"/>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related to acquisitions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Corporate costs incurred to divest of the CRM business not attributable to discontinued operations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Contingent consideration related to acquisitions and legal expenses primarily related to 3T Heater-Cooler defense and other matters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55" w:lineRule="exact"/>
        <w:rPr>
          <w:rFonts w:ascii="Arial" w:cs="Arial" w:eastAsia="Arial" w:hAnsi="Arial"/>
          <w:sz w:val="14"/>
          <w:szCs w:val="14"/>
          <w:color w:val="auto"/>
        </w:rPr>
      </w:pPr>
    </w:p>
    <w:p>
      <w:pPr>
        <w:ind w:left="300" w:hanging="265"/>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Primarily relates to intellectual property migration and other non-recurring impacts to interest expense</w:t>
      </w:r>
    </w:p>
    <w:p>
      <w:pPr>
        <w:spacing w:after="0" w:line="55" w:lineRule="exact"/>
        <w:rPr>
          <w:sz w:val="20"/>
          <w:szCs w:val="20"/>
          <w:color w:val="auto"/>
        </w:rPr>
      </w:pPr>
    </w:p>
    <w:p>
      <w:pPr>
        <w:ind w:left="300" w:hanging="265"/>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783" w:right="239" w:bottom="1440" w:gutter="0" w:footer="0" w:header="0"/>
        </w:sectPr>
      </w:pPr>
    </w:p>
    <w:bookmarkStart w:id="20" w:name="page21"/>
    <w:bookmarkEnd w:id="20"/>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CONDENSED CONSOLIDATED BALANCE SHEETS - UNAUDITED</w:t>
      </w:r>
    </w:p>
    <w:p>
      <w:pPr>
        <w:spacing w:after="0" w:line="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(U.S. dollars in millions)</w:t>
      </w:r>
    </w:p>
    <w:p>
      <w:pPr>
        <w:spacing w:after="0" w:line="383"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206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 2019</w:t>
            </w:r>
          </w:p>
        </w:tc>
        <w:tc>
          <w:tcPr>
            <w:tcW w:w="19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51"/>
        </w:trPr>
        <w:tc>
          <w:tcPr>
            <w:tcW w:w="7400" w:type="dxa"/>
            <w:vAlign w:val="bottom"/>
          </w:tcPr>
          <w:p>
            <w:pPr>
              <w:ind w:left="460"/>
              <w:spacing w:after="0"/>
              <w:rPr>
                <w:sz w:val="20"/>
                <w:szCs w:val="20"/>
                <w:color w:val="auto"/>
              </w:rPr>
            </w:pPr>
            <w:r>
              <w:rPr>
                <w:rFonts w:ascii="Arial" w:cs="Arial" w:eastAsia="Arial" w:hAnsi="Arial"/>
                <w:sz w:val="16"/>
                <w:szCs w:val="16"/>
                <w:b w:val="1"/>
                <w:bCs w:val="1"/>
                <w:color w:val="auto"/>
              </w:rPr>
              <w:t>ASSETS</w:t>
            </w:r>
          </w:p>
        </w:tc>
        <w:tc>
          <w:tcPr>
            <w:tcW w:w="1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Prepaid and refundable taxes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83"/>
        </w:trPr>
        <w:tc>
          <w:tcPr>
            <w:tcW w:w="740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Total Current Assets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546.8</w:t>
            </w: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533.3</w:t>
            </w:r>
          </w:p>
        </w:tc>
        <w:tc>
          <w:tcPr>
            <w:tcW w:w="0" w:type="dxa"/>
            <w:vAlign w:val="bottom"/>
          </w:tcPr>
          <w:p>
            <w:pPr>
              <w:spacing w:after="0"/>
              <w:rPr>
                <w:sz w:val="1"/>
                <w:szCs w:val="1"/>
                <w:color w:val="auto"/>
              </w:rPr>
            </w:pPr>
          </w:p>
        </w:tc>
      </w:tr>
      <w:tr>
        <w:trPr>
          <w:trHeight w:val="237"/>
        </w:trPr>
        <w:tc>
          <w:tcPr>
            <w:tcW w:w="7400" w:type="dxa"/>
            <w:vAlign w:val="bottom"/>
          </w:tcPr>
          <w:p>
            <w:pPr>
              <w:ind w:left="460"/>
              <w:spacing w:after="0"/>
              <w:rPr>
                <w:sz w:val="20"/>
                <w:szCs w:val="20"/>
                <w:color w:val="auto"/>
              </w:rPr>
            </w:pPr>
            <w:r>
              <w:rPr>
                <w:rFonts w:ascii="Arial" w:cs="Arial" w:eastAsia="Arial" w:hAnsi="Arial"/>
                <w:sz w:val="16"/>
                <w:szCs w:val="16"/>
                <w:color w:val="auto"/>
              </w:rPr>
              <w:t>Property, plant and equipment, net</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Goodwill</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945.5</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956.8</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Intangible assets, net</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699.5</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Operating lease assets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Investments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Deferred tax assets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83"/>
        </w:trPr>
        <w:tc>
          <w:tcPr>
            <w:tcW w:w="740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0"/>
                <w:szCs w:val="20"/>
                <w:color w:val="auto"/>
              </w:rPr>
            </w:pPr>
            <w:r>
              <w:rPr>
                <w:rFonts w:ascii="Arial" w:cs="Arial" w:eastAsia="Arial" w:hAnsi="Arial"/>
                <w:sz w:val="16"/>
                <w:szCs w:val="16"/>
                <w:color w:val="auto"/>
              </w:rPr>
              <w:t>Total Assets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$2,509.9</w:t>
            </w:r>
          </w:p>
        </w:tc>
        <w:tc>
          <w:tcPr>
            <w:tcW w:w="100" w:type="dxa"/>
            <w:vAlign w:val="bottom"/>
          </w:tcPr>
          <w:p>
            <w:pPr>
              <w:spacing w:after="0"/>
              <w:rPr>
                <w:sz w:val="22"/>
                <w:szCs w:val="22"/>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$2,549.7</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LIABILITIES AND STOCKHOLDERS' EQUITY</w:t>
            </w: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Current debt obligations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Accrued liabilities and other</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Current litigation provision liability</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Taxes payable</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83"/>
        </w:trPr>
        <w:tc>
          <w:tcPr>
            <w:tcW w:w="7400" w:type="dxa"/>
            <w:vAlign w:val="bottom"/>
          </w:tcPr>
          <w:p>
            <w:pPr>
              <w:ind w:left="460"/>
              <w:spacing w:after="0"/>
              <w:rPr>
                <w:sz w:val="20"/>
                <w:szCs w:val="20"/>
                <w:color w:val="auto"/>
              </w:rPr>
            </w:pPr>
            <w:r>
              <w:rPr>
                <w:rFonts w:ascii="Arial" w:cs="Arial" w:eastAsia="Arial" w:hAnsi="Arial"/>
                <w:sz w:val="16"/>
                <w:szCs w:val="16"/>
                <w:color w:val="auto"/>
              </w:rPr>
              <w:t>Accrued employee compensation and related benefits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469.2</w:t>
            </w: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496.7</w:t>
            </w:r>
          </w:p>
        </w:tc>
        <w:tc>
          <w:tcPr>
            <w:tcW w:w="0" w:type="dxa"/>
            <w:vAlign w:val="bottom"/>
          </w:tcPr>
          <w:p>
            <w:pPr>
              <w:spacing w:after="0"/>
              <w:rPr>
                <w:sz w:val="1"/>
                <w:szCs w:val="1"/>
                <w:color w:val="auto"/>
              </w:rPr>
            </w:pPr>
          </w:p>
        </w:tc>
      </w:tr>
      <w:tr>
        <w:trPr>
          <w:trHeight w:val="237"/>
        </w:trPr>
        <w:tc>
          <w:tcPr>
            <w:tcW w:w="7400" w:type="dxa"/>
            <w:vAlign w:val="bottom"/>
          </w:tcPr>
          <w:p>
            <w:pPr>
              <w:ind w:left="460"/>
              <w:spacing w:after="0"/>
              <w:rPr>
                <w:sz w:val="20"/>
                <w:szCs w:val="20"/>
                <w:color w:val="auto"/>
              </w:rPr>
            </w:pPr>
            <w:r>
              <w:rPr>
                <w:rFonts w:ascii="Arial" w:cs="Arial" w:eastAsia="Arial" w:hAnsi="Arial"/>
                <w:sz w:val="16"/>
                <w:szCs w:val="16"/>
                <w:color w:val="auto"/>
              </w:rPr>
              <w:t>Long-term debt obligations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272.9</w:t>
            </w:r>
          </w:p>
        </w:tc>
        <w:tc>
          <w:tcPr>
            <w:tcW w:w="10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Contingent consideration</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Litigation provision liability</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Deferred tax liabilities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Long-term operating lease liabilities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00" w:type="dxa"/>
            <w:vAlign w:val="bottom"/>
          </w:tcPr>
          <w:p>
            <w:pPr>
              <w:ind w:left="460"/>
              <w:spacing w:after="0"/>
              <w:rPr>
                <w:sz w:val="20"/>
                <w:szCs w:val="20"/>
                <w:color w:val="auto"/>
              </w:rPr>
            </w:pPr>
            <w:r>
              <w:rPr>
                <w:rFonts w:ascii="Arial" w:cs="Arial" w:eastAsia="Arial" w:hAnsi="Arial"/>
                <w:sz w:val="16"/>
                <w:szCs w:val="16"/>
                <w:color w:val="auto"/>
              </w:rPr>
              <w:t>Long-term employee compensation and related benefits</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83"/>
        </w:trPr>
        <w:tc>
          <w:tcPr>
            <w:tcW w:w="7400" w:type="dxa"/>
            <w:vAlign w:val="bottom"/>
          </w:tcPr>
          <w:p>
            <w:pPr>
              <w:ind w:left="460"/>
              <w:spacing w:after="0"/>
              <w:rPr>
                <w:sz w:val="20"/>
                <w:szCs w:val="20"/>
                <w:color w:val="auto"/>
              </w:rPr>
            </w:pPr>
            <w:r>
              <w:rPr>
                <w:rFonts w:ascii="Arial" w:cs="Arial" w:eastAsia="Arial" w:hAnsi="Arial"/>
                <w:sz w:val="16"/>
                <w:szCs w:val="16"/>
                <w:color w:val="auto"/>
              </w:rPr>
              <w:t>Other long-term liabilities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Total Liabilities</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1,014.7</w:t>
            </w: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1,046.0</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1,495.3</w:t>
            </w: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1,503.7</w:t>
            </w:r>
          </w:p>
        </w:tc>
        <w:tc>
          <w:tcPr>
            <w:tcW w:w="0" w:type="dxa"/>
            <w:vAlign w:val="bottom"/>
          </w:tcPr>
          <w:p>
            <w:pPr>
              <w:spacing w:after="0"/>
              <w:rPr>
                <w:sz w:val="1"/>
                <w:szCs w:val="1"/>
                <w:color w:val="auto"/>
              </w:rPr>
            </w:pPr>
          </w:p>
        </w:tc>
      </w:tr>
      <w:tr>
        <w:trPr>
          <w:trHeight w:val="267"/>
        </w:trPr>
        <w:tc>
          <w:tcPr>
            <w:tcW w:w="740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$2,509.9</w:t>
            </w:r>
          </w:p>
        </w:tc>
        <w:tc>
          <w:tcPr>
            <w:tcW w:w="100" w:type="dxa"/>
            <w:vAlign w:val="bottom"/>
          </w:tcPr>
          <w:p>
            <w:pPr>
              <w:spacing w:after="0"/>
              <w:rPr>
                <w:sz w:val="23"/>
                <w:szCs w:val="23"/>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$2,549.7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465" w:hanging="465"/>
        <w:spacing w:after="0"/>
        <w:tabs>
          <w:tab w:leader="none" w:pos="465" w:val="left"/>
        </w:tabs>
        <w:numPr>
          <w:ilvl w:val="0"/>
          <w:numId w:val="21"/>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5"/>
          </w:cols>
          <w:pgMar w:left="275" w:top="783" w:right="239" w:bottom="1440" w:gutter="0" w:footer="0" w:header="0"/>
        </w:sectPr>
      </w:pPr>
    </w:p>
    <w:bookmarkStart w:id="21" w:name="page22"/>
    <w:bookmarkEnd w:id="21"/>
    <w:p>
      <w:pPr>
        <w:ind w:left="5"/>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left="5" w:right="5340"/>
        <w:spacing w:after="0" w:line="352" w:lineRule="auto"/>
        <w:rPr>
          <w:sz w:val="20"/>
          <w:szCs w:val="20"/>
          <w:color w:val="auto"/>
        </w:rPr>
      </w:pPr>
      <w:r>
        <w:rPr>
          <w:rFonts w:ascii="Arial" w:cs="Arial" w:eastAsia="Arial" w:hAnsi="Arial"/>
          <w:sz w:val="16"/>
          <w:szCs w:val="16"/>
          <w:b w:val="1"/>
          <w:bCs w:val="1"/>
          <w:color w:val="auto"/>
        </w:rPr>
        <w:t>CONDENSED CONSOLIDATED STATEMENTS OF CASH FLOWS - UNAUDITED (U.S. dollars in millions)</w:t>
      </w:r>
    </w:p>
    <w:p>
      <w:pPr>
        <w:spacing w:after="0" w:line="1" w:lineRule="exact"/>
        <w:rPr>
          <w:sz w:val="20"/>
          <w:szCs w:val="20"/>
          <w:color w:val="auto"/>
        </w:rPr>
      </w:pPr>
    </w:p>
    <w:p>
      <w:pPr>
        <w:jc w:val="right"/>
        <w:ind w:right="4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31750</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325"/>
          </w:cols>
          <w:pgMar w:left="275" w:top="810" w:right="299" w:bottom="559" w:gutter="0" w:footer="0" w:header="0"/>
        </w:sectPr>
      </w:pPr>
    </w:p>
    <w:p>
      <w:pPr>
        <w:spacing w:after="0" w:line="10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Operating Activities:</w:t>
      </w:r>
    </w:p>
    <w:p>
      <w:pPr>
        <w:spacing w:after="0" w:line="10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Net (loss) income</w:t>
      </w:r>
    </w:p>
    <w:p>
      <w:pPr>
        <w:spacing w:after="0" w:line="106" w:lineRule="exact"/>
        <w:rPr>
          <w:sz w:val="20"/>
          <w:szCs w:val="20"/>
          <w:color w:val="auto"/>
        </w:rPr>
      </w:pPr>
    </w:p>
    <w:p>
      <w:pPr>
        <w:ind w:left="5"/>
        <w:spacing w:after="0"/>
        <w:rPr>
          <w:sz w:val="20"/>
          <w:szCs w:val="20"/>
          <w:color w:val="auto"/>
        </w:rPr>
      </w:pPr>
      <w:r>
        <w:rPr>
          <w:rFonts w:ascii="Arial" w:cs="Arial" w:eastAsia="Arial" w:hAnsi="Arial"/>
          <w:sz w:val="16"/>
          <w:szCs w:val="16"/>
          <w:color w:val="auto"/>
        </w:rPr>
        <w:t>Non-cash items included in net (loss) income:</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Impairment of intangible assets</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Amortization</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Deferred tax benefit</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Amortization of operating lease assets</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Amortization of income taxes payable on intercompany transfers of property</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Gain on acquisition</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Other</w:t>
      </w:r>
    </w:p>
    <w:p>
      <w:pPr>
        <w:spacing w:after="0" w:line="6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Changes in operating assets and liabilities:</w:t>
      </w:r>
    </w:p>
    <w:p>
      <w:pPr>
        <w:spacing w:after="0" w:line="10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Other current and non-current assets</w:t>
      </w:r>
    </w:p>
    <w:p>
      <w:pPr>
        <w:spacing w:after="0" w:line="86" w:lineRule="exact"/>
        <w:rPr>
          <w:sz w:val="20"/>
          <w:szCs w:val="20"/>
          <w:color w:val="auto"/>
        </w:rPr>
      </w:pPr>
    </w:p>
    <w:p>
      <w:pPr>
        <w:ind w:left="345" w:right="2680"/>
        <w:spacing w:after="0" w:line="352" w:lineRule="auto"/>
        <w:rPr>
          <w:sz w:val="20"/>
          <w:szCs w:val="20"/>
          <w:color w:val="auto"/>
        </w:rPr>
      </w:pPr>
      <w:r>
        <w:rPr>
          <w:rFonts w:ascii="Arial" w:cs="Arial" w:eastAsia="Arial" w:hAnsi="Arial"/>
          <w:sz w:val="16"/>
          <w:szCs w:val="16"/>
          <w:color w:val="auto"/>
        </w:rPr>
        <w:t>Accounts payable and accrued current and non-current liabilities Taxes payable</w:t>
      </w:r>
    </w:p>
    <w:p>
      <w:pPr>
        <w:spacing w:after="0" w:line="1" w:lineRule="exact"/>
        <w:rPr>
          <w:sz w:val="20"/>
          <w:szCs w:val="20"/>
          <w:color w:val="auto"/>
        </w:rPr>
      </w:pPr>
    </w:p>
    <w:p>
      <w:pPr>
        <w:ind w:left="345"/>
        <w:spacing w:after="0"/>
        <w:rPr>
          <w:sz w:val="20"/>
          <w:szCs w:val="20"/>
          <w:color w:val="auto"/>
        </w:rPr>
      </w:pPr>
      <w:r>
        <w:rPr>
          <w:rFonts w:ascii="Arial" w:cs="Arial" w:eastAsia="Arial" w:hAnsi="Arial"/>
          <w:sz w:val="16"/>
          <w:szCs w:val="16"/>
          <w:color w:val="auto"/>
        </w:rPr>
        <w:t>Litigation provision liability</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Restructuring reserve</w:t>
      </w:r>
    </w:p>
    <w:p>
      <w:pPr>
        <w:spacing w:after="0" w:line="66" w:lineRule="exact"/>
        <w:rPr>
          <w:sz w:val="20"/>
          <w:szCs w:val="20"/>
          <w:color w:val="auto"/>
        </w:rPr>
      </w:pPr>
    </w:p>
    <w:p>
      <w:pPr>
        <w:ind w:left="485"/>
        <w:spacing w:after="0"/>
        <w:rPr>
          <w:sz w:val="20"/>
          <w:szCs w:val="20"/>
          <w:color w:val="auto"/>
        </w:rPr>
      </w:pPr>
      <w:r>
        <w:rPr>
          <w:rFonts w:ascii="Arial" w:cs="Arial" w:eastAsia="Arial" w:hAnsi="Arial"/>
          <w:sz w:val="16"/>
          <w:szCs w:val="16"/>
          <w:b w:val="1"/>
          <w:bCs w:val="1"/>
          <w:color w:val="auto"/>
        </w:rPr>
        <w:t>Net cash (used in) provided by operating activities</w:t>
      </w:r>
    </w:p>
    <w:p>
      <w:pPr>
        <w:spacing w:after="0" w:line="10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Investing Activities:</w:t>
      </w:r>
    </w:p>
    <w:p>
      <w:pPr>
        <w:spacing w:after="0" w:line="10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Acquisitions, net of cash acquired</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Purchases of intangible assets</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Proceeds from asset sales</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Purchase of investment</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Proceeds from the sale of CRM business franchise, net of cash disposed</w:t>
      </w:r>
    </w:p>
    <w:p>
      <w:pPr>
        <w:spacing w:after="0" w:line="66" w:lineRule="exact"/>
        <w:rPr>
          <w:sz w:val="20"/>
          <w:szCs w:val="20"/>
          <w:color w:val="auto"/>
        </w:rPr>
      </w:pPr>
    </w:p>
    <w:p>
      <w:pPr>
        <w:ind w:left="485"/>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10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Financing Activities:</w:t>
      </w:r>
    </w:p>
    <w:p>
      <w:pPr>
        <w:spacing w:after="0" w:line="10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Proceeds from long-term debt obligations</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Payment of contingent consideration</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Repayment of long-term debt obligations</w:t>
      </w:r>
    </w:p>
    <w:p>
      <w:pPr>
        <w:spacing w:after="0" w:line="86" w:lineRule="exact"/>
        <w:rPr>
          <w:sz w:val="20"/>
          <w:szCs w:val="20"/>
          <w:color w:val="auto"/>
        </w:rPr>
      </w:pPr>
    </w:p>
    <w:p>
      <w:pPr>
        <w:ind w:left="345" w:right="2580"/>
        <w:spacing w:after="0" w:line="352" w:lineRule="auto"/>
        <w:rPr>
          <w:sz w:val="20"/>
          <w:szCs w:val="20"/>
          <w:color w:val="auto"/>
        </w:rPr>
      </w:pPr>
      <w:r>
        <w:rPr>
          <w:rFonts w:ascii="Arial" w:cs="Arial" w:eastAsia="Arial" w:hAnsi="Arial"/>
          <w:sz w:val="16"/>
          <w:szCs w:val="16"/>
          <w:color w:val="auto"/>
        </w:rPr>
        <w:t>Shares repurchased from employees for minimum tax withholding Debt issuance costs</w:t>
      </w:r>
    </w:p>
    <w:p>
      <w:pPr>
        <w:spacing w:after="0" w:line="1"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Proceeds from share issuances under ESPP</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Change in short-term borrowing, net</w:t>
      </w:r>
    </w:p>
    <w:p>
      <w:pPr>
        <w:spacing w:after="0" w:line="86" w:lineRule="exact"/>
        <w:rPr>
          <w:sz w:val="20"/>
          <w:szCs w:val="20"/>
          <w:color w:val="auto"/>
        </w:rPr>
      </w:pPr>
    </w:p>
    <w:p>
      <w:pPr>
        <w:ind w:left="345"/>
        <w:spacing w:after="0"/>
        <w:rPr>
          <w:sz w:val="20"/>
          <w:szCs w:val="20"/>
          <w:color w:val="auto"/>
        </w:rPr>
      </w:pPr>
      <w:r>
        <w:rPr>
          <w:rFonts w:ascii="Arial" w:cs="Arial" w:eastAsia="Arial" w:hAnsi="Arial"/>
          <w:sz w:val="16"/>
          <w:szCs w:val="16"/>
          <w:color w:val="auto"/>
        </w:rPr>
        <w:t>Proceeds from exercise of stock options</w:t>
      </w:r>
    </w:p>
    <w:p>
      <w:pPr>
        <w:spacing w:after="0" w:line="86" w:lineRule="exact"/>
        <w:rPr>
          <w:sz w:val="20"/>
          <w:szCs w:val="20"/>
          <w:color w:val="auto"/>
        </w:rPr>
      </w:pPr>
    </w:p>
    <w:p>
      <w:pPr>
        <w:ind w:left="345" w:right="1700"/>
        <w:spacing w:after="0" w:line="371" w:lineRule="auto"/>
        <w:rPr>
          <w:sz w:val="20"/>
          <w:szCs w:val="20"/>
          <w:color w:val="auto"/>
        </w:rPr>
      </w:pPr>
      <w:r>
        <w:rPr>
          <w:rFonts w:ascii="Arial" w:cs="Arial" w:eastAsia="Arial" w:hAnsi="Arial"/>
          <w:sz w:val="16"/>
          <w:szCs w:val="16"/>
          <w:color w:val="auto"/>
        </w:rPr>
        <w:t>Proceeds from short-term borrowing (maturities greater than 90 days) Repayment of short-term borrowing (maturities greater than 90 days) Payment of deferred consideration - acquisition of Caisson Interventional, LLC Other</w:t>
      </w:r>
    </w:p>
    <w:p>
      <w:pPr>
        <w:spacing w:after="0" w:line="207" w:lineRule="exact"/>
        <w:rPr>
          <w:sz w:val="20"/>
          <w:szCs w:val="20"/>
          <w:color w:val="auto"/>
        </w:rPr>
      </w:pPr>
    </w:p>
    <w:p>
      <w:pPr>
        <w:ind w:left="485"/>
        <w:spacing w:after="0"/>
        <w:rPr>
          <w:sz w:val="20"/>
          <w:szCs w:val="20"/>
          <w:color w:val="auto"/>
        </w:rPr>
      </w:pPr>
      <w:r>
        <w:rPr>
          <w:rFonts w:ascii="Arial" w:cs="Arial" w:eastAsia="Arial" w:hAnsi="Arial"/>
          <w:sz w:val="16"/>
          <w:szCs w:val="16"/>
          <w:b w:val="1"/>
          <w:bCs w:val="1"/>
          <w:color w:val="auto"/>
        </w:rPr>
        <w:t>Net cash provided by (used in) financing activities</w:t>
      </w:r>
    </w:p>
    <w:p>
      <w:pPr>
        <w:spacing w:after="0" w:line="106" w:lineRule="exact"/>
        <w:rPr>
          <w:sz w:val="20"/>
          <w:szCs w:val="20"/>
          <w:color w:val="auto"/>
        </w:rPr>
      </w:pPr>
    </w:p>
    <w:p>
      <w:pPr>
        <w:ind w:left="5"/>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66" w:lineRule="exact"/>
        <w:rPr>
          <w:sz w:val="20"/>
          <w:szCs w:val="20"/>
          <w:color w:val="auto"/>
        </w:rPr>
      </w:pPr>
    </w:p>
    <w:p>
      <w:pPr>
        <w:ind w:left="485"/>
        <w:spacing w:after="0"/>
        <w:rPr>
          <w:sz w:val="20"/>
          <w:szCs w:val="20"/>
          <w:color w:val="auto"/>
        </w:rPr>
      </w:pPr>
      <w:r>
        <w:rPr>
          <w:rFonts w:ascii="Arial" w:cs="Arial" w:eastAsia="Arial" w:hAnsi="Arial"/>
          <w:sz w:val="16"/>
          <w:szCs w:val="16"/>
          <w:b w:val="1"/>
          <w:bCs w:val="1"/>
          <w:color w:val="auto"/>
        </w:rPr>
        <w:t>Net increase (decrease) in cash and cash equivalents</w:t>
      </w:r>
    </w:p>
    <w:p>
      <w:pPr>
        <w:spacing w:after="0" w:line="106" w:lineRule="exact"/>
        <w:rPr>
          <w:sz w:val="20"/>
          <w:szCs w:val="20"/>
          <w:color w:val="auto"/>
        </w:rPr>
      </w:pPr>
    </w:p>
    <w:p>
      <w:pPr>
        <w:ind w:left="5"/>
        <w:spacing w:after="0"/>
        <w:rPr>
          <w:sz w:val="20"/>
          <w:szCs w:val="20"/>
          <w:color w:val="auto"/>
        </w:rPr>
      </w:pPr>
      <w:r>
        <w:rPr>
          <w:rFonts w:ascii="Arial" w:cs="Arial" w:eastAsia="Arial" w:hAnsi="Arial"/>
          <w:sz w:val="16"/>
          <w:szCs w:val="16"/>
          <w:color w:val="auto"/>
        </w:rPr>
        <w:t>Cash and cash equivalents at beginning of period</w:t>
      </w:r>
    </w:p>
    <w:p>
      <w:pPr>
        <w:spacing w:after="0" w:line="9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Cash and cash equivalents at end of period</w:t>
      </w:r>
    </w:p>
    <w:p>
      <w:pPr>
        <w:spacing w:after="0" w:line="390" w:lineRule="exact"/>
        <w:rPr>
          <w:sz w:val="20"/>
          <w:szCs w:val="20"/>
          <w:color w:val="auto"/>
        </w:rPr>
      </w:pPr>
    </w:p>
    <w:p>
      <w:pPr>
        <w:ind w:left="345" w:hanging="345"/>
        <w:spacing w:after="0"/>
        <w:tabs>
          <w:tab w:leader="none" w:pos="3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Numbers may not add up precisely due to rounding.</w:t>
      </w:r>
    </w:p>
    <w:p>
      <w:pPr>
        <w:spacing w:after="0" w:line="307" w:lineRule="exact"/>
        <w:rPr>
          <w:sz w:val="20"/>
          <w:szCs w:val="20"/>
          <w:color w:val="auto"/>
        </w:rPr>
      </w:pPr>
    </w:p>
    <w:p>
      <w:pPr>
        <w:ind w:left="5565"/>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31750</wp:posOffset>
            </wp:positionV>
            <wp:extent cx="1166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00"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($11.9)</w:t>
      </w:r>
    </w:p>
    <w:p>
      <w:pPr>
        <w:spacing w:after="0" w:line="35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50.3</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29.7</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(26.4)</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24.1</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23.1</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9.0</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3.3</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2.0</w:t>
      </w:r>
    </w:p>
    <w:p>
      <w:pPr>
        <w:spacing w:after="0" w:line="35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5.4</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(18.2)</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6.6</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(29.0)</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(14.4)</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(140.8)</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19050</wp:posOffset>
            </wp:positionV>
            <wp:extent cx="1166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46"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31750</wp:posOffset>
            </wp:positionV>
            <wp:extent cx="1166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70"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(16.8)</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(10.8)</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(3.2)</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0.5</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19050</wp:posOffset>
            </wp:positionV>
            <wp:extent cx="1166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46"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31750</wp:posOffset>
            </wp:positionV>
            <wp:extent cx="1166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70"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193.5</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(18.0)</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(12.3)</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(6.2)</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(3.8)</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2.6</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(2.2)</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0.3</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19050</wp:posOffset>
            </wp:positionV>
            <wp:extent cx="1166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46"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153.7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31750</wp:posOffset>
            </wp:positionV>
            <wp:extent cx="11664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19050</wp:posOffset>
            </wp:positionV>
            <wp:extent cx="11664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46"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28.1</w:t>
      </w:r>
    </w:p>
    <w:p>
      <w:pPr>
        <w:spacing w:after="0" w:line="106"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19050</wp:posOffset>
            </wp:positionV>
            <wp:extent cx="11664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60"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31750</wp:posOffset>
            </wp:positionV>
            <wp:extent cx="1166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48895</wp:posOffset>
            </wp:positionV>
            <wp:extent cx="1166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31750</wp:posOffset>
            </wp:positionV>
            <wp:extent cx="1149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$21.2</w:t>
      </w:r>
    </w:p>
    <w:p>
      <w:pPr>
        <w:spacing w:after="0" w:line="35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28.1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21.4</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25.0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4.2</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(11.5)</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0.5</w:t>
      </w:r>
    </w:p>
    <w:p>
      <w:pPr>
        <w:spacing w:after="0" w:line="35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30.5</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(7.6)</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12.9</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5.0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19050</wp:posOffset>
            </wp:positionV>
            <wp:extent cx="1149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6"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31750</wp:posOffset>
            </wp:positionV>
            <wp:extent cx="1149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(24.3)</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(279.9)</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(0.8)</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13.9</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19050</wp:posOffset>
            </wp:positionV>
            <wp:extent cx="1149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31750</wp:posOffset>
            </wp:positionV>
            <wp:extent cx="1149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7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60.0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(12.3)</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(8.6)</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(31.3)</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4.2</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240.0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(240.0)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(14.1)</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19050</wp:posOffset>
            </wp:positionV>
            <wp:extent cx="1149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31750</wp:posOffset>
            </wp:positionV>
            <wp:extent cx="1149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19050</wp:posOffset>
            </wp:positionV>
            <wp:extent cx="1149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(13.7)</w:t>
      </w:r>
    </w:p>
    <w:p>
      <w:pPr>
        <w:spacing w:after="0" w:line="10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19050</wp:posOffset>
            </wp:positionV>
            <wp:extent cx="1149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60"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31750</wp:posOffset>
            </wp:positionV>
            <wp:extent cx="1149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48895</wp:posOffset>
            </wp:positionV>
            <wp:extent cx="11493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ectPr>
          <w:pgSz w:w="11900" w:h="16838" w:orient="portrait"/>
          <w:cols w:equalWidth="0" w:num="3">
            <w:col w:w="7645" w:space="720"/>
            <w:col w:w="1220" w:space="720"/>
            <w:col w:w="1020"/>
          </w:cols>
          <w:pgMar w:left="275" w:top="810" w:right="299" w:bottom="559" w:gutter="0" w:footer="0" w:header="0"/>
          <w:type w:val="continuous"/>
        </w:sectPr>
      </w:pPr>
    </w:p>
    <w:bookmarkStart w:id="22" w:name="page23"/>
    <w:bookmarkEnd w:id="22"/>
    <w:p>
      <w:pPr>
        <w:jc w:val="both"/>
        <w:ind w:right="300"/>
        <w:spacing w:after="0" w:line="271" w:lineRule="auto"/>
        <w:rPr>
          <w:sz w:val="20"/>
          <w:szCs w:val="20"/>
          <w:color w:val="auto"/>
        </w:rPr>
      </w:pPr>
      <w:r>
        <w:rPr>
          <w:rFonts w:ascii="Arial" w:cs="Arial" w:eastAsia="Arial" w:hAnsi="Arial"/>
          <w:sz w:val="16"/>
          <w:szCs w:val="16"/>
          <w:color w:val="auto"/>
        </w:rPr>
        <w:t>The following table presents the reconciliation of GAAP diluted weighted average shares outstanding, used in the computation of GAAP diluted net loss per share from continuing operations, to adjusted diluted weighted average shares outstanding, used in the computation of adjusted diluted earnings per share from continuing operations (in millions of shares):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21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2040" w:type="dxa"/>
            <w:vAlign w:val="bottom"/>
          </w:tcPr>
          <w:p>
            <w:pPr>
              <w:jc w:val="right"/>
              <w:ind w:right="199"/>
              <w:spacing w:after="0"/>
              <w:rPr>
                <w:sz w:val="20"/>
                <w:szCs w:val="20"/>
                <w:color w:val="auto"/>
              </w:rPr>
            </w:pPr>
            <w:r>
              <w:rPr>
                <w:rFonts w:ascii="Arial" w:cs="Arial" w:eastAsia="Arial" w:hAnsi="Arial"/>
                <w:sz w:val="16"/>
                <w:szCs w:val="16"/>
                <w:b w:val="1"/>
                <w:bCs w:val="1"/>
                <w:color w:val="auto"/>
              </w:rPr>
              <w:t>Nine Months Ended</w:t>
            </w:r>
          </w:p>
        </w:tc>
      </w:tr>
      <w:tr>
        <w:trPr>
          <w:trHeight w:val="228"/>
        </w:trPr>
        <w:tc>
          <w:tcPr>
            <w:tcW w:w="718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September 30, 2018</w:t>
            </w:r>
          </w:p>
        </w:tc>
        <w:tc>
          <w:tcPr>
            <w:tcW w:w="204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 2019</w:t>
            </w:r>
          </w:p>
        </w:tc>
      </w:tr>
      <w:tr>
        <w:trPr>
          <w:trHeight w:val="237"/>
        </w:trPr>
        <w:tc>
          <w:tcPr>
            <w:tcW w:w="7180" w:type="dxa"/>
            <w:vAlign w:val="bottom"/>
          </w:tcPr>
          <w:p>
            <w:pPr>
              <w:spacing w:after="0"/>
              <w:rPr>
                <w:sz w:val="20"/>
                <w:szCs w:val="20"/>
                <w:color w:val="auto"/>
              </w:rPr>
            </w:pPr>
            <w:r>
              <w:rPr>
                <w:rFonts w:ascii="Arial" w:cs="Arial" w:eastAsia="Arial" w:hAnsi="Arial"/>
                <w:sz w:val="16"/>
                <w:szCs w:val="16"/>
                <w:color w:val="auto"/>
              </w:rPr>
              <w:t>GAAP diluted weighted average shares outstanding</w:t>
            </w:r>
          </w:p>
        </w:tc>
        <w:tc>
          <w:tcPr>
            <w:tcW w:w="2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2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48.3</w:t>
            </w:r>
          </w:p>
        </w:tc>
      </w:tr>
      <w:tr>
        <w:trPr>
          <w:trHeight w:val="283"/>
        </w:trPr>
        <w:tc>
          <w:tcPr>
            <w:tcW w:w="7180" w:type="dxa"/>
            <w:vAlign w:val="bottom"/>
          </w:tcPr>
          <w:p>
            <w:pPr>
              <w:spacing w:after="0"/>
              <w:rPr>
                <w:sz w:val="20"/>
                <w:szCs w:val="20"/>
                <w:color w:val="auto"/>
              </w:rPr>
            </w:pPr>
            <w:r>
              <w:rPr>
                <w:rFonts w:ascii="Arial" w:cs="Arial" w:eastAsia="Arial" w:hAnsi="Arial"/>
                <w:sz w:val="16"/>
                <w:szCs w:val="16"/>
                <w:color w:val="auto"/>
              </w:rPr>
              <w:t>Add effects of stock-based compensation instruments</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243"/>
        </w:trPr>
        <w:tc>
          <w:tcPr>
            <w:tcW w:w="7180" w:type="dxa"/>
            <w:vAlign w:val="bottom"/>
          </w:tcPr>
          <w:p>
            <w:pPr>
              <w:spacing w:after="0"/>
              <w:rPr>
                <w:sz w:val="20"/>
                <w:szCs w:val="20"/>
                <w:color w:val="auto"/>
              </w:rPr>
            </w:pPr>
            <w:r>
              <w:rPr>
                <w:rFonts w:ascii="Arial" w:cs="Arial" w:eastAsia="Arial" w:hAnsi="Arial"/>
                <w:sz w:val="16"/>
                <w:szCs w:val="16"/>
                <w:color w:val="auto"/>
              </w:rPr>
              <w:t xml:space="preserve">Adjusted diluted weighted average shares outstanding </w:t>
            </w:r>
            <w:r>
              <w:rPr>
                <w:rFonts w:ascii="Arial" w:cs="Arial" w:eastAsia="Arial" w:hAnsi="Arial"/>
                <w:sz w:val="21"/>
                <w:szCs w:val="21"/>
                <w:color w:val="auto"/>
                <w:vertAlign w:val="superscript"/>
              </w:rPr>
              <w:t>(1)</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1"/>
                <w:szCs w:val="21"/>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48.8</w:t>
            </w:r>
          </w:p>
        </w:tc>
      </w:tr>
      <w:tr>
        <w:trPr>
          <w:trHeight w:val="20"/>
        </w:trPr>
        <w:tc>
          <w:tcPr>
            <w:tcW w:w="7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80" w:right="20" w:hanging="345"/>
        <w:spacing w:after="0" w:line="258"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diluted weighted average shares outstanding is a non-GAAP measure and includes the effects of stock-based compensation instruments, as reconciled in the above table.</w:t>
      </w:r>
    </w:p>
    <w:p>
      <w:pPr>
        <w:spacing w:after="0" w:line="32" w:lineRule="exact"/>
        <w:rPr>
          <w:sz w:val="20"/>
          <w:szCs w:val="20"/>
          <w:color w:val="auto"/>
        </w:rPr>
      </w:pPr>
    </w:p>
    <w:p>
      <w:pPr>
        <w:ind w:left="380" w:hanging="345"/>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Numbers may not add up precisely due to rounding.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sectPr>
      <w:pgSz w:w="11900" w:h="16838" w:orient="portrait"/>
      <w:cols w:equalWidth="0" w:num="1">
        <w:col w:w="11420"/>
      </w:cols>
      <w:pgMar w:left="240" w:top="6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upperLetter"/>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upp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upp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upp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2019-12-28T04:21:41Z</dcterms:created>
  <dcterms:modified xsi:type="dcterms:W3CDTF">2019-12-28T04:21:41Z</dcterms:modified>
</cp:coreProperties>
</file>