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2654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2654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80"/>
          </w:cols>
          <w:pgMar w:left="240" w:top="226" w:right="15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WISE DAVID 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03/11/2017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0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43"/>
        <w:spacing w:after="0"/>
        <w:rPr>
          <w:sz w:val="20"/>
          <w:szCs w:val="20"/>
          <w:color w:val="auto"/>
        </w:rPr>
      </w:pPr>
      <w:r>
        <w:rPr>
          <w:rFonts w:ascii="Arial" w:cs="Arial" w:eastAsia="Arial" w:hAnsi="Arial"/>
          <w:sz w:val="18"/>
          <w:szCs w:val="18"/>
          <w:color w:val="0000FF"/>
        </w:rPr>
        <w:t>SR VP &amp; Chief Admin Officer</w:t>
      </w:r>
    </w:p>
    <w:p>
      <w:pPr>
        <w:spacing w:after="0" w:line="315" w:lineRule="exact"/>
        <w:rPr>
          <w:sz w:val="24"/>
          <w:szCs w:val="24"/>
          <w:color w:val="auto"/>
        </w:rPr>
      </w:pPr>
    </w:p>
    <w:p>
      <w:pPr>
        <w:sectPr>
          <w:pgSz w:w="11900" w:h="16838" w:orient="portrait"/>
          <w:cols w:equalWidth="0" w:num="3">
            <w:col w:w="3360" w:space="720"/>
            <w:col w:w="3257" w:space="720"/>
            <w:col w:w="3443"/>
          </w:cols>
          <w:pgMar w:left="240" w:top="226" w:right="15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W2 6LG</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20"/>
          </w:cols>
          <w:pgMar w:left="240" w:top="226" w:right="159" w:bottom="1440" w:gutter="0" w:footer="0" w:header="0"/>
          <w:type w:val="continuous"/>
        </w:sectPr>
      </w:pPr>
    </w:p>
    <w:p>
      <w:pPr>
        <w:jc w:val="center"/>
        <w:ind w:right="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10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Pr>
          <w:p>
            <w:pPr>
              <w:spacing w:after="0"/>
              <w:rPr>
                <w:sz w:val="23"/>
                <w:szCs w:val="23"/>
                <w:color w:val="auto"/>
              </w:rPr>
            </w:pPr>
          </w:p>
        </w:tc>
        <w:tc>
          <w:tcPr>
            <w:tcW w:w="1760" w:type="dxa"/>
            <w:vAlign w:val="bottom"/>
            <w:gridSpan w:val="2"/>
          </w:tcPr>
          <w:p>
            <w:pPr>
              <w:ind w:left="780"/>
              <w:spacing w:after="0"/>
              <w:rPr>
                <w:sz w:val="20"/>
                <w:szCs w:val="20"/>
                <w:color w:val="auto"/>
              </w:rPr>
            </w:pPr>
            <w:r>
              <w:rPr>
                <w:rFonts w:ascii="Arial" w:cs="Arial" w:eastAsia="Arial" w:hAnsi="Arial"/>
                <w:sz w:val="18"/>
                <w:szCs w:val="18"/>
                <w:color w:val="0000FF"/>
              </w:rPr>
              <w:t>03/11/2017</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ind w:left="160"/>
              <w:spacing w:after="0"/>
              <w:rPr>
                <w:sz w:val="20"/>
                <w:szCs w:val="20"/>
                <w:color w:val="auto"/>
              </w:rPr>
            </w:pPr>
            <w:r>
              <w:rPr>
                <w:rFonts w:ascii="Arial" w:cs="Arial" w:eastAsia="Arial" w:hAnsi="Arial"/>
                <w:sz w:val="14"/>
                <w:szCs w:val="14"/>
                <w:color w:val="0000FF"/>
              </w:rPr>
              <w:t>M</w:t>
            </w:r>
          </w:p>
        </w:tc>
        <w:tc>
          <w:tcPr>
            <w:tcW w:w="760" w:type="dxa"/>
            <w:vAlign w:val="bottom"/>
          </w:tcPr>
          <w:p>
            <w:pPr>
              <w:jc w:val="right"/>
              <w:ind w:right="13"/>
              <w:spacing w:after="0"/>
              <w:rPr>
                <w:sz w:val="20"/>
                <w:szCs w:val="20"/>
                <w:color w:val="auto"/>
              </w:rPr>
            </w:pPr>
            <w:r>
              <w:rPr>
                <w:rFonts w:ascii="Arial" w:cs="Arial" w:eastAsia="Arial" w:hAnsi="Arial"/>
                <w:sz w:val="18"/>
                <w:szCs w:val="18"/>
                <w:color w:val="0000FF"/>
              </w:rPr>
              <w:t>5,209</w:t>
            </w:r>
          </w:p>
        </w:tc>
        <w:tc>
          <w:tcPr>
            <w:tcW w:w="620" w:type="dxa"/>
            <w:vAlign w:val="bottom"/>
          </w:tcPr>
          <w:p>
            <w:pPr>
              <w:ind w:left="340"/>
              <w:spacing w:after="0"/>
              <w:rPr>
                <w:sz w:val="20"/>
                <w:szCs w:val="20"/>
                <w:color w:val="auto"/>
              </w:rPr>
            </w:pPr>
            <w:r>
              <w:rPr>
                <w:rFonts w:ascii="Arial" w:cs="Arial" w:eastAsia="Arial" w:hAnsi="Arial"/>
                <w:sz w:val="18"/>
                <w:szCs w:val="18"/>
                <w:color w:val="0000FF"/>
              </w:rPr>
              <w:t>A</w:t>
            </w:r>
          </w:p>
        </w:tc>
        <w:tc>
          <w:tcPr>
            <w:tcW w:w="540" w:type="dxa"/>
            <w:vAlign w:val="bottom"/>
          </w:tcPr>
          <w:p>
            <w:pPr>
              <w:jc w:val="right"/>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23"/>
                <w:szCs w:val="23"/>
                <w:color w:val="auto"/>
              </w:rPr>
            </w:pPr>
          </w:p>
        </w:tc>
        <w:tc>
          <w:tcPr>
            <w:tcW w:w="1300" w:type="dxa"/>
            <w:vAlign w:val="bottom"/>
            <w:gridSpan w:val="3"/>
          </w:tcPr>
          <w:p>
            <w:pPr>
              <w:jc w:val="right"/>
              <w:ind w:right="359"/>
              <w:spacing w:after="0"/>
              <w:rPr>
                <w:sz w:val="20"/>
                <w:szCs w:val="20"/>
                <w:color w:val="auto"/>
              </w:rPr>
            </w:pPr>
            <w:r>
              <w:rPr>
                <w:rFonts w:ascii="Arial" w:cs="Arial" w:eastAsia="Arial" w:hAnsi="Arial"/>
                <w:sz w:val="18"/>
                <w:szCs w:val="18"/>
                <w:color w:val="0000FF"/>
              </w:rPr>
              <w:t>39,383</w:t>
            </w:r>
          </w:p>
        </w:tc>
        <w:tc>
          <w:tcPr>
            <w:tcW w:w="940" w:type="dxa"/>
            <w:vAlign w:val="bottom"/>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780"/>
              <w:spacing w:after="0"/>
              <w:rPr>
                <w:sz w:val="20"/>
                <w:szCs w:val="20"/>
                <w:color w:val="auto"/>
              </w:rPr>
            </w:pPr>
            <w:r>
              <w:rPr>
                <w:rFonts w:ascii="Arial" w:cs="Arial" w:eastAsia="Arial" w:hAnsi="Arial"/>
                <w:sz w:val="18"/>
                <w:szCs w:val="18"/>
                <w:color w:val="0000FF"/>
              </w:rPr>
              <w:t>03/11/2017</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1,464</w:t>
            </w:r>
            <w:r>
              <w:rPr>
                <w:rFonts w:ascii="Arial" w:cs="Arial" w:eastAsia="Arial" w:hAnsi="Arial"/>
                <w:sz w:val="22"/>
                <w:szCs w:val="22"/>
                <w:color w:val="008000"/>
                <w:vertAlign w:val="superscript"/>
              </w:rPr>
              <w:t>(3)</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49.215</w:t>
            </w:r>
          </w:p>
        </w:tc>
        <w:tc>
          <w:tcPr>
            <w:tcW w:w="130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8"/>
                <w:szCs w:val="18"/>
                <w:color w:val="0000FF"/>
              </w:rPr>
              <w:t>37,919</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3"/>
          </w:tcPr>
          <w:p>
            <w:pPr>
              <w:ind w:left="104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4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20" w:type="dxa"/>
            <w:vAlign w:val="bottom"/>
            <w:gridSpan w:val="10"/>
          </w:tcPr>
          <w:p>
            <w:pPr>
              <w:ind w:left="6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5"/>
                <w:szCs w:val="15"/>
                <w:color w:val="auto"/>
              </w:rPr>
            </w:pP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760" w:type="dxa"/>
            <w:vAlign w:val="bottom"/>
            <w:vMerge w:val="restart"/>
          </w:tcPr>
          <w:p>
            <w:pPr>
              <w:ind w:left="240"/>
              <w:spacing w:after="0"/>
              <w:rPr>
                <w:sz w:val="20"/>
                <w:szCs w:val="20"/>
                <w:color w:val="auto"/>
              </w:rPr>
            </w:pPr>
            <w:r>
              <w:rPr>
                <w:rFonts w:ascii="Arial" w:cs="Arial" w:eastAsia="Arial" w:hAnsi="Arial"/>
                <w:sz w:val="11"/>
                <w:szCs w:val="11"/>
                <w:color w:val="008000"/>
              </w:rPr>
              <w:t>(2)</w:t>
            </w:r>
          </w:p>
        </w:tc>
        <w:tc>
          <w:tcPr>
            <w:tcW w:w="620" w:type="dxa"/>
            <w:vAlign w:val="bottom"/>
            <w:vMerge w:val="restart"/>
          </w:tcPr>
          <w:p>
            <w:pPr>
              <w:spacing w:after="0"/>
              <w:rPr>
                <w:sz w:val="20"/>
                <w:szCs w:val="20"/>
                <w:color w:val="auto"/>
              </w:rPr>
            </w:pPr>
            <w:r>
              <w:rPr>
                <w:rFonts w:ascii="Arial" w:cs="Arial" w:eastAsia="Arial" w:hAnsi="Arial"/>
                <w:sz w:val="14"/>
                <w:szCs w:val="14"/>
                <w:color w:val="0000FF"/>
              </w:rPr>
              <w:t>Ordinary</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5,209</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03/11/2017</w:t>
            </w:r>
          </w:p>
        </w:tc>
        <w:tc>
          <w:tcPr>
            <w:tcW w:w="1140" w:type="dxa"/>
            <w:vAlign w:val="bottom"/>
          </w:tcPr>
          <w:p>
            <w:pPr>
              <w:spacing w:after="0"/>
              <w:rPr>
                <w:sz w:val="5"/>
                <w:szCs w:val="5"/>
                <w:color w:val="auto"/>
              </w:rPr>
            </w:pPr>
          </w:p>
        </w:tc>
        <w:tc>
          <w:tcPr>
            <w:tcW w:w="6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200" w:type="dxa"/>
            <w:vAlign w:val="bottom"/>
          </w:tcPr>
          <w:p>
            <w:pPr>
              <w:spacing w:after="0"/>
              <w:rPr>
                <w:sz w:val="5"/>
                <w:szCs w:val="5"/>
                <w:color w:val="auto"/>
              </w:rPr>
            </w:pPr>
          </w:p>
        </w:tc>
        <w:tc>
          <w:tcPr>
            <w:tcW w:w="840" w:type="dxa"/>
            <w:vAlign w:val="bottom"/>
            <w:vMerge w:val="restart"/>
          </w:tcPr>
          <w:p>
            <w:pPr>
              <w:ind w:left="400"/>
              <w:spacing w:after="0" w:line="149" w:lineRule="exact"/>
              <w:rPr>
                <w:sz w:val="20"/>
                <w:szCs w:val="20"/>
                <w:color w:val="auto"/>
              </w:rPr>
            </w:pPr>
            <w:r>
              <w:rPr>
                <w:rFonts w:ascii="Arial" w:cs="Arial" w:eastAsia="Arial" w:hAnsi="Arial"/>
                <w:sz w:val="14"/>
                <w:szCs w:val="14"/>
                <w:color w:val="0000FF"/>
              </w:rPr>
              <w:t>5,209</w:t>
            </w:r>
          </w:p>
        </w:tc>
        <w:tc>
          <w:tcPr>
            <w:tcW w:w="82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gridSpan w:val="2"/>
            <w:vMerge w:val="restart"/>
          </w:tcPr>
          <w:p>
            <w:pPr>
              <w:jc w:val="right"/>
              <w:ind w:right="159"/>
              <w:spacing w:after="0"/>
              <w:rPr>
                <w:sz w:val="20"/>
                <w:szCs w:val="20"/>
                <w:color w:val="auto"/>
              </w:rPr>
            </w:pPr>
            <w:r>
              <w:rPr>
                <w:rFonts w:ascii="Arial" w:cs="Arial" w:eastAsia="Arial" w:hAnsi="Arial"/>
                <w:sz w:val="12"/>
                <w:szCs w:val="12"/>
                <w:color w:val="auto"/>
                <w:w w:val="99"/>
              </w:rPr>
              <w:t>$</w:t>
            </w:r>
            <w:r>
              <w:rPr>
                <w:rFonts w:ascii="Arial" w:cs="Arial" w:eastAsia="Arial" w:hAnsi="Arial"/>
                <w:sz w:val="13"/>
                <w:szCs w:val="13"/>
                <w:color w:val="0000FF"/>
                <w:w w:val="99"/>
              </w:rPr>
              <w:t>0.00</w:t>
            </w:r>
          </w:p>
        </w:tc>
        <w:tc>
          <w:tcPr>
            <w:tcW w:w="740" w:type="dxa"/>
            <w:vAlign w:val="bottom"/>
            <w:vMerge w:val="restart"/>
          </w:tcPr>
          <w:p>
            <w:pPr>
              <w:ind w:left="300"/>
              <w:spacing w:after="0" w:line="149" w:lineRule="exact"/>
              <w:rPr>
                <w:sz w:val="20"/>
                <w:szCs w:val="20"/>
                <w:color w:val="auto"/>
              </w:rPr>
            </w:pPr>
            <w:r>
              <w:rPr>
                <w:rFonts w:ascii="Arial" w:cs="Arial" w:eastAsia="Arial" w:hAnsi="Arial"/>
                <w:sz w:val="14"/>
                <w:szCs w:val="14"/>
                <w:color w:val="0000FF"/>
                <w:w w:val="97"/>
              </w:rPr>
              <w:t>20,832</w:t>
            </w:r>
          </w:p>
        </w:tc>
        <w:tc>
          <w:tcPr>
            <w:tcW w:w="940" w:type="dxa"/>
            <w:vAlign w:val="bottom"/>
            <w:vMerge w:val="restart"/>
          </w:tcPr>
          <w:p>
            <w:pPr>
              <w:ind w:left="56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20" w:type="dxa"/>
            <w:vAlign w:val="bottom"/>
            <w:vMerge w:val="restart"/>
          </w:tcPr>
          <w:p>
            <w:pPr>
              <w:ind w:left="60"/>
              <w:spacing w:after="0"/>
              <w:rPr>
                <w:sz w:val="20"/>
                <w:szCs w:val="20"/>
                <w:color w:val="auto"/>
              </w:rPr>
            </w:pPr>
            <w:r>
              <w:rPr>
                <w:rFonts w:ascii="Arial" w:cs="Arial" w:eastAsia="Arial" w:hAnsi="Arial"/>
                <w:sz w:val="14"/>
                <w:szCs w:val="14"/>
                <w:color w:val="0000FF"/>
              </w:rPr>
              <w:t>Shares</w:t>
            </w:r>
          </w:p>
        </w:tc>
        <w:tc>
          <w:tcPr>
            <w:tcW w:w="5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("RSU") represents a contingent right to receive one share of LivaNova PLC's ("Company") ordinary shares, ?1.00 par value.</w:t>
      </w:r>
    </w:p>
    <w:p>
      <w:pPr>
        <w:spacing w:after="0" w:line="41" w:lineRule="exact"/>
        <w:rPr>
          <w:rFonts w:ascii="Arial" w:cs="Arial" w:eastAsia="Arial" w:hAnsi="Arial"/>
          <w:sz w:val="14"/>
          <w:szCs w:val="14"/>
          <w:color w:val="008000"/>
        </w:rPr>
      </w:pPr>
    </w:p>
    <w:p>
      <w:pPr>
        <w:ind w:left="40" w:right="20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was granted restricted stock units ("RSUs") subject to a four-year vesting schedule, vesting 20% on, each, March 11, 2017, March 11, 2018 and March 11, 2019, and 40% on March 11, 2020. Each RSU represents a contingent right to receive one ordinary share of the Company in accordance with the terms of the LivaNova PLC 2015 Incentive Award Plan.</w:t>
      </w: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referenced shares were withheld from distribution at the request of reporting person. Such shares were forfeited and the associated value was used to offset the tax liability associated with the March 11, 2017 vesting of 5,209 RSUs.</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Arial" w:cs="Arial" w:eastAsia="Arial" w:hAnsi="Arial"/>
                <w:sz w:val="18"/>
                <w:szCs w:val="18"/>
                <w:color w:val="0000FF"/>
                <w:w w:val="88"/>
              </w:rPr>
              <w:t>/s/ David S. Wise</w:t>
            </w:r>
          </w:p>
        </w:tc>
        <w:tc>
          <w:tcPr>
            <w:tcW w:w="88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03/14/2017</w:t>
            </w:r>
          </w:p>
        </w:tc>
      </w:tr>
      <w:tr>
        <w:trPr>
          <w:trHeight w:val="20"/>
        </w:trPr>
        <w:tc>
          <w:tcPr>
            <w:tcW w:w="12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6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40" w:top="226" w:right="1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63257"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2019-12-23T21:44:22Z</dcterms:created>
  <dcterms:modified xsi:type="dcterms:W3CDTF">2019-12-23T21:44:22Z</dcterms:modified>
</cp:coreProperties>
</file>