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LivaNova PLC (the “Company”) has been engaged in a civil action whereby the Court of Appeal of Milan (the “Court of Appeal”) previously declared the Company (formed through a merger with Sorin) jointly and severally liable with SNIA (a former parent of Sorin) for environmental liabilities incurred by SNIA’s other subsidiaries. On March 14, 2025, the Italian Supreme Court issued its decision in response to all of the appeals of the Company and counter-appeals submitted by the Ministry of Ecological Transition, the Ministry of Economy and Finance, and the Prime Minister’s Office (collectively, the “Ministry”), and referred the case back to the Court of Appeal to implement the decisions respecting costs and damages in accordance with its judgment. As a result of the decision by the Italian Supreme Court, the Company recorded a current liability of €333.3 million ($360.4 million) as of and for the three months ended March 31, 2025 as its best estimate of the liability inclusive of estimated costs, fees, interest, and taxes.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15, 2025, as a procedural step outlined above, the Ministry served the Company with a filing to return the proceedings to the Court of Appeal. In addition to seeking return of the case to the Court of Appeal, the Ministry asserted that the Court of Appeal forego an examination of the amounts disapproved by the Italian Supreme Court and instead impose costs of approximately €108.8 million at a minimum. These assertions are counter to the decision of the Italian Supreme Court’s judgment, which disapproved costs of €157.3 million ($170.0 million as of March 31, 2025). The Ministry also requested a hearing in 2026 in connection with the foregoing.</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Ministry’s filing is not a legal judgment or demand for payment. The Company disagrees with the assertions made in the Ministry’s filing and believes they contradict the decisions of the Italian Supreme Court. The Company intends to challenge the Ministry’s assertions and purported costs and to defend its position in accordance with the Italian Supreme Court’s judgment. The Company continues to believe that its recorded liability remains the best estimate of the liability associated with the SNIA matter, and, as such, no adjustments have been made to the accrual or the Company’s full-year 2025 guidance in response to this development.</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statements in this Current Report on Form 8-K, other than statements of historical or current fact, are “forward-looking statements” within the meaning of the Private Securities Litigation Reform Act of 1995, Section 27A of the Securities Act, and Section 21E of the Exchange Act including statements regarding the status and timing of final resolution of the Company’s SNIA litigation and the projected impact of the SNIA litigation on the Company’s financial results.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the Company and its management based on their knowledge and understanding of the business and industry, are inherently uncertain.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the Company. Readers are cautioned not to place undue reliance on the Company’s forward-looking statements, which speak only as of the date of this Current Report on Form 8-K. The Company undertakes no obligation to update publicly any of the forward-looking statements in this Current Report on Form 8-K to reflect actual results, new information or future events, changes in assumptions, or changes in other factors affecting forward-looking statements, except to the extent required by applicable law. If the Company updates one or more forward-looking statements, no inference should be drawn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8"/>
          <w:szCs w:val="18"/>
          <w:color w:val="auto"/>
        </w:rPr>
        <w:t>Date: May 21,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340"/>
      </w:cols>
      <w:pgMar w:left="320" w:top="100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2025-05-21T15:13:32Z</dcterms:created>
  <dcterms:modified xsi:type="dcterms:W3CDTF">2025-05-21T15:13:32Z</dcterms:modified>
</cp:coreProperties>
</file>