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Times New Roman" w:cs="Times New Roman" w:eastAsia="Times New Roman" w:hAnsi="Times New Roman"/>
          <w:sz w:val="16"/>
          <w:szCs w:val="16"/>
          <w:b w:val="1"/>
          <w:bCs w:val="1"/>
          <w:color w:val="auto"/>
        </w:rPr>
        <w:t>UNITED STATES</w:t>
      </w:r>
    </w:p>
    <w:p>
      <w:pPr>
        <w:ind w:left="3980"/>
        <w:spacing w:after="0" w:line="193" w:lineRule="auto"/>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ind w:right="80"/>
        <w:spacing w:after="0" w:line="207" w:lineRule="auto"/>
        <w:rPr>
          <w:sz w:val="20"/>
          <w:szCs w:val="20"/>
          <w:color w:val="auto"/>
        </w:rPr>
      </w:pPr>
      <w:r>
        <w:rPr>
          <w:rFonts w:ascii="Times New Roman" w:cs="Times New Roman" w:eastAsia="Times New Roman" w:hAnsi="Times New Roman"/>
          <w:sz w:val="16"/>
          <w:szCs w:val="16"/>
          <w:b w:val="1"/>
          <w:bCs w:val="1"/>
          <w:color w:val="auto"/>
        </w:rPr>
        <w:t>Washington, D.C. 20549</w:t>
      </w:r>
    </w:p>
    <w:p>
      <w:pPr>
        <w:ind w:left="5120"/>
        <w:spacing w:after="0"/>
        <w:rPr>
          <w:sz w:val="20"/>
          <w:szCs w:val="20"/>
          <w:color w:val="auto"/>
        </w:rPr>
      </w:pPr>
      <w:r>
        <w:rPr>
          <w:rFonts w:ascii="Times New Roman" w:cs="Times New Roman" w:eastAsia="Times New Roman" w:hAnsi="Times New Roman"/>
          <w:sz w:val="8"/>
          <w:szCs w:val="8"/>
          <w:color w:val="auto"/>
        </w:rPr>
        <w:t>_________________________</w:t>
      </w:r>
    </w:p>
    <w:p>
      <w:pPr>
        <w:spacing w:after="0" w:line="3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7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(Mark One)</w:t>
      </w:r>
    </w:p>
    <w:p>
      <w:pPr>
        <w:spacing w:after="0" w:line="16" w:lineRule="exact"/>
        <w:rPr>
          <w:sz w:val="24"/>
          <w:szCs w:val="24"/>
          <w:color w:val="auto"/>
        </w:rPr>
      </w:pPr>
    </w:p>
    <w:p>
      <w:pPr>
        <w:ind w:left="4440" w:right="2360" w:hanging="2154"/>
        <w:spacing w:after="0" w:line="255" w:lineRule="auto"/>
        <w:tabs>
          <w:tab w:leader="none" w:pos="2539"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 xml:space="preserve">QUARTERLY REPORT PURSUANT TO SECTION 13 OR 15(d) OF THE SECURITIES EXCHANGE ACT OF 1934 </w:t>
      </w:r>
      <w:r>
        <w:rPr>
          <w:rFonts w:ascii="Times New Roman" w:cs="Times New Roman" w:eastAsia="Times New Roman" w:hAnsi="Times New Roman"/>
          <w:sz w:val="13"/>
          <w:szCs w:val="13"/>
          <w:color w:val="auto"/>
        </w:rPr>
        <w:t>For the quarterly period ended: March 31, 2023</w:t>
      </w:r>
    </w:p>
    <w:p>
      <w:pPr>
        <w:spacing w:after="0" w:line="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0" w:lineRule="exact"/>
        <w:rPr>
          <w:sz w:val="24"/>
          <w:szCs w:val="24"/>
          <w:color w:val="auto"/>
        </w:rPr>
      </w:pPr>
    </w:p>
    <w:p>
      <w:pPr>
        <w:ind w:left="3840" w:right="2360" w:hanging="1558"/>
        <w:spacing w:after="0" w:line="271" w:lineRule="auto"/>
        <w:tabs>
          <w:tab w:leader="none" w:pos="2531"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 xml:space="preserve">TRANSITION REPORT PURSUANT TO SECTION 13 OR 15(d) OF THE SECURITIES EXCHANGE ACT OF 1934 </w:t>
      </w:r>
      <w:r>
        <w:rPr>
          <w:rFonts w:ascii="Times New Roman" w:cs="Times New Roman" w:eastAsia="Times New Roman" w:hAnsi="Times New Roman"/>
          <w:sz w:val="13"/>
          <w:szCs w:val="13"/>
          <w:color w:val="auto"/>
        </w:rPr>
        <w:t>For the transition period from _______________ to _______________</w:t>
      </w:r>
    </w:p>
    <w:p>
      <w:pPr>
        <w:spacing w:after="0" w:line="16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13970</wp:posOffset>
            </wp:positionV>
            <wp:extent cx="1630680" cy="3638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30680" cy="3638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3"/>
          <w:szCs w:val="23"/>
          <w:b w:val="1"/>
          <w:bCs w:val="1"/>
          <w:color w:val="auto"/>
        </w:rPr>
        <w:t>LivaNova PLC</w:t>
      </w:r>
    </w:p>
    <w:p>
      <w:pPr>
        <w:spacing w:after="0" w:line="6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115" w:lineRule="exact"/>
        <w:rPr>
          <w:sz w:val="24"/>
          <w:szCs w:val="24"/>
          <w:color w:val="auto"/>
        </w:rPr>
      </w:pPr>
    </w:p>
    <w:tbl>
      <w:tblPr>
        <w:tblLayout w:type="fixed"/>
        <w:tblInd w:w="140"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xml:space="preserve">England and Wales </w:t>
            </w:r>
            <w:r>
              <w:rPr>
                <w:rFonts w:ascii="Times New Roman" w:cs="Times New Roman" w:eastAsia="Times New Roman" w:hAnsi="Times New Roman"/>
                <w:sz w:val="13"/>
                <w:szCs w:val="13"/>
                <w:i w:val="1"/>
                <w:iCs w:val="1"/>
                <w:color w:val="FFFFFF"/>
              </w:rPr>
              <w:t>...................</w:t>
            </w:r>
          </w:p>
        </w:tc>
        <w:tc>
          <w:tcPr>
            <w:tcW w:w="1560" w:type="dxa"/>
            <w:vAlign w:val="bottom"/>
          </w:tcPr>
          <w:p>
            <w:pPr>
              <w:jc w:val="center"/>
              <w:ind w:right="316"/>
              <w:spacing w:after="0"/>
              <w:rPr>
                <w:sz w:val="20"/>
                <w:szCs w:val="20"/>
                <w:color w:val="auto"/>
              </w:rPr>
            </w:pPr>
            <w:r>
              <w:rPr>
                <w:rFonts w:ascii="Times New Roman" w:cs="Times New Roman" w:eastAsia="Times New Roman" w:hAnsi="Times New Roman"/>
                <w:sz w:val="13"/>
                <w:szCs w:val="13"/>
                <w:b w:val="1"/>
                <w:bCs w:val="1"/>
                <w:color w:val="auto"/>
                <w:w w:val="98"/>
              </w:rPr>
              <w:t>98-1268150</w:t>
            </w:r>
          </w:p>
        </w:tc>
        <w:tc>
          <w:tcPr>
            <w:tcW w:w="22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49"/>
        </w:trPr>
        <w:tc>
          <w:tcPr>
            <w:tcW w:w="1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rPr>
              <w:t xml:space="preserve">(State or other jurisdiction of </w:t>
            </w:r>
            <w:r>
              <w:rPr>
                <w:rFonts w:ascii="Times New Roman" w:cs="Times New Roman" w:eastAsia="Times New Roman" w:hAnsi="Times New Roman"/>
                <w:sz w:val="13"/>
                <w:szCs w:val="13"/>
                <w:i w:val="1"/>
                <w:iCs w:val="1"/>
                <w:color w:val="FFFFFF"/>
              </w:rPr>
              <w:t>..........</w:t>
            </w:r>
          </w:p>
        </w:tc>
        <w:tc>
          <w:tcPr>
            <w:tcW w:w="5380" w:type="dxa"/>
            <w:vAlign w:val="bottom"/>
            <w:gridSpan w:val="3"/>
          </w:tcPr>
          <w:p>
            <w:pPr>
              <w:jc w:val="center"/>
              <w:ind w:right="4180"/>
              <w:spacing w:after="0"/>
              <w:rPr>
                <w:sz w:val="20"/>
                <w:szCs w:val="20"/>
                <w:color w:val="auto"/>
              </w:rPr>
            </w:pPr>
            <w:r>
              <w:rPr>
                <w:rFonts w:ascii="Times New Roman" w:cs="Times New Roman" w:eastAsia="Times New Roman" w:hAnsi="Times New Roman"/>
                <w:sz w:val="13"/>
                <w:szCs w:val="13"/>
                <w:i w:val="1"/>
                <w:iCs w:val="1"/>
                <w:color w:val="auto"/>
                <w:w w:val="96"/>
              </w:rPr>
              <w:t>(I.R.S. Employer</w:t>
            </w:r>
          </w:p>
        </w:tc>
      </w:tr>
      <w:tr>
        <w:trPr>
          <w:trHeight w:val="167"/>
        </w:trPr>
        <w:tc>
          <w:tcPr>
            <w:tcW w:w="1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rPr>
              <w:t xml:space="preserve">incorporation or organization) </w:t>
            </w:r>
            <w:r>
              <w:rPr>
                <w:rFonts w:ascii="Times New Roman" w:cs="Times New Roman" w:eastAsia="Times New Roman" w:hAnsi="Times New Roman"/>
                <w:sz w:val="13"/>
                <w:szCs w:val="13"/>
                <w:i w:val="1"/>
                <w:iCs w:val="1"/>
                <w:color w:val="FFFFFF"/>
              </w:rPr>
              <w:t>........</w:t>
            </w:r>
          </w:p>
        </w:tc>
        <w:tc>
          <w:tcPr>
            <w:tcW w:w="5380" w:type="dxa"/>
            <w:vAlign w:val="bottom"/>
            <w:gridSpan w:val="3"/>
          </w:tcPr>
          <w:p>
            <w:pPr>
              <w:jc w:val="center"/>
              <w:ind w:right="4160"/>
              <w:spacing w:after="0"/>
              <w:rPr>
                <w:sz w:val="20"/>
                <w:szCs w:val="20"/>
                <w:color w:val="auto"/>
              </w:rPr>
            </w:pPr>
            <w:r>
              <w:rPr>
                <w:rFonts w:ascii="Times New Roman" w:cs="Times New Roman" w:eastAsia="Times New Roman" w:hAnsi="Times New Roman"/>
                <w:sz w:val="13"/>
                <w:szCs w:val="13"/>
                <w:i w:val="1"/>
                <w:iCs w:val="1"/>
                <w:color w:val="auto"/>
                <w:w w:val="97"/>
              </w:rPr>
              <w:t>Identification No.)</w:t>
            </w:r>
          </w:p>
        </w:tc>
      </w:tr>
      <w:tr>
        <w:trPr>
          <w:trHeight w:val="268"/>
        </w:trPr>
        <w:tc>
          <w:tcPr>
            <w:tcW w:w="19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60" w:type="dxa"/>
            <w:vAlign w:val="bottom"/>
            <w:gridSpan w:val="6"/>
          </w:tcPr>
          <w:p>
            <w:pPr>
              <w:jc w:val="center"/>
              <w:ind w:right="3780"/>
              <w:spacing w:after="0"/>
              <w:rPr>
                <w:sz w:val="20"/>
                <w:szCs w:val="20"/>
                <w:color w:val="auto"/>
              </w:rPr>
            </w:pPr>
            <w:r>
              <w:rPr>
                <w:rFonts w:ascii="Times New Roman" w:cs="Times New Roman" w:eastAsia="Times New Roman" w:hAnsi="Times New Roman"/>
                <w:sz w:val="13"/>
                <w:szCs w:val="13"/>
                <w:b w:val="1"/>
                <w:bCs w:val="1"/>
                <w:color w:val="auto"/>
                <w:w w:val="97"/>
              </w:rPr>
              <w:t>20 Eastbourne Terrace, London, United Kingdom</w:t>
            </w:r>
            <w:r>
              <w:rPr>
                <w:rFonts w:ascii="Times New Roman" w:cs="Times New Roman" w:eastAsia="Times New Roman" w:hAnsi="Times New Roman"/>
                <w:sz w:val="13"/>
                <w:szCs w:val="13"/>
                <w:color w:val="auto"/>
                <w:w w:val="97"/>
              </w:rPr>
              <w:t>,</w:t>
            </w:r>
            <w:r>
              <w:rPr>
                <w:rFonts w:ascii="Times New Roman" w:cs="Times New Roman" w:eastAsia="Times New Roman" w:hAnsi="Times New Roman"/>
                <w:sz w:val="13"/>
                <w:szCs w:val="13"/>
                <w:b w:val="1"/>
                <w:bCs w:val="1"/>
                <w:color w:val="auto"/>
                <w:w w:val="97"/>
              </w:rPr>
              <w:t xml:space="preserve"> W2 6LG</w:t>
            </w:r>
          </w:p>
        </w:tc>
      </w:tr>
      <w:tr>
        <w:trPr>
          <w:trHeight w:val="167"/>
        </w:trPr>
        <w:tc>
          <w:tcPr>
            <w:tcW w:w="1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i w:val="1"/>
                <w:iCs w:val="1"/>
                <w:color w:val="auto"/>
              </w:rPr>
              <w:t>(Address of principal executive offices)</w:t>
            </w:r>
          </w:p>
        </w:tc>
        <w:tc>
          <w:tcPr>
            <w:tcW w:w="538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FFFFFF"/>
              </w:rPr>
              <w:t xml:space="preserve">....................... </w:t>
            </w:r>
            <w:r>
              <w:rPr>
                <w:rFonts w:ascii="Times New Roman" w:cs="Times New Roman" w:eastAsia="Times New Roman" w:hAnsi="Times New Roman"/>
                <w:sz w:val="13"/>
                <w:szCs w:val="13"/>
                <w:i w:val="1"/>
                <w:iCs w:val="1"/>
                <w:color w:val="000000"/>
              </w:rPr>
              <w:t>(Zip Code)</w:t>
            </w:r>
          </w:p>
        </w:tc>
      </w:tr>
      <w:tr>
        <w:trPr>
          <w:trHeight w:val="286"/>
        </w:trPr>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60" w:type="dxa"/>
            <w:vAlign w:val="bottom"/>
            <w:gridSpan w:val="6"/>
          </w:tcPr>
          <w:p>
            <w:pPr>
              <w:jc w:val="center"/>
              <w:ind w:right="3760"/>
              <w:spacing w:after="0"/>
              <w:rPr>
                <w:sz w:val="20"/>
                <w:szCs w:val="20"/>
                <w:color w:val="auto"/>
              </w:rPr>
            </w:pPr>
            <w:r>
              <w:rPr>
                <w:rFonts w:ascii="Times New Roman" w:cs="Times New Roman" w:eastAsia="Times New Roman" w:hAnsi="Times New Roman"/>
                <w:sz w:val="13"/>
                <w:szCs w:val="13"/>
                <w:i w:val="1"/>
                <w:iCs w:val="1"/>
                <w:color w:val="auto"/>
                <w:w w:val="96"/>
              </w:rPr>
              <w:t xml:space="preserve">Registrant’s telephone number, including area code: </w:t>
            </w:r>
            <w:r>
              <w:rPr>
                <w:rFonts w:ascii="Times New Roman" w:cs="Times New Roman" w:eastAsia="Times New Roman" w:hAnsi="Times New Roman"/>
                <w:sz w:val="13"/>
                <w:szCs w:val="13"/>
                <w:b w:val="1"/>
                <w:bCs w:val="1"/>
                <w:color w:val="auto"/>
                <w:w w:val="96"/>
              </w:rPr>
              <w:t>(44) (0) 203 325-0660</w:t>
            </w:r>
          </w:p>
        </w:tc>
      </w:tr>
      <w:tr>
        <w:trPr>
          <w:trHeight w:val="175"/>
        </w:trPr>
        <w:tc>
          <w:tcPr>
            <w:tcW w:w="19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r>
      <w:tr>
        <w:trPr>
          <w:trHeight w:val="218"/>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60" w:type="dxa"/>
            <w:vAlign w:val="bottom"/>
            <w:gridSpan w:val="6"/>
          </w:tcPr>
          <w:p>
            <w:pPr>
              <w:ind w:left="5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r>
      <w:tr>
        <w:trPr>
          <w:trHeight w:val="248"/>
        </w:trPr>
        <w:tc>
          <w:tcPr>
            <w:tcW w:w="19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6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Trading Symbol(s)</w:t>
            </w:r>
          </w:p>
        </w:tc>
        <w:tc>
          <w:tcPr>
            <w:tcW w:w="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820" w:type="dxa"/>
            <w:vAlign w:val="bottom"/>
            <w:gridSpan w:val="2"/>
          </w:tcPr>
          <w:p>
            <w:pPr>
              <w:jc w:val="center"/>
              <w:ind w:right="1560"/>
              <w:spacing w:after="0"/>
              <w:rPr>
                <w:sz w:val="20"/>
                <w:szCs w:val="20"/>
                <w:color w:val="auto"/>
              </w:rPr>
            </w:pPr>
            <w:r>
              <w:rPr>
                <w:rFonts w:ascii="Times New Roman" w:cs="Times New Roman" w:eastAsia="Times New Roman" w:hAnsi="Times New Roman"/>
                <w:sz w:val="13"/>
                <w:szCs w:val="13"/>
                <w:color w:val="auto"/>
                <w:w w:val="98"/>
              </w:rPr>
              <w:t>Name of each exchange on which registered</w:t>
            </w:r>
          </w:p>
        </w:tc>
      </w:tr>
      <w:tr>
        <w:trPr>
          <w:trHeight w:val="20"/>
        </w:trPr>
        <w:tc>
          <w:tcPr>
            <w:tcW w:w="19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7"/>
        </w:trPr>
        <w:tc>
          <w:tcPr>
            <w:tcW w:w="3560" w:type="dxa"/>
            <w:vAlign w:val="bottom"/>
            <w:gridSpan w:val="3"/>
          </w:tcPr>
          <w:p>
            <w:pPr>
              <w:jc w:val="center"/>
              <w:ind w:left="1196"/>
              <w:spacing w:after="0"/>
              <w:rPr>
                <w:sz w:val="20"/>
                <w:szCs w:val="20"/>
                <w:color w:val="auto"/>
              </w:rPr>
            </w:pPr>
            <w:r>
              <w:rPr>
                <w:rFonts w:ascii="Times New Roman" w:cs="Times New Roman" w:eastAsia="Times New Roman" w:hAnsi="Times New Roman"/>
                <w:sz w:val="13"/>
                <w:szCs w:val="13"/>
                <w:color w:val="auto"/>
                <w:w w:val="97"/>
              </w:rPr>
              <w:t>Ordinary Shares - £1.00 par value per share</w:t>
            </w:r>
          </w:p>
        </w:tc>
        <w:tc>
          <w:tcPr>
            <w:tcW w:w="128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LIVN</w:t>
            </w:r>
          </w:p>
        </w:tc>
        <w:tc>
          <w:tcPr>
            <w:tcW w:w="1560" w:type="dxa"/>
            <w:vAlign w:val="bottom"/>
          </w:tcPr>
          <w:p>
            <w:pPr>
              <w:spacing w:after="0"/>
              <w:rPr>
                <w:sz w:val="15"/>
                <w:szCs w:val="15"/>
                <w:color w:val="auto"/>
              </w:rPr>
            </w:pPr>
          </w:p>
        </w:tc>
        <w:tc>
          <w:tcPr>
            <w:tcW w:w="3820" w:type="dxa"/>
            <w:vAlign w:val="bottom"/>
            <w:gridSpan w:val="2"/>
          </w:tcPr>
          <w:p>
            <w:pPr>
              <w:jc w:val="center"/>
              <w:ind w:right="1540"/>
              <w:spacing w:after="0"/>
              <w:rPr>
                <w:sz w:val="20"/>
                <w:szCs w:val="20"/>
                <w:color w:val="auto"/>
              </w:rPr>
            </w:pPr>
            <w:r>
              <w:rPr>
                <w:rFonts w:ascii="Times New Roman" w:cs="Times New Roman" w:eastAsia="Times New Roman" w:hAnsi="Times New Roman"/>
                <w:sz w:val="13"/>
                <w:szCs w:val="13"/>
                <w:color w:val="auto"/>
                <w:w w:val="98"/>
              </w:rPr>
              <w:t>The NASDAQ Stock Market LLC</w:t>
            </w:r>
          </w:p>
        </w:tc>
      </w:tr>
    </w:tbl>
    <w:p>
      <w:pPr>
        <w:spacing w:after="0" w:line="68" w:lineRule="exact"/>
        <w:rPr>
          <w:sz w:val="24"/>
          <w:szCs w:val="24"/>
          <w:color w:val="auto"/>
        </w:rPr>
      </w:pPr>
    </w:p>
    <w:p>
      <w:pPr>
        <w:ind w:right="8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3" w:lineRule="exact"/>
        <w:rPr>
          <w:sz w:val="24"/>
          <w:szCs w:val="24"/>
          <w:color w:val="auto"/>
        </w:rPr>
      </w:pPr>
    </w:p>
    <w:p>
      <w:pPr>
        <w:ind w:right="8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3"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90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2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Accelerated filer</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0"/>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90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2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0"/>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90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218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86" w:lineRule="exact"/>
        <w:rPr>
          <w:sz w:val="24"/>
          <w:szCs w:val="24"/>
          <w:color w:val="auto"/>
        </w:rPr>
      </w:pPr>
    </w:p>
    <w:p>
      <w:pPr>
        <w:ind w:right="80"/>
        <w:spacing w:after="0" w:line="16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572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w w:val="98"/>
              </w:rPr>
              <w:t xml:space="preserve">Indicate by check mark whether the registrant is a shell company (as defined in Rule 12b-2 of the Act). Yes </w:t>
            </w:r>
            <w:r>
              <w:rPr>
                <w:rFonts w:ascii="MS PGothic" w:cs="MS PGothic" w:eastAsia="MS PGothic" w:hAnsi="MS PGothic"/>
                <w:sz w:val="13"/>
                <w:szCs w:val="13"/>
                <w:color w:val="auto"/>
                <w:w w:val="98"/>
              </w:rPr>
              <w:t>☐</w:t>
            </w:r>
          </w:p>
        </w:tc>
        <w:tc>
          <w:tcPr>
            <w:tcW w:w="5560" w:type="dxa"/>
            <w:vAlign w:val="bottom"/>
          </w:tcPr>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r>
        <w:trPr>
          <w:trHeight w:val="251"/>
        </w:trPr>
        <w:tc>
          <w:tcPr>
            <w:tcW w:w="5720" w:type="dxa"/>
            <w:vAlign w:val="bottom"/>
          </w:tcPr>
          <w:p>
            <w:pPr>
              <w:jc w:val="center"/>
              <w:ind w:left="96"/>
              <w:spacing w:after="0"/>
              <w:rPr>
                <w:sz w:val="20"/>
                <w:szCs w:val="20"/>
                <w:color w:val="auto"/>
              </w:rPr>
            </w:pPr>
            <w:r>
              <w:rPr>
                <w:rFonts w:ascii="Times New Roman" w:cs="Times New Roman" w:eastAsia="Times New Roman" w:hAnsi="Times New Roman"/>
                <w:sz w:val="13"/>
                <w:szCs w:val="13"/>
                <w:i w:val="1"/>
                <w:iCs w:val="1"/>
                <w:color w:val="auto"/>
                <w:w w:val="96"/>
              </w:rPr>
              <w:t>Class</w:t>
            </w:r>
          </w:p>
        </w:tc>
        <w:tc>
          <w:tcPr>
            <w:tcW w:w="556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auto"/>
                <w:w w:val="97"/>
              </w:rPr>
              <w:t>Outstanding at April 26, 2023</w:t>
            </w:r>
          </w:p>
        </w:tc>
      </w:tr>
      <w:tr>
        <w:trPr>
          <w:trHeight w:val="170"/>
        </w:trPr>
        <w:tc>
          <w:tcPr>
            <w:tcW w:w="572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auto"/>
                <w:w w:val="97"/>
              </w:rPr>
              <w:t>Ordinary Shares - £1.00 par value per share</w:t>
            </w:r>
          </w:p>
        </w:tc>
        <w:tc>
          <w:tcPr>
            <w:tcW w:w="5560" w:type="dxa"/>
            <w:vAlign w:val="bottom"/>
          </w:tcPr>
          <w:p>
            <w:pPr>
              <w:jc w:val="right"/>
              <w:ind w:right="2356"/>
              <w:spacing w:after="0"/>
              <w:rPr>
                <w:sz w:val="20"/>
                <w:szCs w:val="20"/>
                <w:color w:val="auto"/>
              </w:rPr>
            </w:pPr>
            <w:r>
              <w:rPr>
                <w:rFonts w:ascii="Times New Roman" w:cs="Times New Roman" w:eastAsia="Times New Roman" w:hAnsi="Times New Roman"/>
                <w:sz w:val="13"/>
                <w:szCs w:val="13"/>
                <w:color w:val="auto"/>
              </w:rPr>
              <w:t>53,768,134</w:t>
            </w:r>
          </w:p>
        </w:tc>
      </w:tr>
      <w:tr>
        <w:trPr>
          <w:trHeight w:val="547"/>
        </w:trPr>
        <w:tc>
          <w:tcPr>
            <w:tcW w:w="572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782" w:right="2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LIVANOVA PLC</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780" w:type="dxa"/>
            <w:vAlign w:val="bottom"/>
            <w:gridSpan w:val="4"/>
          </w:tcPr>
          <w:p>
            <w:pPr>
              <w:jc w:val="center"/>
              <w:ind w:right="3340"/>
              <w:spacing w:after="0"/>
              <w:rPr>
                <w:sz w:val="20"/>
                <w:szCs w:val="20"/>
                <w:color w:val="auto"/>
              </w:rPr>
            </w:pPr>
            <w:r>
              <w:rPr>
                <w:rFonts w:ascii="Times New Roman" w:cs="Times New Roman" w:eastAsia="Times New Roman" w:hAnsi="Times New Roman"/>
                <w:sz w:val="14"/>
                <w:szCs w:val="14"/>
                <w:b w:val="1"/>
                <w:bCs w:val="1"/>
                <w:color w:val="auto"/>
                <w:w w:val="99"/>
              </w:rPr>
              <w:t>PART I. FINANCIAL INFORMATION</w:t>
            </w:r>
          </w:p>
        </w:tc>
        <w:tc>
          <w:tcPr>
            <w:tcW w:w="11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61"/>
        </w:trPr>
        <w:tc>
          <w:tcPr>
            <w:tcW w:w="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right w:val="single" w:sz="8" w:color="CCEEFF"/>
            </w:tcBorders>
            <w:shd w:val="clear" w:color="auto" w:fill="CCEEFF"/>
          </w:tcPr>
          <w:p>
            <w:pPr>
              <w:spacing w:after="0"/>
              <w:rPr>
                <w:sz w:val="13"/>
                <w:szCs w:val="13"/>
                <w:color w:val="auto"/>
              </w:rPr>
            </w:pPr>
          </w:p>
        </w:tc>
        <w:tc>
          <w:tcPr>
            <w:tcW w:w="700" w:type="dxa"/>
            <w:vAlign w:val="bottom"/>
            <w:tcBorders>
              <w:bottom w:val="single" w:sz="8" w:color="0000FF"/>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Definitions</w:t>
            </w:r>
          </w:p>
        </w:tc>
        <w:tc>
          <w:tcPr>
            <w:tcW w:w="8420" w:type="dxa"/>
            <w:vAlign w:val="bottom"/>
            <w:tcBorders>
              <w:bottom w:val="single" w:sz="8" w:color="CCEEFF"/>
            </w:tcBorders>
            <w:gridSpan w:val="11"/>
            <w:shd w:val="clear" w:color="auto" w:fill="CCEEFF"/>
          </w:tcPr>
          <w:p>
            <w:pPr>
              <w:spacing w:after="0"/>
              <w:rPr>
                <w:sz w:val="13"/>
                <w:szCs w:val="13"/>
                <w:color w:val="auto"/>
              </w:rPr>
            </w:pPr>
          </w:p>
        </w:tc>
        <w:tc>
          <w:tcPr>
            <w:tcW w:w="5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0000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0000FF"/>
              </w:rPr>
              <w:t>3</w:t>
            </w:r>
          </w:p>
        </w:tc>
        <w:tc>
          <w:tcPr>
            <w:tcW w:w="440" w:type="dxa"/>
            <w:vAlign w:val="bottom"/>
            <w:tcBorders>
              <w:left w:val="single" w:sz="8" w:color="CCEEFF"/>
              <w:bottom w:val="single" w:sz="8" w:color="CCEEFF"/>
            </w:tcBorders>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120" w:type="dxa"/>
            <w:vAlign w:val="bottom"/>
            <w:gridSpan w:val="13"/>
          </w:tcPr>
          <w:p>
            <w:pPr>
              <w:spacing w:after="0" w:line="149" w:lineRule="exact"/>
              <w:rPr>
                <w:sz w:val="20"/>
                <w:szCs w:val="20"/>
                <w:color w:val="auto"/>
              </w:rPr>
            </w:pPr>
            <w:r>
              <w:rPr>
                <w:rFonts w:ascii="Times New Roman" w:cs="Times New Roman" w:eastAsia="Times New Roman" w:hAnsi="Times New Roman"/>
                <w:sz w:val="14"/>
                <w:szCs w:val="14"/>
                <w:color w:val="0000FF"/>
              </w:rPr>
              <w:t>Note About Forward Looking Statements</w:t>
            </w:r>
          </w:p>
        </w:tc>
        <w:tc>
          <w:tcPr>
            <w:tcW w:w="660" w:type="dxa"/>
            <w:vAlign w:val="bottom"/>
            <w:gridSpan w:val="2"/>
          </w:tcPr>
          <w:p>
            <w:pPr>
              <w:jc w:val="center"/>
              <w:ind w:left="510"/>
              <w:spacing w:after="0" w:line="149" w:lineRule="exact"/>
              <w:rPr>
                <w:sz w:val="20"/>
                <w:szCs w:val="20"/>
                <w:color w:val="auto"/>
              </w:rPr>
            </w:pPr>
            <w:r>
              <w:rPr>
                <w:rFonts w:ascii="Times New Roman" w:cs="Times New Roman" w:eastAsia="Times New Roman" w:hAnsi="Times New Roman"/>
                <w:sz w:val="14"/>
                <w:szCs w:val="14"/>
                <w:color w:val="0000FF"/>
              </w:rPr>
              <w:t>5</w:t>
            </w:r>
          </w:p>
        </w:tc>
        <w:tc>
          <w:tcPr>
            <w:tcW w:w="4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80" w:type="dxa"/>
            <w:vAlign w:val="bottom"/>
            <w:tcBorders>
              <w:left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020" w:type="dxa"/>
            <w:vAlign w:val="bottom"/>
            <w:tcBorders>
              <w:right w:val="single" w:sz="8" w:color="CCEEFF"/>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1</w:t>
            </w:r>
          </w:p>
        </w:tc>
        <w:tc>
          <w:tcPr>
            <w:tcW w:w="9120" w:type="dxa"/>
            <w:vAlign w:val="bottom"/>
            <w:gridSpan w:val="1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Condensed Consolidated Financial Statements</w:t>
            </w:r>
          </w:p>
        </w:tc>
        <w:tc>
          <w:tcPr>
            <w:tcW w:w="660" w:type="dxa"/>
            <w:vAlign w:val="bottom"/>
            <w:gridSpan w:val="2"/>
            <w:shd w:val="clear" w:color="auto" w:fill="CCEEFF"/>
          </w:tcPr>
          <w:p>
            <w:pPr>
              <w:jc w:val="center"/>
              <w:ind w:left="510"/>
              <w:spacing w:after="0" w:line="155" w:lineRule="exact"/>
              <w:rPr>
                <w:sz w:val="20"/>
                <w:szCs w:val="20"/>
                <w:color w:val="auto"/>
              </w:rPr>
            </w:pPr>
            <w:r>
              <w:rPr>
                <w:rFonts w:ascii="Times New Roman" w:cs="Times New Roman" w:eastAsia="Times New Roman" w:hAnsi="Times New Roman"/>
                <w:sz w:val="14"/>
                <w:szCs w:val="14"/>
                <w:color w:val="0000FF"/>
              </w:rPr>
              <w:t>7</w:t>
            </w:r>
          </w:p>
        </w:tc>
        <w:tc>
          <w:tcPr>
            <w:tcW w:w="440" w:type="dxa"/>
            <w:vAlign w:val="bottom"/>
            <w:tcBorders>
              <w:left w:val="single" w:sz="8" w:color="CCEEFF"/>
            </w:tcBorders>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80" w:type="dxa"/>
            <w:vAlign w:val="bottom"/>
            <w:tcBorders>
              <w:left w:val="single" w:sz="8" w:color="0000FF"/>
              <w:right w:val="single" w:sz="8" w:color="CCEEFF"/>
            </w:tcBorders>
            <w:shd w:val="clear" w:color="auto" w:fill="0000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5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80" w:type="dxa"/>
            <w:vAlign w:val="bottom"/>
            <w:tcBorders>
              <w:bottom w:val="single" w:sz="8" w:color="0000FF"/>
            </w:tcBorders>
            <w:gridSpan w:val="7"/>
          </w:tcPr>
          <w:p>
            <w:pPr>
              <w:spacing w:after="0" w:line="149" w:lineRule="exact"/>
              <w:rPr>
                <w:sz w:val="20"/>
                <w:szCs w:val="20"/>
                <w:color w:val="auto"/>
              </w:rPr>
            </w:pPr>
            <w:r>
              <w:rPr>
                <w:rFonts w:ascii="Times New Roman" w:cs="Times New Roman" w:eastAsia="Times New Roman" w:hAnsi="Times New Roman"/>
                <w:sz w:val="14"/>
                <w:szCs w:val="14"/>
                <w:color w:val="0000FF"/>
                <w:w w:val="99"/>
              </w:rPr>
              <w:t>Condensed Consolidated Statements of Income</w:t>
            </w:r>
          </w:p>
        </w:tc>
        <w:tc>
          <w:tcPr>
            <w:tcW w:w="6440" w:type="dxa"/>
            <w:vAlign w:val="bottom"/>
            <w:gridSpan w:val="6"/>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rPr>
              <w:t>7</w:t>
            </w:r>
          </w:p>
        </w:tc>
        <w:tc>
          <w:tcPr>
            <w:tcW w:w="440" w:type="dxa"/>
            <w:vAlign w:val="bottom"/>
          </w:tcPr>
          <w:p>
            <w:pPr>
              <w:spacing w:after="0"/>
              <w:rPr>
                <w:sz w:val="13"/>
                <w:szCs w:val="13"/>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right w:val="single" w:sz="8" w:color="CCEEFF"/>
            </w:tcBorders>
            <w:shd w:val="clear" w:color="auto" w:fill="CCEEFF"/>
          </w:tcPr>
          <w:p>
            <w:pPr>
              <w:spacing w:after="0"/>
              <w:rPr>
                <w:sz w:val="14"/>
                <w:szCs w:val="14"/>
                <w:color w:val="auto"/>
              </w:rPr>
            </w:pPr>
          </w:p>
        </w:tc>
        <w:tc>
          <w:tcPr>
            <w:tcW w:w="4000" w:type="dxa"/>
            <w:vAlign w:val="bottom"/>
            <w:tcBorders>
              <w:bottom w:val="single" w:sz="8" w:color="0000FF"/>
            </w:tcBorders>
            <w:gridSpan w:val="1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Condensed Consolidated Statements of Comprehensive Income (Loss)</w:t>
            </w:r>
          </w:p>
        </w:tc>
        <w:tc>
          <w:tcPr>
            <w:tcW w:w="5120" w:type="dxa"/>
            <w:vAlign w:val="bottom"/>
            <w:tcBorders>
              <w:bottom w:val="single" w:sz="8" w:color="CCEEFF"/>
            </w:tcBorders>
            <w:gridSpan w:val="2"/>
            <w:shd w:val="clear" w:color="auto" w:fill="CCEEFF"/>
          </w:tcPr>
          <w:p>
            <w:pPr>
              <w:spacing w:after="0"/>
              <w:rPr>
                <w:sz w:val="14"/>
                <w:szCs w:val="14"/>
                <w:color w:val="auto"/>
              </w:rPr>
            </w:pPr>
          </w:p>
        </w:tc>
        <w:tc>
          <w:tcPr>
            <w:tcW w:w="58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0000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rPr>
              <w:t>8</w:t>
            </w:r>
          </w:p>
        </w:tc>
        <w:tc>
          <w:tcPr>
            <w:tcW w:w="440" w:type="dxa"/>
            <w:vAlign w:val="bottom"/>
            <w:tcBorders>
              <w:left w:val="single" w:sz="8" w:color="CCEEFF"/>
              <w:bottom w:val="single" w:sz="8" w:color="CCEEFF"/>
            </w:tcBorders>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120" w:type="dxa"/>
            <w:vAlign w:val="bottom"/>
            <w:gridSpan w:val="13"/>
          </w:tcPr>
          <w:p>
            <w:pPr>
              <w:spacing w:after="0" w:line="149" w:lineRule="exact"/>
              <w:rPr>
                <w:sz w:val="20"/>
                <w:szCs w:val="20"/>
                <w:color w:val="auto"/>
              </w:rPr>
            </w:pPr>
            <w:r>
              <w:rPr>
                <w:rFonts w:ascii="Times New Roman" w:cs="Times New Roman" w:eastAsia="Times New Roman" w:hAnsi="Times New Roman"/>
                <w:sz w:val="14"/>
                <w:szCs w:val="14"/>
                <w:color w:val="0000FF"/>
              </w:rPr>
              <w:t>Condensed Consolidated Balance Sheets</w:t>
            </w:r>
          </w:p>
        </w:tc>
        <w:tc>
          <w:tcPr>
            <w:tcW w:w="660" w:type="dxa"/>
            <w:vAlign w:val="bottom"/>
            <w:gridSpan w:val="2"/>
          </w:tcPr>
          <w:p>
            <w:pPr>
              <w:jc w:val="center"/>
              <w:ind w:left="510"/>
              <w:spacing w:after="0" w:line="149" w:lineRule="exact"/>
              <w:rPr>
                <w:sz w:val="20"/>
                <w:szCs w:val="20"/>
                <w:color w:val="auto"/>
              </w:rPr>
            </w:pPr>
            <w:r>
              <w:rPr>
                <w:rFonts w:ascii="Times New Roman" w:cs="Times New Roman" w:eastAsia="Times New Roman" w:hAnsi="Times New Roman"/>
                <w:sz w:val="14"/>
                <w:szCs w:val="14"/>
                <w:color w:val="0000FF"/>
              </w:rPr>
              <w:t>9</w:t>
            </w:r>
          </w:p>
        </w:tc>
        <w:tc>
          <w:tcPr>
            <w:tcW w:w="4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920" w:type="dxa"/>
            <w:vAlign w:val="bottom"/>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6200" w:type="dxa"/>
            <w:vAlign w:val="bottom"/>
            <w:gridSpan w:val="5"/>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center"/>
              <w:ind w:right="420"/>
              <w:spacing w:after="0" w:line="155" w:lineRule="exact"/>
              <w:rPr>
                <w:sz w:val="20"/>
                <w:szCs w:val="20"/>
                <w:color w:val="auto"/>
              </w:rPr>
            </w:pPr>
            <w:r>
              <w:rPr>
                <w:rFonts w:ascii="Times New Roman" w:cs="Times New Roman" w:eastAsia="Times New Roman" w:hAnsi="Times New Roman"/>
                <w:sz w:val="14"/>
                <w:szCs w:val="14"/>
                <w:color w:val="0000FF"/>
                <w:w w:val="71"/>
              </w:rPr>
              <w:t>10</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80" w:type="dxa"/>
            <w:vAlign w:val="bottom"/>
            <w:tcBorders>
              <w:left w:val="single" w:sz="8" w:color="0000FF"/>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58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120" w:type="dxa"/>
            <w:vAlign w:val="bottom"/>
            <w:gridSpan w:val="13"/>
          </w:tcPr>
          <w:p>
            <w:pPr>
              <w:spacing w:after="0" w:line="149" w:lineRule="exact"/>
              <w:rPr>
                <w:sz w:val="20"/>
                <w:szCs w:val="20"/>
                <w:color w:val="auto"/>
              </w:rPr>
            </w:pPr>
            <w:r>
              <w:rPr>
                <w:rFonts w:ascii="Times New Roman" w:cs="Times New Roman" w:eastAsia="Times New Roman" w:hAnsi="Times New Roman"/>
                <w:sz w:val="14"/>
                <w:szCs w:val="14"/>
                <w:color w:val="0000FF"/>
              </w:rPr>
              <w:t>Notes to the Condensed Consolidated Financial Statements</w:t>
            </w:r>
          </w:p>
        </w:tc>
        <w:tc>
          <w:tcPr>
            <w:tcW w:w="660" w:type="dxa"/>
            <w:vAlign w:val="bottom"/>
            <w:gridSpan w:val="2"/>
          </w:tcPr>
          <w:p>
            <w:pPr>
              <w:jc w:val="center"/>
              <w:ind w:left="470"/>
              <w:spacing w:after="0" w:line="149" w:lineRule="exact"/>
              <w:rPr>
                <w:sz w:val="20"/>
                <w:szCs w:val="20"/>
                <w:color w:val="auto"/>
              </w:rPr>
            </w:pPr>
            <w:r>
              <w:rPr>
                <w:rFonts w:ascii="Times New Roman" w:cs="Times New Roman" w:eastAsia="Times New Roman" w:hAnsi="Times New Roman"/>
                <w:sz w:val="14"/>
                <w:szCs w:val="14"/>
                <w:color w:val="0000FF"/>
                <w:w w:val="85"/>
              </w:rPr>
              <w:t>11</w:t>
            </w:r>
          </w:p>
        </w:tc>
        <w:tc>
          <w:tcPr>
            <w:tcW w:w="4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80" w:type="dxa"/>
            <w:vAlign w:val="bottom"/>
            <w:tcBorders>
              <w:left w:val="single" w:sz="8" w:color="0000FF"/>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020" w:type="dxa"/>
            <w:vAlign w:val="bottom"/>
            <w:tcBorders>
              <w:right w:val="single" w:sz="8" w:color="CCEEFF"/>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2</w:t>
            </w:r>
          </w:p>
        </w:tc>
        <w:tc>
          <w:tcPr>
            <w:tcW w:w="9120" w:type="dxa"/>
            <w:vAlign w:val="bottom"/>
            <w:gridSpan w:val="1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100" w:type="dxa"/>
            <w:vAlign w:val="bottom"/>
            <w:gridSpan w:val="3"/>
            <w:shd w:val="clear" w:color="auto" w:fill="CCEEFF"/>
          </w:tcPr>
          <w:p>
            <w:pPr>
              <w:jc w:val="center"/>
              <w:ind w:left="50"/>
              <w:spacing w:after="0" w:line="155" w:lineRule="exact"/>
              <w:rPr>
                <w:sz w:val="20"/>
                <w:szCs w:val="20"/>
                <w:color w:val="auto"/>
              </w:rPr>
            </w:pPr>
            <w:r>
              <w:rPr>
                <w:rFonts w:ascii="Times New Roman" w:cs="Times New Roman" w:eastAsia="Times New Roman" w:hAnsi="Times New Roman"/>
                <w:sz w:val="14"/>
                <w:szCs w:val="14"/>
                <w:color w:val="0000FF"/>
                <w:w w:val="99"/>
              </w:rPr>
              <w:t>31</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80" w:type="dxa"/>
            <w:vAlign w:val="bottom"/>
            <w:tcBorders>
              <w:left w:val="single" w:sz="8" w:color="0000FF"/>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58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3</w:t>
            </w:r>
          </w:p>
        </w:tc>
        <w:tc>
          <w:tcPr>
            <w:tcW w:w="9120" w:type="dxa"/>
            <w:vAlign w:val="bottom"/>
            <w:gridSpan w:val="13"/>
          </w:tcPr>
          <w:p>
            <w:pPr>
              <w:spacing w:after="0" w:line="149"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100" w:type="dxa"/>
            <w:vAlign w:val="bottom"/>
            <w:gridSpan w:val="3"/>
          </w:tcPr>
          <w:p>
            <w:pPr>
              <w:jc w:val="center"/>
              <w:ind w:left="50"/>
              <w:spacing w:after="0" w:line="149" w:lineRule="exact"/>
              <w:rPr>
                <w:sz w:val="20"/>
                <w:szCs w:val="20"/>
                <w:color w:val="auto"/>
              </w:rPr>
            </w:pPr>
            <w:r>
              <w:rPr>
                <w:rFonts w:ascii="Times New Roman" w:cs="Times New Roman" w:eastAsia="Times New Roman" w:hAnsi="Times New Roman"/>
                <w:sz w:val="14"/>
                <w:szCs w:val="14"/>
                <w:color w:val="0000FF"/>
                <w:w w:val="99"/>
              </w:rPr>
              <w:t>37</w:t>
            </w:r>
          </w:p>
        </w:tc>
      </w:tr>
      <w:tr>
        <w:trPr>
          <w:trHeight w:val="26"/>
        </w:trPr>
        <w:tc>
          <w:tcPr>
            <w:tcW w:w="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80" w:type="dxa"/>
            <w:vAlign w:val="bottom"/>
            <w:tcBorders>
              <w:left w:val="single" w:sz="8" w:color="0000FF"/>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r>
      <w:tr>
        <w:trPr>
          <w:trHeight w:val="166"/>
        </w:trPr>
        <w:tc>
          <w:tcPr>
            <w:tcW w:w="2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4</w:t>
            </w:r>
          </w:p>
        </w:tc>
        <w:tc>
          <w:tcPr>
            <w:tcW w:w="9120" w:type="dxa"/>
            <w:vAlign w:val="bottom"/>
            <w:gridSpan w:val="1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Controls and Procedures</w:t>
            </w:r>
          </w:p>
        </w:tc>
        <w:tc>
          <w:tcPr>
            <w:tcW w:w="1100" w:type="dxa"/>
            <w:vAlign w:val="bottom"/>
            <w:gridSpan w:val="3"/>
            <w:shd w:val="clear" w:color="auto" w:fill="CCEEFF"/>
          </w:tcPr>
          <w:p>
            <w:pPr>
              <w:jc w:val="center"/>
              <w:ind w:left="50"/>
              <w:spacing w:after="0" w:line="155" w:lineRule="exact"/>
              <w:rPr>
                <w:sz w:val="20"/>
                <w:szCs w:val="20"/>
                <w:color w:val="auto"/>
              </w:rPr>
            </w:pPr>
            <w:r>
              <w:rPr>
                <w:rFonts w:ascii="Times New Roman" w:cs="Times New Roman" w:eastAsia="Times New Roman" w:hAnsi="Times New Roman"/>
                <w:sz w:val="14"/>
                <w:szCs w:val="14"/>
                <w:color w:val="0000FF"/>
                <w:w w:val="99"/>
              </w:rPr>
              <w:t>37</w:t>
            </w:r>
          </w:p>
        </w:tc>
      </w:tr>
      <w:tr>
        <w:trPr>
          <w:trHeight w:val="182"/>
        </w:trPr>
        <w:tc>
          <w:tcPr>
            <w:tcW w:w="20" w:type="dxa"/>
            <w:vAlign w:val="bottom"/>
            <w:tcBorders>
              <w:top w:val="single" w:sz="8" w:color="CCEEFF"/>
              <w:bottom w:val="single" w:sz="8" w:color="CCEEFF"/>
            </w:tcBorders>
          </w:tcPr>
          <w:p>
            <w:pPr>
              <w:spacing w:after="0"/>
              <w:rPr>
                <w:sz w:val="15"/>
                <w:szCs w:val="15"/>
                <w:color w:val="auto"/>
              </w:rPr>
            </w:pPr>
          </w:p>
        </w:tc>
        <w:tc>
          <w:tcPr>
            <w:tcW w:w="360" w:type="dxa"/>
            <w:vAlign w:val="bottom"/>
            <w:tcBorders>
              <w:top w:val="single" w:sz="8" w:color="0000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560" w:type="dxa"/>
            <w:vAlign w:val="bottom"/>
            <w:tcBorders>
              <w:top w:val="single" w:sz="8" w:color="CCEEFF"/>
              <w:bottom w:val="single" w:sz="8" w:color="CCEEFF"/>
            </w:tcBorders>
          </w:tcPr>
          <w:p>
            <w:pPr>
              <w:spacing w:after="0"/>
              <w:rPr>
                <w:sz w:val="15"/>
                <w:szCs w:val="15"/>
                <w:color w:val="auto"/>
              </w:rPr>
            </w:pPr>
          </w:p>
        </w:tc>
        <w:tc>
          <w:tcPr>
            <w:tcW w:w="460" w:type="dxa"/>
            <w:vAlign w:val="bottom"/>
            <w:tcBorders>
              <w:top w:val="single" w:sz="8" w:color="0000FF"/>
              <w:bottom w:val="single" w:sz="8" w:color="auto"/>
            </w:tcBorders>
          </w:tcPr>
          <w:p>
            <w:pPr>
              <w:spacing w:after="0"/>
              <w:rPr>
                <w:sz w:val="15"/>
                <w:szCs w:val="15"/>
                <w:color w:val="auto"/>
              </w:rPr>
            </w:pPr>
          </w:p>
        </w:tc>
        <w:tc>
          <w:tcPr>
            <w:tcW w:w="240" w:type="dxa"/>
            <w:vAlign w:val="bottom"/>
            <w:tcBorders>
              <w:top w:val="single" w:sz="8" w:color="0000FF"/>
              <w:bottom w:val="single" w:sz="8" w:color="auto"/>
            </w:tcBorders>
          </w:tcPr>
          <w:p>
            <w:pPr>
              <w:spacing w:after="0"/>
              <w:rPr>
                <w:sz w:val="15"/>
                <w:szCs w:val="15"/>
                <w:color w:val="auto"/>
              </w:rPr>
            </w:pPr>
          </w:p>
        </w:tc>
        <w:tc>
          <w:tcPr>
            <w:tcW w:w="340" w:type="dxa"/>
            <w:vAlign w:val="bottom"/>
            <w:tcBorders>
              <w:top w:val="single" w:sz="8" w:color="0000FF"/>
              <w:bottom w:val="single" w:sz="8" w:color="auto"/>
            </w:tcBorders>
          </w:tcPr>
          <w:p>
            <w:pPr>
              <w:spacing w:after="0"/>
              <w:rPr>
                <w:sz w:val="15"/>
                <w:szCs w:val="15"/>
                <w:color w:val="auto"/>
              </w:rPr>
            </w:pPr>
          </w:p>
        </w:tc>
        <w:tc>
          <w:tcPr>
            <w:tcW w:w="340" w:type="dxa"/>
            <w:vAlign w:val="bottom"/>
            <w:tcBorders>
              <w:top w:val="single" w:sz="8" w:color="0000FF"/>
              <w:bottom w:val="single" w:sz="8" w:color="auto"/>
            </w:tcBorders>
          </w:tcPr>
          <w:p>
            <w:pPr>
              <w:spacing w:after="0"/>
              <w:rPr>
                <w:sz w:val="15"/>
                <w:szCs w:val="15"/>
                <w:color w:val="auto"/>
              </w:rPr>
            </w:pPr>
          </w:p>
        </w:tc>
        <w:tc>
          <w:tcPr>
            <w:tcW w:w="440" w:type="dxa"/>
            <w:vAlign w:val="bottom"/>
            <w:tcBorders>
              <w:top w:val="single" w:sz="8" w:color="CCEEFF"/>
              <w:bottom w:val="single" w:sz="8" w:color="auto"/>
            </w:tcBorders>
          </w:tcPr>
          <w:p>
            <w:pPr>
              <w:spacing w:after="0"/>
              <w:rPr>
                <w:sz w:val="15"/>
                <w:szCs w:val="15"/>
                <w:color w:val="auto"/>
              </w:rPr>
            </w:pPr>
          </w:p>
        </w:tc>
        <w:tc>
          <w:tcPr>
            <w:tcW w:w="480" w:type="dxa"/>
            <w:vAlign w:val="bottom"/>
            <w:tcBorders>
              <w:top w:val="single" w:sz="8" w:color="CCEEFF"/>
              <w:bottom w:val="single" w:sz="8" w:color="auto"/>
            </w:tcBorders>
          </w:tcPr>
          <w:p>
            <w:pPr>
              <w:spacing w:after="0"/>
              <w:rPr>
                <w:sz w:val="15"/>
                <w:szCs w:val="15"/>
                <w:color w:val="auto"/>
              </w:rPr>
            </w:pPr>
          </w:p>
        </w:tc>
        <w:tc>
          <w:tcPr>
            <w:tcW w:w="380" w:type="dxa"/>
            <w:vAlign w:val="bottom"/>
            <w:tcBorders>
              <w:top w:val="single" w:sz="8" w:color="CCEEFF"/>
              <w:bottom w:val="single" w:sz="8" w:color="auto"/>
            </w:tcBorders>
          </w:tcPr>
          <w:p>
            <w:pPr>
              <w:spacing w:after="0"/>
              <w:rPr>
                <w:sz w:val="15"/>
                <w:szCs w:val="15"/>
                <w:color w:val="auto"/>
              </w:rPr>
            </w:pPr>
          </w:p>
        </w:tc>
        <w:tc>
          <w:tcPr>
            <w:tcW w:w="240" w:type="dxa"/>
            <w:vAlign w:val="bottom"/>
            <w:tcBorders>
              <w:top w:val="single" w:sz="8" w:color="CCEEFF"/>
              <w:bottom w:val="single" w:sz="8" w:color="auto"/>
            </w:tcBorders>
          </w:tcPr>
          <w:p>
            <w:pPr>
              <w:spacing w:after="0"/>
              <w:rPr>
                <w:sz w:val="15"/>
                <w:szCs w:val="15"/>
                <w:color w:val="auto"/>
              </w:rPr>
            </w:pPr>
          </w:p>
        </w:tc>
        <w:tc>
          <w:tcPr>
            <w:tcW w:w="42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CCEEFF"/>
              <w:bottom w:val="single" w:sz="8" w:color="auto"/>
            </w:tcBorders>
          </w:tcPr>
          <w:p>
            <w:pPr>
              <w:spacing w:after="0"/>
              <w:rPr>
                <w:sz w:val="15"/>
                <w:szCs w:val="15"/>
                <w:color w:val="auto"/>
              </w:rPr>
            </w:pPr>
          </w:p>
        </w:tc>
        <w:tc>
          <w:tcPr>
            <w:tcW w:w="5700" w:type="dxa"/>
            <w:vAlign w:val="bottom"/>
            <w:tcBorders>
              <w:top w:val="single" w:sz="8" w:color="CCEEFF"/>
              <w:bottom w:val="single" w:sz="8" w:color="auto"/>
            </w:tcBorders>
            <w:gridSpan w:val="3"/>
          </w:tcPr>
          <w:p>
            <w:pPr>
              <w:jc w:val="center"/>
              <w:ind w:right="3420"/>
              <w:spacing w:after="0"/>
              <w:rPr>
                <w:sz w:val="20"/>
                <w:szCs w:val="20"/>
                <w:color w:val="auto"/>
              </w:rPr>
            </w:pPr>
            <w:r>
              <w:rPr>
                <w:rFonts w:ascii="Times New Roman" w:cs="Times New Roman" w:eastAsia="Times New Roman" w:hAnsi="Times New Roman"/>
                <w:sz w:val="14"/>
                <w:szCs w:val="14"/>
                <w:b w:val="1"/>
                <w:bCs w:val="1"/>
                <w:color w:val="auto"/>
                <w:w w:val="99"/>
              </w:rPr>
              <w:t>PART II. OTHER INFORMATION</w:t>
            </w:r>
          </w:p>
        </w:tc>
        <w:tc>
          <w:tcPr>
            <w:tcW w:w="5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0000FF"/>
              <w:bottom w:val="single" w:sz="8" w:color="CCEEFF"/>
            </w:tcBorders>
          </w:tcPr>
          <w:p>
            <w:pPr>
              <w:spacing w:after="0"/>
              <w:rPr>
                <w:sz w:val="15"/>
                <w:szCs w:val="15"/>
                <w:color w:val="auto"/>
              </w:rPr>
            </w:pPr>
          </w:p>
        </w:tc>
        <w:tc>
          <w:tcPr>
            <w:tcW w:w="440" w:type="dxa"/>
            <w:vAlign w:val="bottom"/>
            <w:tcBorders>
              <w:top w:val="single" w:sz="8" w:color="CCEEFF"/>
              <w:bottom w:val="single" w:sz="8" w:color="CCEEFF"/>
            </w:tcBorders>
          </w:tcPr>
          <w:p>
            <w:pPr>
              <w:spacing w:after="0"/>
              <w:rPr>
                <w:sz w:val="15"/>
                <w:szCs w:val="15"/>
                <w:color w:val="auto"/>
              </w:rPr>
            </w:pPr>
          </w:p>
        </w:tc>
      </w:tr>
      <w:tr>
        <w:trPr>
          <w:trHeight w:val="158"/>
        </w:trPr>
        <w:tc>
          <w:tcPr>
            <w:tcW w:w="20" w:type="dxa"/>
            <w:vAlign w:val="bottom"/>
            <w:shd w:val="clear" w:color="auto" w:fill="CCEEFF"/>
          </w:tcPr>
          <w:p>
            <w:pPr>
              <w:spacing w:after="0"/>
              <w:rPr>
                <w:sz w:val="13"/>
                <w:szCs w:val="13"/>
                <w:color w:val="auto"/>
              </w:rPr>
            </w:pPr>
          </w:p>
        </w:tc>
        <w:tc>
          <w:tcPr>
            <w:tcW w:w="1020" w:type="dxa"/>
            <w:vAlign w:val="bottom"/>
            <w:tcBorders>
              <w:right w:val="single" w:sz="8" w:color="CCEEFF"/>
            </w:tcBorders>
            <w:gridSpan w:val="3"/>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Item 1</w:t>
            </w:r>
          </w:p>
        </w:tc>
        <w:tc>
          <w:tcPr>
            <w:tcW w:w="9120" w:type="dxa"/>
            <w:vAlign w:val="bottom"/>
            <w:gridSpan w:val="13"/>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Legal Proceedings</w:t>
            </w:r>
          </w:p>
        </w:tc>
        <w:tc>
          <w:tcPr>
            <w:tcW w:w="1100" w:type="dxa"/>
            <w:vAlign w:val="bottom"/>
            <w:gridSpan w:val="3"/>
            <w:shd w:val="clear" w:color="auto" w:fill="CCEEFF"/>
          </w:tcPr>
          <w:p>
            <w:pPr>
              <w:jc w:val="center"/>
              <w:ind w:left="50"/>
              <w:spacing w:after="0" w:line="118" w:lineRule="exact"/>
              <w:rPr>
                <w:sz w:val="20"/>
                <w:szCs w:val="20"/>
                <w:color w:val="auto"/>
              </w:rPr>
            </w:pPr>
            <w:r>
              <w:rPr>
                <w:rFonts w:ascii="Times New Roman" w:cs="Times New Roman" w:eastAsia="Times New Roman" w:hAnsi="Times New Roman"/>
                <w:sz w:val="13"/>
                <w:szCs w:val="13"/>
                <w:color w:val="0000FF"/>
              </w:rPr>
              <w:t>39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2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color w:val="0000FF"/>
              </w:rPr>
              <w:t>Item 1A</w:t>
            </w:r>
          </w:p>
        </w:tc>
        <w:tc>
          <w:tcPr>
            <w:tcW w:w="9120" w:type="dxa"/>
            <w:vAlign w:val="bottom"/>
            <w:gridSpan w:val="13"/>
          </w:tcPr>
          <w:p>
            <w:pPr>
              <w:spacing w:after="0" w:line="131" w:lineRule="exact"/>
              <w:rPr>
                <w:sz w:val="20"/>
                <w:szCs w:val="20"/>
                <w:color w:val="auto"/>
              </w:rPr>
            </w:pPr>
            <w:r>
              <w:rPr>
                <w:rFonts w:ascii="Times New Roman" w:cs="Times New Roman" w:eastAsia="Times New Roman" w:hAnsi="Times New Roman"/>
                <w:sz w:val="14"/>
                <w:szCs w:val="14"/>
                <w:color w:val="0000FF"/>
              </w:rPr>
              <w:t>Risk Factors</w:t>
            </w:r>
          </w:p>
        </w:tc>
        <w:tc>
          <w:tcPr>
            <w:tcW w:w="1100" w:type="dxa"/>
            <w:vAlign w:val="bottom"/>
            <w:gridSpan w:val="3"/>
          </w:tcPr>
          <w:p>
            <w:pPr>
              <w:jc w:val="center"/>
              <w:ind w:left="50"/>
              <w:spacing w:after="0" w:line="131" w:lineRule="exact"/>
              <w:rPr>
                <w:sz w:val="20"/>
                <w:szCs w:val="20"/>
                <w:color w:val="auto"/>
              </w:rPr>
            </w:pPr>
            <w:r>
              <w:rPr>
                <w:rFonts w:ascii="Times New Roman" w:cs="Times New Roman" w:eastAsia="Times New Roman" w:hAnsi="Times New Roman"/>
                <w:sz w:val="14"/>
                <w:szCs w:val="14"/>
                <w:color w:val="0000FF"/>
                <w:w w:val="99"/>
              </w:rPr>
              <w:t>39</w:t>
            </w:r>
          </w:p>
        </w:tc>
      </w:tr>
      <w:tr>
        <w:trPr>
          <w:trHeight w:val="26"/>
        </w:trPr>
        <w:tc>
          <w:tcPr>
            <w:tcW w:w="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2</w:t>
            </w:r>
          </w:p>
        </w:tc>
        <w:tc>
          <w:tcPr>
            <w:tcW w:w="560" w:type="dxa"/>
            <w:vAlign w:val="bottom"/>
            <w:tcBorders>
              <w:right w:val="single" w:sz="8" w:color="CCEEFF"/>
            </w:tcBorders>
            <w:shd w:val="clear" w:color="auto" w:fill="CCEEFF"/>
          </w:tcPr>
          <w:p>
            <w:pPr>
              <w:spacing w:after="0"/>
              <w:rPr>
                <w:sz w:val="13"/>
                <w:szCs w:val="13"/>
                <w:color w:val="auto"/>
              </w:rPr>
            </w:pPr>
          </w:p>
        </w:tc>
        <w:tc>
          <w:tcPr>
            <w:tcW w:w="9120" w:type="dxa"/>
            <w:vAlign w:val="bottom"/>
            <w:gridSpan w:val="1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1100" w:type="dxa"/>
            <w:vAlign w:val="bottom"/>
            <w:gridSpan w:val="3"/>
            <w:shd w:val="clear" w:color="auto" w:fill="CCEEFF"/>
          </w:tcPr>
          <w:p>
            <w:pPr>
              <w:jc w:val="center"/>
              <w:ind w:left="50"/>
              <w:spacing w:after="0" w:line="155" w:lineRule="exact"/>
              <w:rPr>
                <w:sz w:val="20"/>
                <w:szCs w:val="20"/>
                <w:color w:val="auto"/>
              </w:rPr>
            </w:pPr>
            <w:r>
              <w:rPr>
                <w:rFonts w:ascii="Times New Roman" w:cs="Times New Roman" w:eastAsia="Times New Roman" w:hAnsi="Times New Roman"/>
                <w:sz w:val="14"/>
                <w:szCs w:val="14"/>
                <w:color w:val="0000FF"/>
                <w:w w:val="99"/>
              </w:rPr>
              <w:t>39</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80" w:type="dxa"/>
            <w:vAlign w:val="bottom"/>
            <w:tcBorders>
              <w:left w:val="single" w:sz="8" w:color="0000FF"/>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58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3</w:t>
            </w:r>
          </w:p>
        </w:tc>
        <w:tc>
          <w:tcPr>
            <w:tcW w:w="9120" w:type="dxa"/>
            <w:vAlign w:val="bottom"/>
            <w:gridSpan w:val="13"/>
          </w:tcPr>
          <w:p>
            <w:pPr>
              <w:spacing w:after="0" w:line="149"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1100" w:type="dxa"/>
            <w:vAlign w:val="bottom"/>
            <w:gridSpan w:val="3"/>
          </w:tcPr>
          <w:p>
            <w:pPr>
              <w:jc w:val="center"/>
              <w:ind w:left="50"/>
              <w:spacing w:after="0" w:line="149" w:lineRule="exact"/>
              <w:rPr>
                <w:sz w:val="20"/>
                <w:szCs w:val="20"/>
                <w:color w:val="auto"/>
              </w:rPr>
            </w:pPr>
            <w:r>
              <w:rPr>
                <w:rFonts w:ascii="Times New Roman" w:cs="Times New Roman" w:eastAsia="Times New Roman" w:hAnsi="Times New Roman"/>
                <w:sz w:val="14"/>
                <w:szCs w:val="14"/>
                <w:color w:val="0000FF"/>
                <w:w w:val="99"/>
              </w:rPr>
              <w:t>39</w:t>
            </w:r>
          </w:p>
        </w:tc>
      </w:tr>
      <w:tr>
        <w:trPr>
          <w:trHeight w:val="26"/>
        </w:trPr>
        <w:tc>
          <w:tcPr>
            <w:tcW w:w="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020" w:type="dxa"/>
            <w:vAlign w:val="bottom"/>
            <w:tcBorders>
              <w:right w:val="single" w:sz="8" w:color="CCEEFF"/>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4</w:t>
            </w:r>
          </w:p>
        </w:tc>
        <w:tc>
          <w:tcPr>
            <w:tcW w:w="9120" w:type="dxa"/>
            <w:vAlign w:val="bottom"/>
            <w:gridSpan w:val="1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Mine Safety Disclosures</w:t>
            </w:r>
          </w:p>
        </w:tc>
        <w:tc>
          <w:tcPr>
            <w:tcW w:w="1100" w:type="dxa"/>
            <w:vAlign w:val="bottom"/>
            <w:gridSpan w:val="3"/>
            <w:shd w:val="clear" w:color="auto" w:fill="CCEEFF"/>
          </w:tcPr>
          <w:p>
            <w:pPr>
              <w:jc w:val="center"/>
              <w:ind w:left="50"/>
              <w:spacing w:after="0" w:line="155" w:lineRule="exact"/>
              <w:rPr>
                <w:sz w:val="20"/>
                <w:szCs w:val="20"/>
                <w:color w:val="auto"/>
              </w:rPr>
            </w:pPr>
            <w:r>
              <w:rPr>
                <w:rFonts w:ascii="Times New Roman" w:cs="Times New Roman" w:eastAsia="Times New Roman" w:hAnsi="Times New Roman"/>
                <w:sz w:val="14"/>
                <w:szCs w:val="14"/>
                <w:color w:val="0000FF"/>
                <w:w w:val="99"/>
              </w:rPr>
              <w:t>39</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80" w:type="dxa"/>
            <w:vAlign w:val="bottom"/>
            <w:tcBorders>
              <w:left w:val="single" w:sz="8" w:color="CCEEFF"/>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58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5</w:t>
            </w:r>
          </w:p>
        </w:tc>
        <w:tc>
          <w:tcPr>
            <w:tcW w:w="9120" w:type="dxa"/>
            <w:vAlign w:val="bottom"/>
            <w:gridSpan w:val="13"/>
          </w:tcPr>
          <w:p>
            <w:pPr>
              <w:spacing w:after="0" w:line="149" w:lineRule="exact"/>
              <w:rPr>
                <w:sz w:val="20"/>
                <w:szCs w:val="20"/>
                <w:color w:val="auto"/>
              </w:rPr>
            </w:pPr>
            <w:r>
              <w:rPr>
                <w:rFonts w:ascii="Times New Roman" w:cs="Times New Roman" w:eastAsia="Times New Roman" w:hAnsi="Times New Roman"/>
                <w:sz w:val="14"/>
                <w:szCs w:val="14"/>
                <w:color w:val="0000FF"/>
              </w:rPr>
              <w:t>Other Information</w:t>
            </w:r>
          </w:p>
        </w:tc>
        <w:tc>
          <w:tcPr>
            <w:tcW w:w="1100" w:type="dxa"/>
            <w:vAlign w:val="bottom"/>
            <w:gridSpan w:val="3"/>
          </w:tcPr>
          <w:p>
            <w:pPr>
              <w:jc w:val="center"/>
              <w:ind w:left="50"/>
              <w:spacing w:after="0" w:line="149" w:lineRule="exact"/>
              <w:rPr>
                <w:sz w:val="20"/>
                <w:szCs w:val="20"/>
                <w:color w:val="auto"/>
              </w:rPr>
            </w:pPr>
            <w:r>
              <w:rPr>
                <w:rFonts w:ascii="Times New Roman" w:cs="Times New Roman" w:eastAsia="Times New Roman" w:hAnsi="Times New Roman"/>
                <w:sz w:val="14"/>
                <w:szCs w:val="14"/>
                <w:color w:val="0000FF"/>
                <w:w w:val="99"/>
              </w:rPr>
              <w:t>39</w:t>
            </w:r>
          </w:p>
        </w:tc>
      </w:tr>
      <w:tr>
        <w:trPr>
          <w:trHeight w:val="26"/>
        </w:trPr>
        <w:tc>
          <w:tcPr>
            <w:tcW w:w="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020" w:type="dxa"/>
            <w:vAlign w:val="bottom"/>
            <w:tcBorders>
              <w:right w:val="single" w:sz="8" w:color="CCEEFF"/>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6</w:t>
            </w:r>
          </w:p>
        </w:tc>
        <w:tc>
          <w:tcPr>
            <w:tcW w:w="9120" w:type="dxa"/>
            <w:vAlign w:val="bottom"/>
            <w:gridSpan w:val="1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Exhibits</w:t>
            </w:r>
          </w:p>
        </w:tc>
        <w:tc>
          <w:tcPr>
            <w:tcW w:w="1100" w:type="dxa"/>
            <w:vAlign w:val="bottom"/>
            <w:gridSpan w:val="3"/>
            <w:shd w:val="clear" w:color="auto" w:fill="CCEEFF"/>
          </w:tcPr>
          <w:p>
            <w:pPr>
              <w:jc w:val="center"/>
              <w:ind w:left="50"/>
              <w:spacing w:after="0" w:line="155" w:lineRule="exact"/>
              <w:rPr>
                <w:sz w:val="20"/>
                <w:szCs w:val="20"/>
                <w:color w:val="auto"/>
              </w:rPr>
            </w:pPr>
            <w:r>
              <w:rPr>
                <w:rFonts w:ascii="Times New Roman" w:cs="Times New Roman" w:eastAsia="Times New Roman" w:hAnsi="Times New Roman"/>
                <w:sz w:val="14"/>
                <w:szCs w:val="14"/>
                <w:color w:val="0000FF"/>
                <w:w w:val="99"/>
              </w:rPr>
              <w:t>40</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80" w:type="dxa"/>
            <w:vAlign w:val="bottom"/>
            <w:tcBorders>
              <w:left w:val="single" w:sz="8" w:color="CCEEFF"/>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58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06" w:lineRule="exact"/>
        <w:rPr>
          <w:sz w:val="20"/>
          <w:szCs w:val="20"/>
          <w:color w:val="auto"/>
        </w:rPr>
      </w:pPr>
    </w:p>
    <w:p>
      <w:pPr>
        <w:ind w:right="380" w:firstLine="127"/>
        <w:spacing w:after="0" w:line="287" w:lineRule="auto"/>
        <w:rPr>
          <w:sz w:val="20"/>
          <w:szCs w:val="20"/>
          <w:color w:val="auto"/>
        </w:rPr>
      </w:pPr>
      <w:r>
        <w:rPr>
          <w:rFonts w:ascii="Times New Roman" w:cs="Times New Roman" w:eastAsia="Times New Roman" w:hAnsi="Times New Roman"/>
          <w:sz w:val="14"/>
          <w:szCs w:val="14"/>
          <w:color w:val="auto"/>
        </w:rPr>
        <w:t>In this Quarterly Report on Form 10-Q for the quarter ended March 31, 2023 (this “Report”), the following terms and abbreviations have the meanings as listed below. Additionally, the terms “LivaNova” and “the Company” refer to LivaNova PLC and its consolidated subsidiaries.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8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8600" w:type="dxa"/>
            <w:vAlign w:val="bottom"/>
          </w:tcPr>
          <w:p>
            <w:pPr>
              <w:ind w:left="4000"/>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171"/>
        </w:trPr>
        <w:tc>
          <w:tcPr>
            <w:tcW w:w="2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 Form 10-K</w:t>
            </w:r>
          </w:p>
        </w:tc>
        <w:tc>
          <w:tcPr>
            <w:tcW w:w="120" w:type="dxa"/>
            <w:vAlign w:val="bottom"/>
            <w:tcBorders>
              <w:top w:val="single" w:sz="8" w:color="CCEEFF"/>
            </w:tcBorders>
            <w:shd w:val="clear" w:color="auto" w:fill="CCEEFF"/>
          </w:tcPr>
          <w:p>
            <w:pPr>
              <w:spacing w:after="0"/>
              <w:rPr>
                <w:sz w:val="14"/>
                <w:szCs w:val="14"/>
                <w:color w:val="auto"/>
              </w:rPr>
            </w:pPr>
          </w:p>
        </w:tc>
        <w:tc>
          <w:tcPr>
            <w:tcW w:w="8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LivaNova PLC’s Annual Report on Form 10-K for the year ended December 31, 2022, filed with the SEC on February 27, 2023</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ACS</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Advanced Circulatory Support</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ALung</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ALung Technologies, Inc.</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AOCI</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w:t>
            </w:r>
          </w:p>
        </w:tc>
      </w:tr>
      <w:tr>
        <w:trPr>
          <w:trHeight w:val="138"/>
        </w:trPr>
        <w:tc>
          <w:tcPr>
            <w:tcW w:w="268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Bridge Loan Facility</w:t>
            </w:r>
          </w:p>
        </w:tc>
        <w:tc>
          <w:tcPr>
            <w:tcW w:w="86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Incremental Facility Amendment No. 1 to the 2021 First Lien Credit Agreement, relating to a €200 million bridge loan facility, dated February 24,</w:t>
            </w:r>
          </w:p>
        </w:tc>
      </w:tr>
      <w:tr>
        <w:trPr>
          <w:trHeight w:val="191"/>
        </w:trPr>
        <w:tc>
          <w:tcPr>
            <w:tcW w:w="2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 and repaid on July 6, 2022</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CEO</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CFO</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CMS</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Centers for Medicare &amp; Medicaid Services</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Court of Appeal</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Court of Appeal in Milan</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Delayed Draw Term Facility</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 million delayed draw term facility under the 2021 First Lien Credit Agreement resulting from the Incremental Facility Amendment No. 2</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DRE</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Drug-resistant epilepsy</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DTD</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Difficult-to-treat depression</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ECJ</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European Court of Justice</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Securities Exchange Act of 1934, as amended</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ECMO</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Extracorporeal membrane oxygenation</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FDA</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Food and Drug Administration</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FDIC</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Deposit Insurance Corporation</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FX</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Hemolung RAS</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Hemolung Respiratory Assist System</w:t>
            </w:r>
          </w:p>
        </w:tc>
      </w:tr>
      <w:tr>
        <w:trPr>
          <w:trHeight w:val="138"/>
        </w:trPr>
        <w:tc>
          <w:tcPr>
            <w:tcW w:w="268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ImThera</w:t>
            </w:r>
          </w:p>
        </w:tc>
        <w:tc>
          <w:tcPr>
            <w:tcW w:w="86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ImThera Medical, Inc., acquired by LivaNova in 2018, a company developing an implantable neurostimulation device system for the treatment of</w:t>
            </w:r>
          </w:p>
        </w:tc>
      </w:tr>
      <w:tr>
        <w:trPr>
          <w:trHeight w:val="187"/>
        </w:trPr>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obstructive sleep apnea</w:t>
            </w:r>
          </w:p>
        </w:tc>
      </w:tr>
      <w:tr>
        <w:trPr>
          <w:trHeight w:val="184"/>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Incremental Facility Amendment No. 2</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 incremental facility amendment to the 2021 First Lien Credit Agreement, dated July 6, 2022</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Initial Term Facility</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$300 million term facility under the 2021 First Lien Credit Agreement resulting from the Incremental Facility Amendment No. 2</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ISIN</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Sub-body of the Italian Ministry of Economic Development</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LivaNova USA</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LivaNova USA, Inc.</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LSM</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LivaNova Site Management S.r.l.</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Mitral</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Mitral Holdco S.à r.l.</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$287.5 million aggregate principal amount of 3.00% senior notes due December 2025, issued June 17, 2020</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NTAP</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Technology Add-on Payment</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OCI</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Order</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Administrative order</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OSA</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Obstructive sleep apnea</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OSPREY clinical trial</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LivaNova’s clinical trial, “Treating Obstructive Sleep Apnea using Targeted Hypoglossal Neurostimulation”</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Administrations</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Italian Ministry of the Environment and other Italian government agencies</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R&amp;D</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r>
      <w:tr>
        <w:trPr>
          <w:trHeight w:val="138"/>
        </w:trPr>
        <w:tc>
          <w:tcPr>
            <w:tcW w:w="268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RECOVER clinical study</w:t>
            </w:r>
          </w:p>
        </w:tc>
        <w:tc>
          <w:tcPr>
            <w:tcW w:w="86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LivaNova’s clinical study “A Prospective, Multi-center, Randomized Controlled Blinded Trial Demonstrating the Safety and Effectiveness of VNS</w:t>
            </w:r>
          </w:p>
        </w:tc>
      </w:tr>
      <w:tr>
        <w:trPr>
          <w:trHeight w:val="191"/>
        </w:trPr>
        <w:tc>
          <w:tcPr>
            <w:tcW w:w="2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Therapy System as Adjunctive Therapy Versus a No Stimulation Control in Subjects With Treatment-Resistant Depression”</w:t>
            </w:r>
          </w:p>
        </w:tc>
      </w:tr>
      <w:tr>
        <w:trPr>
          <w:trHeight w:val="626"/>
        </w:trPr>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3</w:t>
            </w:r>
          </w:p>
        </w:tc>
      </w:tr>
      <w:tr>
        <w:trPr>
          <w:trHeight w:val="182"/>
        </w:trPr>
        <w:tc>
          <w:tcPr>
            <w:tcW w:w="25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86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268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8600" w:type="dxa"/>
            <w:vAlign w:val="bottom"/>
          </w:tcPr>
          <w:p>
            <w:pPr>
              <w:ind w:left="4000"/>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171"/>
        </w:trPr>
        <w:tc>
          <w:tcPr>
            <w:tcW w:w="2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120" w:type="dxa"/>
            <w:vAlign w:val="bottom"/>
          </w:tcPr>
          <w:p>
            <w:pPr>
              <w:spacing w:after="0"/>
              <w:rPr>
                <w:sz w:val="14"/>
                <w:szCs w:val="14"/>
                <w:color w:val="auto"/>
              </w:rPr>
            </w:pPr>
          </w:p>
        </w:tc>
        <w:tc>
          <w:tcPr>
            <w:tcW w:w="8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Service-based restricted stock units</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SARs</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Service-based stock appreciation rights</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Securities and Exchange Commission</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Act</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Securities Act of 1933, as amended</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SG&amp;A</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SNIA</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SNIA S.p.A.</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SNIA Litigation Guarantee</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 first demand bank guarantee of €270.0 million in connection with the SNIA litigation</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Sorin spin-off</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spin-off of Sorin from SNIA in 2004</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SVB</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Silicon Valley Bank</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Term Facilities</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Initial Term Facility together with the Delayed Draw Term Facility</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 of America</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GAAP</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Generally accepted accounting principles in the U.S.</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USD</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dollars</w:t>
            </w:r>
          </w:p>
        </w:tc>
      </w:tr>
    </w:tbl>
    <w:p>
      <w:pPr>
        <w:spacing w:after="0" w:line="333" w:lineRule="exact"/>
        <w:rPr>
          <w:sz w:val="20"/>
          <w:szCs w:val="20"/>
          <w:color w:val="auto"/>
        </w:rPr>
      </w:pPr>
    </w:p>
    <w:p>
      <w:pPr>
        <w:ind w:left="140" w:right="3360" w:firstLine="3361"/>
        <w:spacing w:after="0" w:line="296" w:lineRule="auto"/>
        <w:rPr>
          <w:sz w:val="20"/>
          <w:szCs w:val="20"/>
          <w:color w:val="auto"/>
        </w:rPr>
      </w:pPr>
      <w:r>
        <w:rPr>
          <w:rFonts w:ascii="Times New Roman" w:cs="Times New Roman" w:eastAsia="Times New Roman" w:hAnsi="Times New Roman"/>
          <w:sz w:val="14"/>
          <w:szCs w:val="14"/>
          <w:b w:val="1"/>
          <w:bCs w:val="1"/>
          <w:color w:val="auto"/>
        </w:rPr>
        <w:t xml:space="preserve">INTELLECTUAL PROPERTY, TRADEMARKS AND TRADE NAMES </w:t>
      </w:r>
      <w:r>
        <w:rPr>
          <w:rFonts w:ascii="Times New Roman" w:cs="Times New Roman" w:eastAsia="Times New Roman" w:hAnsi="Times New Roman"/>
          <w:sz w:val="14"/>
          <w:szCs w:val="14"/>
          <w:color w:val="auto"/>
        </w:rPr>
        <w:t>This report may contain references to LivaNova’s proprietary intellectual property, including among others:</w:t>
      </w:r>
    </w:p>
    <w:p>
      <w:pPr>
        <w:spacing w:after="0" w:line="1" w:lineRule="exact"/>
        <w:rPr>
          <w:sz w:val="20"/>
          <w:szCs w:val="20"/>
          <w:color w:val="auto"/>
        </w:rPr>
      </w:pPr>
    </w:p>
    <w:p>
      <w:pPr>
        <w:ind w:left="520" w:right="300" w:hanging="260"/>
        <w:spacing w:after="0" w:line="187" w:lineRule="auto"/>
        <w:tabs>
          <w:tab w:leader="none" w:pos="516"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Trademarks for LivaNova’s Neuromodulation systems, the VNS Therapy</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xml:space="preserve"> System, the VITARIA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xml:space="preserve"> System and LivaNova’s proprietary pulse generator products: Model 102 (Pulse</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Model 102R (Pulse Duo</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Model 103 (Demipulse</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Model 104 (Demipulse Duo</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Model 106 (AspireSR</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Model 1000 (SenTiva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Model 1000-D (SenTiva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xml:space="preserve"> Duo), Model 7103 (VITARIA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xml:space="preserve"> and TitrationAssist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and Model 8103 (Symmetry</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w:t>
      </w:r>
    </w:p>
    <w:p>
      <w:pPr>
        <w:ind w:left="520" w:right="480" w:hanging="260"/>
        <w:spacing w:after="0" w:line="188" w:lineRule="auto"/>
        <w:tabs>
          <w:tab w:leader="none" w:pos="516"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Trademarks for LivaNova’s Cardiopulmonary products and systems: Essenz™, S5</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S3</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S5 Pro™, B-Capta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Inspire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Heartlink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XTRA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3T Heater-Cooler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Connect™ and Revolution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w:t>
      </w:r>
    </w:p>
    <w:p>
      <w:pPr>
        <w:ind w:left="520" w:right="480" w:hanging="260"/>
        <w:spacing w:after="0" w:line="182"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Trademarks for LivaNova’s advanced circulatory support systems: TandemLife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TandemHeart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TandemLung</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ProtekDuo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LifeSPARC™, ALung™, Hemolung™, Respiratory Dialysis™ and ActivMix™.</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Trademarks for LivaNova’s obstructive sleep apnea system: ImThera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and aura6000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w:t>
      </w:r>
    </w:p>
    <w:p>
      <w:pPr>
        <w:spacing w:after="0" w:line="3" w:lineRule="exact"/>
        <w:rPr>
          <w:sz w:val="20"/>
          <w:szCs w:val="20"/>
          <w:color w:val="auto"/>
        </w:rPr>
      </w:pPr>
    </w:p>
    <w:p>
      <w:pPr>
        <w:ind w:right="20" w:firstLine="127"/>
        <w:spacing w:after="0" w:line="211" w:lineRule="auto"/>
        <w:rPr>
          <w:sz w:val="20"/>
          <w:szCs w:val="20"/>
          <w:color w:val="auto"/>
        </w:rPr>
      </w:pPr>
      <w:r>
        <w:rPr>
          <w:rFonts w:ascii="Times New Roman" w:cs="Times New Roman" w:eastAsia="Times New Roman" w:hAnsi="Times New Roman"/>
          <w:sz w:val="14"/>
          <w:szCs w:val="14"/>
          <w:color w:val="auto"/>
        </w:rPr>
        <w:t xml:space="preserve">These trademarks and trade names are the property of LivaNova or the property of LivaNova’s consolidated subsidiaries and are protected under applicable intellectual property laws. Solely for convenience, LivaNova’s trademarks and trade names referred to in this Quarterly Report on Form 10-Q may appear without the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symbol, but such references are not intended to indicate in any way that the Company will not assert, to the fullest extent under applicable law, LivaNova’s rights to these trademarks and trade names.</w:t>
      </w:r>
    </w:p>
    <w:p>
      <w:pPr>
        <w:spacing w:after="0" w:line="3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NOTE ABOUT FORWARD-LOOKING STATEMENTS</w:t>
      </w:r>
    </w:p>
    <w:p>
      <w:pPr>
        <w:spacing w:after="0" w:line="127" w:lineRule="exact"/>
        <w:rPr>
          <w:sz w:val="20"/>
          <w:szCs w:val="20"/>
          <w:color w:val="auto"/>
        </w:rPr>
      </w:pPr>
    </w:p>
    <w:p>
      <w:pPr>
        <w:ind w:firstLine="127"/>
        <w:spacing w:after="0" w:line="265" w:lineRule="auto"/>
        <w:rPr>
          <w:sz w:val="20"/>
          <w:szCs w:val="20"/>
          <w:color w:val="auto"/>
        </w:rPr>
      </w:pPr>
      <w:r>
        <w:rPr>
          <w:rFonts w:ascii="Times New Roman" w:cs="Times New Roman" w:eastAsia="Times New Roman" w:hAnsi="Times New Roman"/>
          <w:sz w:val="14"/>
          <w:szCs w:val="14"/>
          <w:color w:val="auto"/>
        </w:rPr>
        <w:t>Certain statements in this Quarterly Report on Form 10-Q,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Quarterly Report on Form 10-Q, and include, but are not limited to, the following risks and uncertainties: risks related to reductions, interruptions or increasing costs related to the supply of raw materials and components and the distribution of finished products, including as a result of inflation and war; volatility in the global market and worldwide economic conditions, including as caused by the invasion of Ukraine, inflation, foreign exchange fluctuations, changes to existing trade agreements and relationships between the U.S. and other countries including the implementation of sanctions; changes in technology, including the development of superior or alternative technology or devices by competitors and/or competition from providers of alternative medical therapies; failure to obtain approvals or reimbursement in relation to the Company’s products; failure to establish, expand or maintain market acceptance of the Company’s products for the treatment of the Company’s approved indications; failure to develop and commercialize new products and the rate and degree of market acceptance of such products; unfavorable results from clinical studies or failure to meet milestones; failure to comply with, or changes in, laws, regulations or administrative practices affecting government regulation of the Company’s products; risks relating to recalls, enforcement actions or product liability claims; changes or reduction in reimbursement for the Company’s products or failure to comply with rules relating to reimbursement of healthcare goods and services; cyber-attacks or other disruptions to the Company’s information technology systems; costs of complying with privacy and security of personal information requirements and laws; failure to comply with anti-bribery laws; risks associated with environmental laws and regulations as well as environmental liabilities, violations, protest voting and litigation; losses or costs from pending or future lawsuits and governmental investigations, including in the case of the Company’s 3T and SNIA litigations; product liability, intellectual property, shareholder-related, environmental-related, income tax and other litigation, disputes, losses and costs; failure to retain key personnel, prevent labor shortages, or manage labor costs; the failure of the Company’s R&amp;D efforts to keep up with the rapid pace of technological development in the medical device industry; the impact of climate change and the risk of environmental, social and governance pressures from internal and external stakeholders; the risk of quality concerns and the impacts thereof; failure to protect the Company’s proprietary intellectual property; the potential loss of funds resulting from recent and potential future bank failures; COVID-19’s reverberating impacts on the economy, employment, patient behaviors and supply chain, among others; failure of new acquisitions to further the Company’s strategic objectives or strengthen the Company’s existing businesses; the potential for impairments of intangible assets and goodwill; risks relating to the Company’s indebtedness including under the exchangeable senior notes, the Company’s revolving credit facility and the Company’s 2022 Term Facilities, as defined herein; effectiveness of the Company’s internal controls over financial reporting; changes in the Company’s profitability and/or failure to manage costs and expenses; fluctuations in future quarterly operating results and/or variations in revenue and operating expenses relative to estimates; changes in tax laws and regulations, including exposure to additional income tax liabilities; and other unknown or unpredictable factors that could harm the Company’s financial performance.</w:t>
      </w:r>
    </w:p>
    <w:p>
      <w:pPr>
        <w:spacing w:after="0" w:line="232" w:lineRule="exact"/>
        <w:rPr>
          <w:sz w:val="20"/>
          <w:szCs w:val="20"/>
          <w:color w:val="auto"/>
        </w:rPr>
      </w:pPr>
    </w:p>
    <w:p>
      <w:pPr>
        <w:jc w:val="both"/>
        <w:ind w:right="520" w:firstLine="127"/>
        <w:spacing w:after="0" w:line="286" w:lineRule="auto"/>
        <w:rPr>
          <w:sz w:val="20"/>
          <w:szCs w:val="20"/>
          <w:color w:val="auto"/>
        </w:rPr>
      </w:pPr>
      <w:r>
        <w:rPr>
          <w:rFonts w:ascii="Times New Roman" w:cs="Times New Roman" w:eastAsia="Times New Roman" w:hAnsi="Times New Roman"/>
          <w:sz w:val="14"/>
          <w:szCs w:val="14"/>
          <w:color w:val="auto"/>
        </w:rPr>
        <w:t>Other factors that could cause LivaNova’s actual results to differ from projected results are described in (1) “Part II, Item 1A. Risk Factors” and elsewhere in this and the Company’s other Quarterly Reports on Form 10-Q, (2) the Company’s 2022 Form 10-K, (3) the Company’s reports and registration statements filed and furnished from time to time with the SEC and (4) other announcements LivaNova makes from time to time.</w:t>
      </w:r>
    </w:p>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0" w:right="319" w:bottom="1440" w:gutter="0" w:footer="0" w:header="0"/>
        </w:sectPr>
      </w:pPr>
    </w:p>
    <w:bookmarkStart w:id="5" w:name="page6"/>
    <w:bookmarkEnd w:id="5"/>
    <w:p>
      <w:pPr>
        <w:ind w:firstLine="127"/>
        <w:spacing w:after="0" w:line="273" w:lineRule="auto"/>
        <w:rPr>
          <w:sz w:val="20"/>
          <w:szCs w:val="20"/>
          <w:color w:val="auto"/>
        </w:rPr>
      </w:pPr>
      <w:r>
        <w:rPr>
          <w:rFonts w:ascii="Times New Roman" w:cs="Times New Roman" w:eastAsia="Times New Roman" w:hAnsi="Times New Roman"/>
          <w:sz w:val="14"/>
          <w:szCs w:val="14"/>
          <w:color w:val="auto"/>
        </w:rPr>
        <w:t>Readers are cautioned not to place undue reliance on the Company’s forward-looking statements, which speak only as of the date hereof. The Company undertakes no obligation to update or revise any forward-looking statements after the date they are made, whether as a result of new information, future events or otherwise. You should read the following discussion and analysis in conjunction with the Company’s unaudited condensed consolidated financial statements and related notes included elsewhere in this report. Operating results for the three months ended March 31, 2023 are not necessarily indicative of future results, including the full fiscal year. You should also refer to the Company’s “Annual Consolidated Financial Statements,” “Notes” thereto, “Management’s Discussion and Analysis of Financial Condition and Results of Operations” and “Risk Factors” contained in LivaNova’s 2022 Form 10-K and in the Company’s Quarterly Reports on Form 10-Q.</w:t>
      </w:r>
    </w:p>
    <w:p>
      <w:pPr>
        <w:spacing w:after="0" w:line="9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Financial Information and Currency of Financial Statements</w:t>
      </w:r>
    </w:p>
    <w:p>
      <w:pPr>
        <w:spacing w:after="0" w:line="127" w:lineRule="exact"/>
        <w:rPr>
          <w:sz w:val="20"/>
          <w:szCs w:val="20"/>
          <w:color w:val="auto"/>
        </w:rPr>
      </w:pPr>
    </w:p>
    <w:p>
      <w:pPr>
        <w:ind w:right="360" w:firstLine="127"/>
        <w:spacing w:after="0" w:line="303" w:lineRule="auto"/>
        <w:rPr>
          <w:sz w:val="20"/>
          <w:szCs w:val="20"/>
          <w:color w:val="auto"/>
        </w:rPr>
      </w:pPr>
      <w:r>
        <w:rPr>
          <w:rFonts w:ascii="Times New Roman" w:cs="Times New Roman" w:eastAsia="Times New Roman" w:hAnsi="Times New Roman"/>
          <w:sz w:val="14"/>
          <w:szCs w:val="14"/>
          <w:color w:val="auto"/>
        </w:rPr>
        <w:t>All of the financial information included in this quarterly report has been prepared in accordance with U.S. GAAP. The reporting currency of the Company’s condensed consolidated financial statements is USD.</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Financial Statements</w:t>
      </w:r>
    </w:p>
    <w:p>
      <w:pPr>
        <w:spacing w:after="0" w:line="5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LIVANOVA PLC AND SUBSIDIARIES</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INCOME</w:t>
      </w:r>
    </w:p>
    <w:p>
      <w:pPr>
        <w:spacing w:after="0" w:line="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(In thousands, except per share amounts)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tcPr>
          <w:p>
            <w:pPr>
              <w:spacing w:after="0"/>
              <w:rPr>
                <w:sz w:val="16"/>
                <w:szCs w:val="16"/>
                <w:color w:val="auto"/>
              </w:rPr>
            </w:pPr>
          </w:p>
        </w:tc>
        <w:tc>
          <w:tcPr>
            <w:tcW w:w="3340" w:type="dxa"/>
            <w:vAlign w:val="bottom"/>
            <w:tcBorders>
              <w:bottom w:val="single" w:sz="8" w:color="auto"/>
            </w:tcBorders>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171"/>
        </w:trPr>
        <w:tc>
          <w:tcPr>
            <w:tcW w:w="72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r>
      <w:tr>
        <w:trPr>
          <w:trHeight w:val="17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128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263,418</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240,175</w:t>
            </w:r>
          </w:p>
        </w:tc>
      </w:tr>
      <w:tr>
        <w:trPr>
          <w:trHeight w:val="18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89,335</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71,732</w:t>
            </w:r>
          </w:p>
        </w:tc>
      </w:tr>
      <w:tr>
        <w:trPr>
          <w:trHeight w:val="171"/>
        </w:trPr>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Gross profit</w:t>
            </w:r>
          </w:p>
        </w:tc>
        <w:tc>
          <w:tcPr>
            <w:tcW w:w="1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174,083</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168,443</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0"/>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124,129</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118,525</w:t>
            </w:r>
          </w:p>
        </w:tc>
      </w:tr>
      <w:tr>
        <w:trPr>
          <w:trHeight w:val="180"/>
        </w:trPr>
        <w:tc>
          <w:tcPr>
            <w:tcW w:w="7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49,986</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40,918</w:t>
            </w:r>
          </w:p>
        </w:tc>
      </w:tr>
      <w:tr>
        <w:trPr>
          <w:trHeight w:val="180"/>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expense</w:t>
            </w:r>
          </w:p>
        </w:tc>
        <w:tc>
          <w:tcPr>
            <w:tcW w:w="1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10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r>
      <w:tr>
        <w:trPr>
          <w:trHeight w:val="171"/>
        </w:trPr>
        <w:tc>
          <w:tcPr>
            <w:tcW w:w="7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(loss) income</w:t>
            </w:r>
          </w:p>
        </w:tc>
        <w:tc>
          <w:tcPr>
            <w:tcW w:w="1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9,505</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(13,437)</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(7,840)</w:t>
            </w:r>
          </w:p>
        </w:tc>
      </w:tr>
      <w:tr>
        <w:trPr>
          <w:trHeight w:val="18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25,547</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3,904</w:t>
            </w:r>
          </w:p>
        </w:tc>
      </w:tr>
      <w:tr>
        <w:trPr>
          <w:trHeight w:val="171"/>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before tax</w:t>
            </w:r>
          </w:p>
        </w:tc>
        <w:tc>
          <w:tcPr>
            <w:tcW w:w="1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9,768</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5,569</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from equity method investments</w:t>
            </w:r>
          </w:p>
        </w:tc>
        <w:tc>
          <w:tcPr>
            <w:tcW w:w="1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71"/>
        </w:trPr>
        <w:tc>
          <w:tcPr>
            <w:tcW w:w="7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280" w:type="dxa"/>
            <w:vAlign w:val="bottom"/>
            <w:tcBorders>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7,370</w:t>
            </w:r>
          </w:p>
        </w:tc>
        <w:tc>
          <w:tcPr>
            <w:tcW w:w="100" w:type="dxa"/>
            <w:vAlign w:val="bottom"/>
          </w:tcPr>
          <w:p>
            <w:pPr>
              <w:spacing w:after="0"/>
              <w:rPr>
                <w:sz w:val="14"/>
                <w:szCs w:val="14"/>
                <w:color w:val="auto"/>
              </w:rPr>
            </w:pPr>
          </w:p>
        </w:tc>
        <w:tc>
          <w:tcPr>
            <w:tcW w:w="1280" w:type="dxa"/>
            <w:vAlign w:val="bottom"/>
            <w:tcBorders>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2,993</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73"/>
        </w:trPr>
        <w:tc>
          <w:tcPr>
            <w:tcW w:w="7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income per share</w:t>
            </w:r>
          </w:p>
        </w:tc>
        <w:tc>
          <w:tcPr>
            <w:tcW w:w="1280" w:type="dxa"/>
            <w:vAlign w:val="bottom"/>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tcPr>
          <w:p>
            <w:pPr>
              <w:spacing w:after="0"/>
              <w:rPr>
                <w:sz w:val="15"/>
                <w:szCs w:val="15"/>
                <w:color w:val="auto"/>
              </w:rPr>
            </w:pPr>
          </w:p>
        </w:tc>
        <w:tc>
          <w:tcPr>
            <w:tcW w:w="1280" w:type="dxa"/>
            <w:vAlign w:val="bottom"/>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income per share</w:t>
            </w:r>
          </w:p>
        </w:tc>
        <w:tc>
          <w:tcPr>
            <w:tcW w:w="128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r>
      <w:tr>
        <w:trPr>
          <w:trHeight w:val="212"/>
        </w:trPr>
        <w:tc>
          <w:tcPr>
            <w:tcW w:w="7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used in computing basic income per share</w:t>
            </w: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53,617</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53,300</w:t>
            </w:r>
          </w:p>
        </w:tc>
      </w:tr>
      <w:tr>
        <w:trPr>
          <w:trHeight w:val="184"/>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used in computing diluted income per share</w:t>
            </w:r>
          </w:p>
        </w:tc>
        <w:tc>
          <w:tcPr>
            <w:tcW w:w="1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53,900</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54,176</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7" w:name="page8"/>
    <w:bookmarkEnd w:id="7"/>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LIVANOVA PLC AND SUBSIDIARIES</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 (LOSS)</w:t>
      </w:r>
    </w:p>
    <w:p>
      <w:pPr>
        <w:spacing w:after="0" w:line="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80" w:type="dxa"/>
            <w:vAlign w:val="bottom"/>
          </w:tcPr>
          <w:p>
            <w:pPr>
              <w:spacing w:after="0"/>
              <w:rPr>
                <w:sz w:val="16"/>
                <w:szCs w:val="16"/>
                <w:color w:val="auto"/>
              </w:rPr>
            </w:pPr>
          </w:p>
        </w:tc>
        <w:tc>
          <w:tcPr>
            <w:tcW w:w="3360" w:type="dxa"/>
            <w:vAlign w:val="bottom"/>
            <w:tcBorders>
              <w:bottom w:val="single" w:sz="8" w:color="auto"/>
            </w:tcBorders>
            <w:gridSpan w:val="4"/>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r>
      <w:tr>
        <w:trPr>
          <w:trHeight w:val="171"/>
        </w:trPr>
        <w:tc>
          <w:tcPr>
            <w:tcW w:w="72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r>
      <w:tr>
        <w:trPr>
          <w:trHeight w:val="171"/>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20" w:type="dxa"/>
            <w:vAlign w:val="bottom"/>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7,370</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w:t>
            </w: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unrealized loss on derivatives</w:t>
            </w:r>
          </w:p>
        </w:tc>
        <w:tc>
          <w:tcPr>
            <w:tcW w:w="1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r>
      <w:tr>
        <w:trPr>
          <w:trHeight w:val="180"/>
        </w:trPr>
        <w:tc>
          <w:tcPr>
            <w:tcW w:w="7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effect</w:t>
            </w:r>
          </w:p>
        </w:tc>
        <w:tc>
          <w:tcPr>
            <w:tcW w:w="13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2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of tax</w:t>
            </w:r>
          </w:p>
        </w:tc>
        <w:tc>
          <w:tcPr>
            <w:tcW w:w="13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r>
      <w:tr>
        <w:trPr>
          <w:trHeight w:val="180"/>
        </w:trPr>
        <w:tc>
          <w:tcPr>
            <w:tcW w:w="72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8,053</w:t>
            </w:r>
          </w:p>
        </w:tc>
        <w:tc>
          <w:tcPr>
            <w:tcW w:w="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(8,260)</w:t>
            </w:r>
          </w:p>
        </w:tc>
      </w:tr>
      <w:tr>
        <w:trPr>
          <w:trHeight w:val="171"/>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13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7,087</w:t>
            </w:r>
          </w:p>
        </w:tc>
        <w:tc>
          <w:tcPr>
            <w:tcW w:w="8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(8,955)</w:t>
            </w:r>
          </w:p>
        </w:tc>
      </w:tr>
      <w:tr>
        <w:trPr>
          <w:trHeight w:val="17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32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14,457</w:t>
            </w:r>
          </w:p>
        </w:tc>
        <w:tc>
          <w:tcPr>
            <w:tcW w:w="80" w:type="dxa"/>
            <w:vAlign w:val="bottom"/>
          </w:tcPr>
          <w:p>
            <w:pPr>
              <w:spacing w:after="0"/>
              <w:rPr>
                <w:sz w:val="14"/>
                <w:szCs w:val="14"/>
                <w:color w:val="auto"/>
              </w:rPr>
            </w:pPr>
          </w:p>
        </w:tc>
        <w:tc>
          <w:tcPr>
            <w:tcW w:w="132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(5,962)</w:t>
            </w:r>
          </w:p>
        </w:tc>
      </w:tr>
      <w:tr>
        <w:trPr>
          <w:trHeight w:val="20"/>
        </w:trPr>
        <w:tc>
          <w:tcPr>
            <w:tcW w:w="7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8" w:name="page9"/>
    <w:bookmarkEnd w:id="8"/>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LIVANOVA PLC AND SUBSIDIARIES</w:t>
      </w:r>
    </w:p>
    <w:p>
      <w:pPr>
        <w:jc w:val="center"/>
        <w:ind w:right="-139"/>
        <w:spacing w:after="0" w:line="221" w:lineRule="auto"/>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jc w:val="center"/>
        <w:ind w:right="-139"/>
        <w:spacing w:after="0" w:line="208" w:lineRule="auto"/>
        <w:rPr>
          <w:sz w:val="20"/>
          <w:szCs w:val="20"/>
          <w:color w:val="auto"/>
        </w:rPr>
      </w:pPr>
      <w:r>
        <w:rPr>
          <w:rFonts w:ascii="Times New Roman" w:cs="Times New Roman" w:eastAsia="Times New Roman" w:hAnsi="Times New Roman"/>
          <w:sz w:val="14"/>
          <w:szCs w:val="14"/>
          <w:b w:val="1"/>
          <w:bCs w:val="1"/>
          <w:color w:val="auto"/>
        </w:rPr>
        <w:t>(UNAUDITED)</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(In thousands, except share amounts)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Pr>
          <w:p>
            <w:pPr>
              <w:spacing w:after="0"/>
              <w:rPr>
                <w:sz w:val="16"/>
                <w:szCs w:val="16"/>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40" w:type="dxa"/>
            <w:vAlign w:val="bottom"/>
          </w:tcPr>
          <w:p>
            <w:pPr>
              <w:spacing w:after="0"/>
              <w:rPr>
                <w:sz w:val="16"/>
                <w:szCs w:val="16"/>
                <w:color w:val="auto"/>
              </w:rPr>
            </w:pPr>
          </w:p>
        </w:tc>
        <w:tc>
          <w:tcPr>
            <w:tcW w:w="17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58"/>
        </w:trPr>
        <w:tc>
          <w:tcPr>
            <w:tcW w:w="7300" w:type="dxa"/>
            <w:vAlign w:val="bottom"/>
            <w:vMerge w:val="continue"/>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Current Assets:</w:t>
            </w: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214,340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214,172</w:t>
            </w:r>
          </w:p>
        </w:tc>
        <w:tc>
          <w:tcPr>
            <w:tcW w:w="0" w:type="dxa"/>
            <w:vAlign w:val="bottom"/>
          </w:tcPr>
          <w:p>
            <w:pPr>
              <w:spacing w:after="0"/>
              <w:rPr>
                <w:sz w:val="1"/>
                <w:szCs w:val="1"/>
                <w:color w:val="auto"/>
              </w:rPr>
            </w:pPr>
          </w:p>
        </w:tc>
      </w:tr>
      <w:tr>
        <w:trPr>
          <w:trHeight w:val="168"/>
        </w:trPr>
        <w:tc>
          <w:tcPr>
            <w:tcW w:w="7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Restricted cash</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308,618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301,446</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receivable, net of allowance of $11,487 at March 31, 2023 and $11,862 at December 31, 2022</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178,318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183,110</w:t>
            </w:r>
          </w:p>
        </w:tc>
        <w:tc>
          <w:tcPr>
            <w:tcW w:w="0" w:type="dxa"/>
            <w:vAlign w:val="bottom"/>
          </w:tcPr>
          <w:p>
            <w:pPr>
              <w:spacing w:after="0"/>
              <w:rPr>
                <w:sz w:val="1"/>
                <w:szCs w:val="1"/>
                <w:color w:val="auto"/>
              </w:rPr>
            </w:pPr>
          </w:p>
        </w:tc>
      </w:tr>
      <w:tr>
        <w:trPr>
          <w:trHeight w:val="168"/>
        </w:trPr>
        <w:tc>
          <w:tcPr>
            <w:tcW w:w="7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Inventories</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142,453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129,379</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Prepaid and refundable taxes</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24,342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31,708</w:t>
            </w:r>
          </w:p>
        </w:tc>
        <w:tc>
          <w:tcPr>
            <w:tcW w:w="0" w:type="dxa"/>
            <w:vAlign w:val="bottom"/>
          </w:tcPr>
          <w:p>
            <w:pPr>
              <w:spacing w:after="0"/>
              <w:rPr>
                <w:sz w:val="1"/>
                <w:szCs w:val="1"/>
                <w:color w:val="auto"/>
              </w:rPr>
            </w:pPr>
          </w:p>
        </w:tc>
      </w:tr>
      <w:tr>
        <w:trPr>
          <w:trHeight w:val="168"/>
        </w:trPr>
        <w:tc>
          <w:tcPr>
            <w:tcW w:w="7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34,946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26,321</w:t>
            </w: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Current Assets</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903,017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886,136</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149,060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147,187</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774,447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768,787</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364,056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368,559</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assets</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36,339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35,830</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21,471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16,266</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1,384</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derivative assets</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31,014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54,393</w:t>
            </w:r>
          </w:p>
        </w:tc>
        <w:tc>
          <w:tcPr>
            <w:tcW w:w="0" w:type="dxa"/>
            <w:vAlign w:val="bottom"/>
          </w:tcPr>
          <w:p>
            <w:pPr>
              <w:spacing w:after="0"/>
              <w:rPr>
                <w:sz w:val="1"/>
                <w:szCs w:val="1"/>
                <w:color w:val="auto"/>
              </w:rPr>
            </w:pPr>
          </w:p>
        </w:tc>
      </w:tr>
      <w:tr>
        <w:trPr>
          <w:trHeight w:val="17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30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13,951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16,231</w:t>
            </w:r>
          </w:p>
        </w:tc>
        <w:tc>
          <w:tcPr>
            <w:tcW w:w="0" w:type="dxa"/>
            <w:vAlign w:val="bottom"/>
          </w:tcPr>
          <w:p>
            <w:pPr>
              <w:spacing w:after="0"/>
              <w:rPr>
                <w:sz w:val="1"/>
                <w:szCs w:val="1"/>
                <w:color w:val="auto"/>
              </w:rPr>
            </w:pPr>
          </w:p>
        </w:tc>
      </w:tr>
      <w:tr>
        <w:trPr>
          <w:trHeight w:val="163"/>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Assets</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2,294,888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2,294,773</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Current Liabilities:</w:t>
            </w: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debt obligations</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22,297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23,434</w:t>
            </w:r>
          </w:p>
        </w:tc>
        <w:tc>
          <w:tcPr>
            <w:tcW w:w="0" w:type="dxa"/>
            <w:vAlign w:val="bottom"/>
          </w:tcPr>
          <w:p>
            <w:pPr>
              <w:spacing w:after="0"/>
              <w:rPr>
                <w:sz w:val="1"/>
                <w:szCs w:val="1"/>
                <w:color w:val="auto"/>
              </w:rPr>
            </w:pPr>
          </w:p>
        </w:tc>
      </w:tr>
      <w:tr>
        <w:trPr>
          <w:trHeight w:val="168"/>
        </w:trPr>
        <w:tc>
          <w:tcPr>
            <w:tcW w:w="7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74,310</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liabilities and other</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96,353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81,481</w:t>
            </w:r>
          </w:p>
        </w:tc>
        <w:tc>
          <w:tcPr>
            <w:tcW w:w="0" w:type="dxa"/>
            <w:vAlign w:val="bottom"/>
          </w:tcPr>
          <w:p>
            <w:pPr>
              <w:spacing w:after="0"/>
              <w:rPr>
                <w:sz w:val="1"/>
                <w:szCs w:val="1"/>
                <w:color w:val="auto"/>
              </w:rPr>
            </w:pPr>
          </w:p>
        </w:tc>
      </w:tr>
      <w:tr>
        <w:trPr>
          <w:trHeight w:val="168"/>
        </w:trPr>
        <w:tc>
          <w:tcPr>
            <w:tcW w:w="7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litigation provision liability</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19,311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29,481</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payable</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22,279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16,505</w:t>
            </w:r>
          </w:p>
        </w:tc>
        <w:tc>
          <w:tcPr>
            <w:tcW w:w="0" w:type="dxa"/>
            <w:vAlign w:val="bottom"/>
          </w:tcPr>
          <w:p>
            <w:pPr>
              <w:spacing w:after="0"/>
              <w:rPr>
                <w:sz w:val="1"/>
                <w:szCs w:val="1"/>
                <w:color w:val="auto"/>
              </w:rPr>
            </w:pPr>
          </w:p>
        </w:tc>
      </w:tr>
      <w:tr>
        <w:trPr>
          <w:trHeight w:val="168"/>
        </w:trPr>
        <w:tc>
          <w:tcPr>
            <w:tcW w:w="7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Accrued employee compensation and related benefits</w:t>
            </w: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80,159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72,187</w:t>
            </w: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316,129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297,398</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debt obligations</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520,201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518,067</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Contingent consideration</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90,119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85,292</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liabilities</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8,516</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28,782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29,548</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employee compensation and related benefits</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16,134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16,804</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derivative liabilities</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41,285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85,675</w:t>
            </w:r>
          </w:p>
        </w:tc>
        <w:tc>
          <w:tcPr>
            <w:tcW w:w="0" w:type="dxa"/>
            <w:vAlign w:val="bottom"/>
          </w:tcPr>
          <w:p>
            <w:pPr>
              <w:spacing w:after="0"/>
              <w:rPr>
                <w:sz w:val="1"/>
                <w:szCs w:val="1"/>
                <w:color w:val="auto"/>
              </w:rPr>
            </w:pPr>
          </w:p>
        </w:tc>
      </w:tr>
      <w:tr>
        <w:trPr>
          <w:trHeight w:val="168"/>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46,270</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45,849</w:t>
            </w: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Liabilities</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1,067,547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1,087,149</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6)</w:t>
            </w: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Stockholders’ Equity:</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3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Ordinary Shares, £1.00 par value: unlimited shares authorized; 53,854,241 shares issued and 53,763,715 shares outstanding at March 31,</w:t>
            </w:r>
          </w:p>
        </w:tc>
        <w:tc>
          <w:tcPr>
            <w:tcW w:w="300" w:type="dxa"/>
            <w:vAlign w:val="bottom"/>
          </w:tcPr>
          <w:p>
            <w:pPr>
              <w:spacing w:after="0"/>
              <w:rPr>
                <w:sz w:val="11"/>
                <w:szCs w:val="11"/>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82,424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82,424</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2023; 53,851,979 shares issued and 53,564,664 shares outstanding at December 31, 2022</w:t>
            </w:r>
          </w:p>
        </w:tc>
        <w:tc>
          <w:tcPr>
            <w:tcW w:w="3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2,162,928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2,157,724</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(48,119)</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(976,660)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(984,030)</w:t>
            </w:r>
          </w:p>
        </w:tc>
        <w:tc>
          <w:tcPr>
            <w:tcW w:w="0" w:type="dxa"/>
            <w:vAlign w:val="bottom"/>
          </w:tcPr>
          <w:p>
            <w:pPr>
              <w:spacing w:after="0"/>
              <w:rPr>
                <w:sz w:val="1"/>
                <w:szCs w:val="1"/>
                <w:color w:val="auto"/>
              </w:rPr>
            </w:pPr>
          </w:p>
        </w:tc>
      </w:tr>
      <w:tr>
        <w:trPr>
          <w:trHeight w:val="168"/>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Treasury stock at cost, 90,526 ordinary shares at March 31, 2023; 287,315 ordinary shares at December 31, 2022</w:t>
            </w: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0" w:type="dxa"/>
            <w:vAlign w:val="bottom"/>
          </w:tcPr>
          <w:p>
            <w:pPr>
              <w:spacing w:after="0"/>
              <w:rPr>
                <w:sz w:val="1"/>
                <w:szCs w:val="1"/>
                <w:color w:val="auto"/>
              </w:rPr>
            </w:pPr>
          </w:p>
        </w:tc>
      </w:tr>
      <w:tr>
        <w:trPr>
          <w:trHeight w:val="160"/>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30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1,227,341</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1,207,624</w:t>
            </w:r>
          </w:p>
        </w:tc>
        <w:tc>
          <w:tcPr>
            <w:tcW w:w="0" w:type="dxa"/>
            <w:vAlign w:val="bottom"/>
          </w:tcPr>
          <w:p>
            <w:pPr>
              <w:spacing w:after="0"/>
              <w:rPr>
                <w:sz w:val="1"/>
                <w:szCs w:val="1"/>
                <w:color w:val="auto"/>
              </w:rPr>
            </w:pPr>
          </w:p>
        </w:tc>
      </w:tr>
      <w:tr>
        <w:trPr>
          <w:trHeight w:val="163"/>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2,294,888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2,294,773</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16"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0"/>
        </w:trPr>
        <w:tc>
          <w:tcPr>
            <w:tcW w:w="4220" w:type="dxa"/>
            <w:vAlign w:val="bottom"/>
          </w:tcPr>
          <w:p>
            <w:pPr>
              <w:spacing w:after="0"/>
              <w:rPr>
                <w:sz w:val="15"/>
                <w:szCs w:val="15"/>
                <w:color w:val="auto"/>
              </w:rPr>
            </w:pPr>
          </w:p>
        </w:tc>
        <w:tc>
          <w:tcPr>
            <w:tcW w:w="4380" w:type="dxa"/>
            <w:vAlign w:val="bottom"/>
            <w:gridSpan w:val="2"/>
          </w:tcPr>
          <w:p>
            <w:pPr>
              <w:jc w:val="center"/>
              <w:ind w:right="1332"/>
              <w:spacing w:after="0"/>
              <w:rPr>
                <w:sz w:val="20"/>
                <w:szCs w:val="20"/>
                <w:color w:val="auto"/>
              </w:rPr>
            </w:pPr>
            <w:r>
              <w:rPr>
                <w:rFonts w:ascii="Times New Roman" w:cs="Times New Roman" w:eastAsia="Times New Roman" w:hAnsi="Times New Roman"/>
                <w:sz w:val="14"/>
                <w:szCs w:val="14"/>
                <w:b w:val="1"/>
                <w:bCs w:val="1"/>
                <w:color w:val="auto"/>
                <w:w w:val="99"/>
              </w:rPr>
              <w:t>LIVANOVA PLC AND SUBSIDIARIES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600" w:type="dxa"/>
            <w:vAlign w:val="bottom"/>
            <w:gridSpan w:val="3"/>
          </w:tcPr>
          <w:p>
            <w:pPr>
              <w:jc w:val="center"/>
              <w:ind w:left="2756"/>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220" w:type="dxa"/>
            <w:vAlign w:val="bottom"/>
          </w:tcPr>
          <w:p>
            <w:pPr>
              <w:spacing w:after="0"/>
              <w:rPr>
                <w:sz w:val="16"/>
                <w:szCs w:val="16"/>
                <w:color w:val="auto"/>
              </w:rPr>
            </w:pPr>
          </w:p>
        </w:tc>
        <w:tc>
          <w:tcPr>
            <w:tcW w:w="4380" w:type="dxa"/>
            <w:vAlign w:val="bottom"/>
            <w:gridSpan w:val="2"/>
          </w:tcPr>
          <w:p>
            <w:pPr>
              <w:jc w:val="center"/>
              <w:ind w:right="1332"/>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20" w:type="dxa"/>
            <w:vAlign w:val="bottom"/>
          </w:tcPr>
          <w:p>
            <w:pPr>
              <w:spacing w:after="0"/>
              <w:rPr>
                <w:sz w:val="16"/>
                <w:szCs w:val="16"/>
                <w:color w:val="auto"/>
              </w:rPr>
            </w:pPr>
          </w:p>
        </w:tc>
        <w:tc>
          <w:tcPr>
            <w:tcW w:w="4380" w:type="dxa"/>
            <w:vAlign w:val="bottom"/>
            <w:gridSpan w:val="2"/>
          </w:tcPr>
          <w:p>
            <w:pPr>
              <w:jc w:val="center"/>
              <w:ind w:right="135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34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3080" w:type="dxa"/>
            <w:vAlign w:val="bottom"/>
          </w:tcPr>
          <w:p>
            <w:pPr>
              <w:spacing w:after="0"/>
              <w:rPr>
                <w:sz w:val="14"/>
                <w:szCs w:val="14"/>
                <w:color w:val="auto"/>
              </w:rPr>
            </w:pPr>
          </w:p>
        </w:tc>
        <w:tc>
          <w:tcPr>
            <w:tcW w:w="1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20" w:type="dxa"/>
            <w:vAlign w:val="bottom"/>
            <w:vMerge w:val="continue"/>
          </w:tcPr>
          <w:p>
            <w:pPr>
              <w:spacing w:after="0"/>
              <w:rPr>
                <w:sz w:val="12"/>
                <w:szCs w:val="12"/>
                <w:color w:val="auto"/>
              </w:rPr>
            </w:pPr>
          </w:p>
        </w:tc>
        <w:tc>
          <w:tcPr>
            <w:tcW w:w="3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4380" w:type="dxa"/>
            <w:vAlign w:val="bottom"/>
            <w:gridSpan w:val="2"/>
            <w:shd w:val="clear" w:color="auto" w:fill="CCEEFF"/>
          </w:tcPr>
          <w:p>
            <w:pPr>
              <w:jc w:val="right"/>
              <w:ind w:right="1152"/>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7,370</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5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2,993</w:t>
            </w:r>
          </w:p>
        </w:tc>
        <w:tc>
          <w:tcPr>
            <w:tcW w:w="0" w:type="dxa"/>
            <w:vAlign w:val="bottom"/>
          </w:tcPr>
          <w:p>
            <w:pPr>
              <w:spacing w:after="0"/>
              <w:rPr>
                <w:sz w:val="1"/>
                <w:szCs w:val="1"/>
                <w:color w:val="auto"/>
              </w:rPr>
            </w:pPr>
          </w:p>
        </w:tc>
      </w:tr>
      <w:tr>
        <w:trPr>
          <w:trHeight w:val="168"/>
        </w:trPr>
        <w:tc>
          <w:tcPr>
            <w:tcW w:w="4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Non-cash items included in net income:</w:t>
            </w:r>
          </w:p>
        </w:tc>
        <w:tc>
          <w:tcPr>
            <w:tcW w:w="3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Remeasurement of derivative instruments</w:t>
            </w:r>
          </w:p>
        </w:tc>
        <w:tc>
          <w:tcPr>
            <w:tcW w:w="30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(26,281)</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w:t>
            </w:r>
          </w:p>
        </w:tc>
        <w:tc>
          <w:tcPr>
            <w:tcW w:w="0" w:type="dxa"/>
            <w:vAlign w:val="bottom"/>
          </w:tcPr>
          <w:p>
            <w:pPr>
              <w:spacing w:after="0"/>
              <w:rPr>
                <w:sz w:val="1"/>
                <w:szCs w:val="1"/>
                <w:color w:val="auto"/>
              </w:rPr>
            </w:pPr>
          </w:p>
        </w:tc>
      </w:tr>
      <w:tr>
        <w:trPr>
          <w:trHeight w:val="168"/>
        </w:trPr>
        <w:tc>
          <w:tcPr>
            <w:tcW w:w="4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3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10,579</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10,256</w:t>
            </w: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Amortization</w:t>
            </w:r>
          </w:p>
        </w:tc>
        <w:tc>
          <w:tcPr>
            <w:tcW w:w="30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6,355</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6,465</w:t>
            </w:r>
          </w:p>
        </w:tc>
        <w:tc>
          <w:tcPr>
            <w:tcW w:w="0" w:type="dxa"/>
            <w:vAlign w:val="bottom"/>
          </w:tcPr>
          <w:p>
            <w:pPr>
              <w:spacing w:after="0"/>
              <w:rPr>
                <w:sz w:val="1"/>
                <w:szCs w:val="1"/>
                <w:color w:val="auto"/>
              </w:rPr>
            </w:pPr>
          </w:p>
        </w:tc>
      </w:tr>
      <w:tr>
        <w:trPr>
          <w:trHeight w:val="168"/>
        </w:trPr>
        <w:tc>
          <w:tcPr>
            <w:tcW w:w="4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Depreciation</w:t>
            </w:r>
          </w:p>
        </w:tc>
        <w:tc>
          <w:tcPr>
            <w:tcW w:w="3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5,956</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5,626</w:t>
            </w: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30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5,019</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4,412</w:t>
            </w:r>
          </w:p>
        </w:tc>
        <w:tc>
          <w:tcPr>
            <w:tcW w:w="0" w:type="dxa"/>
            <w:vAlign w:val="bottom"/>
          </w:tcPr>
          <w:p>
            <w:pPr>
              <w:spacing w:after="0"/>
              <w:rPr>
                <w:sz w:val="1"/>
                <w:szCs w:val="1"/>
                <w:color w:val="auto"/>
              </w:rPr>
            </w:pPr>
          </w:p>
        </w:tc>
      </w:tr>
      <w:tr>
        <w:trPr>
          <w:trHeight w:val="168"/>
        </w:trPr>
        <w:tc>
          <w:tcPr>
            <w:tcW w:w="4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Remeasurement of contingent consideration to fair value</w:t>
            </w:r>
          </w:p>
        </w:tc>
        <w:tc>
          <w:tcPr>
            <w:tcW w:w="3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4,827</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(3,773)</w:t>
            </w: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Amortization of operating lease assets</w:t>
            </w:r>
          </w:p>
        </w:tc>
        <w:tc>
          <w:tcPr>
            <w:tcW w:w="30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2,642</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2,653</w:t>
            </w:r>
          </w:p>
        </w:tc>
        <w:tc>
          <w:tcPr>
            <w:tcW w:w="0" w:type="dxa"/>
            <w:vAlign w:val="bottom"/>
          </w:tcPr>
          <w:p>
            <w:pPr>
              <w:spacing w:after="0"/>
              <w:rPr>
                <w:sz w:val="1"/>
                <w:szCs w:val="1"/>
                <w:color w:val="auto"/>
              </w:rPr>
            </w:pPr>
          </w:p>
        </w:tc>
      </w:tr>
      <w:tr>
        <w:trPr>
          <w:trHeight w:val="168"/>
        </w:trPr>
        <w:tc>
          <w:tcPr>
            <w:tcW w:w="4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3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Changes in operating assets and liabilities:</w:t>
            </w:r>
          </w:p>
        </w:tc>
        <w:tc>
          <w:tcPr>
            <w:tcW w:w="30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receivable, net</w:t>
            </w:r>
          </w:p>
        </w:tc>
        <w:tc>
          <w:tcPr>
            <w:tcW w:w="3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7,558</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1,494</w:t>
            </w: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Inventories</w:t>
            </w:r>
          </w:p>
        </w:tc>
        <w:tc>
          <w:tcPr>
            <w:tcW w:w="30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(11,342)</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(9,637)</w:t>
            </w: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current and non-current assets</w:t>
            </w:r>
          </w:p>
        </w:tc>
        <w:tc>
          <w:tcPr>
            <w:tcW w:w="3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(3,838)</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(1,953)</w:t>
            </w: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current and non-current liabilities</w:t>
            </w:r>
          </w:p>
        </w:tc>
        <w:tc>
          <w:tcPr>
            <w:tcW w:w="30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21,378</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9,957</w:t>
            </w: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Taxes payable</w:t>
            </w:r>
          </w:p>
        </w:tc>
        <w:tc>
          <w:tcPr>
            <w:tcW w:w="3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972</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w:t>
            </w: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Litigation provision liability</w:t>
            </w:r>
          </w:p>
        </w:tc>
        <w:tc>
          <w:tcPr>
            <w:tcW w:w="30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(10,254)</w:t>
            </w:r>
          </w:p>
        </w:tc>
        <w:tc>
          <w:tcPr>
            <w:tcW w:w="10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(3,097)</w:t>
            </w:r>
          </w:p>
        </w:tc>
        <w:tc>
          <w:tcPr>
            <w:tcW w:w="0" w:type="dxa"/>
            <w:vAlign w:val="bottom"/>
          </w:tcPr>
          <w:p>
            <w:pPr>
              <w:spacing w:after="0"/>
              <w:rPr>
                <w:sz w:val="1"/>
                <w:szCs w:val="1"/>
                <w:color w:val="auto"/>
              </w:rPr>
            </w:pPr>
          </w:p>
        </w:tc>
      </w:tr>
      <w:tr>
        <w:trPr>
          <w:trHeight w:val="158"/>
        </w:trPr>
        <w:tc>
          <w:tcPr>
            <w:tcW w:w="42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30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20,757</w:t>
            </w:r>
          </w:p>
        </w:tc>
        <w:tc>
          <w:tcPr>
            <w:tcW w:w="10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25,823</w:t>
            </w:r>
          </w:p>
        </w:tc>
        <w:tc>
          <w:tcPr>
            <w:tcW w:w="0" w:type="dxa"/>
            <w:vAlign w:val="bottom"/>
          </w:tcPr>
          <w:p>
            <w:pPr>
              <w:spacing w:after="0"/>
              <w:rPr>
                <w:sz w:val="1"/>
                <w:szCs w:val="1"/>
                <w:color w:val="auto"/>
              </w:rPr>
            </w:pPr>
          </w:p>
        </w:tc>
      </w:tr>
      <w:tr>
        <w:trPr>
          <w:trHeight w:val="152"/>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30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Purchases of property, plant and equipment</w:t>
            </w:r>
          </w:p>
        </w:tc>
        <w:tc>
          <w:tcPr>
            <w:tcW w:w="3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(7,685)</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(5,215)</w:t>
            </w: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Purchase of investments</w:t>
            </w:r>
          </w:p>
        </w:tc>
        <w:tc>
          <w:tcPr>
            <w:tcW w:w="30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(5,136)</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0" w:type="dxa"/>
            <w:vAlign w:val="bottom"/>
          </w:tcPr>
          <w:p>
            <w:pPr>
              <w:spacing w:after="0"/>
              <w:rPr>
                <w:sz w:val="1"/>
                <w:szCs w:val="1"/>
                <w:color w:val="auto"/>
              </w:rPr>
            </w:pPr>
          </w:p>
        </w:tc>
      </w:tr>
      <w:tr>
        <w:trPr>
          <w:trHeight w:val="168"/>
        </w:trPr>
        <w:tc>
          <w:tcPr>
            <w:tcW w:w="4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30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1,337</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3"/>
        </w:trPr>
        <w:tc>
          <w:tcPr>
            <w:tcW w:w="4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30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(11,484)</w:t>
            </w:r>
          </w:p>
        </w:tc>
        <w:tc>
          <w:tcPr>
            <w:tcW w:w="10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(5,482)</w:t>
            </w:r>
          </w:p>
        </w:tc>
        <w:tc>
          <w:tcPr>
            <w:tcW w:w="0" w:type="dxa"/>
            <w:vAlign w:val="bottom"/>
          </w:tcPr>
          <w:p>
            <w:pPr>
              <w:spacing w:after="0"/>
              <w:rPr>
                <w:sz w:val="1"/>
                <w:szCs w:val="1"/>
                <w:color w:val="auto"/>
              </w:rPr>
            </w:pPr>
          </w:p>
        </w:tc>
      </w:tr>
      <w:tr>
        <w:trPr>
          <w:trHeight w:val="149"/>
        </w:trPr>
        <w:tc>
          <w:tcPr>
            <w:tcW w:w="42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Financing Activities:</w:t>
            </w:r>
          </w:p>
        </w:tc>
        <w:tc>
          <w:tcPr>
            <w:tcW w:w="3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Repayments of short-term borrowings (maturities greater than 90 days)</w:t>
            </w:r>
          </w:p>
        </w:tc>
        <w:tc>
          <w:tcPr>
            <w:tcW w:w="30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(1,974)</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Repayment of long-term debt obligations</w:t>
            </w:r>
          </w:p>
        </w:tc>
        <w:tc>
          <w:tcPr>
            <w:tcW w:w="3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(1,875)</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Shares repurchased from employees for minimum tax withholding</w:t>
            </w:r>
          </w:p>
        </w:tc>
        <w:tc>
          <w:tcPr>
            <w:tcW w:w="30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(1,577)</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(1,074)</w:t>
            </w:r>
          </w:p>
        </w:tc>
        <w:tc>
          <w:tcPr>
            <w:tcW w:w="0" w:type="dxa"/>
            <w:vAlign w:val="bottom"/>
          </w:tcPr>
          <w:p>
            <w:pPr>
              <w:spacing w:after="0"/>
              <w:rPr>
                <w:sz w:val="1"/>
                <w:szCs w:val="1"/>
                <w:color w:val="auto"/>
              </w:rPr>
            </w:pPr>
          </w:p>
        </w:tc>
      </w:tr>
      <w:tr>
        <w:trPr>
          <w:trHeight w:val="168"/>
        </w:trPr>
        <w:tc>
          <w:tcPr>
            <w:tcW w:w="4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long-term debt obligations</w:t>
            </w:r>
          </w:p>
        </w:tc>
        <w:tc>
          <w:tcPr>
            <w:tcW w:w="3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218,342</w:t>
            </w: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30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(2,426)</w:t>
            </w:r>
          </w:p>
        </w:tc>
        <w:tc>
          <w:tcPr>
            <w:tcW w:w="0" w:type="dxa"/>
            <w:vAlign w:val="bottom"/>
          </w:tcPr>
          <w:p>
            <w:pPr>
              <w:spacing w:after="0"/>
              <w:rPr>
                <w:sz w:val="1"/>
                <w:szCs w:val="1"/>
                <w:color w:val="auto"/>
              </w:rPr>
            </w:pPr>
          </w:p>
        </w:tc>
      </w:tr>
      <w:tr>
        <w:trPr>
          <w:trHeight w:val="168"/>
        </w:trPr>
        <w:tc>
          <w:tcPr>
            <w:tcW w:w="4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30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63"/>
        </w:trPr>
        <w:tc>
          <w:tcPr>
            <w:tcW w:w="4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Net cash (used in) provided by financing activities</w:t>
            </w:r>
          </w:p>
        </w:tc>
        <w:tc>
          <w:tcPr>
            <w:tcW w:w="30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(5,235)</w:t>
            </w:r>
          </w:p>
        </w:tc>
        <w:tc>
          <w:tcPr>
            <w:tcW w:w="10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214,877</w:t>
            </w:r>
          </w:p>
        </w:tc>
        <w:tc>
          <w:tcPr>
            <w:tcW w:w="0" w:type="dxa"/>
            <w:vAlign w:val="bottom"/>
          </w:tcPr>
          <w:p>
            <w:pPr>
              <w:spacing w:after="0"/>
              <w:rPr>
                <w:sz w:val="1"/>
                <w:szCs w:val="1"/>
                <w:color w:val="auto"/>
              </w:rPr>
            </w:pPr>
          </w:p>
        </w:tc>
      </w:tr>
      <w:tr>
        <w:trPr>
          <w:trHeight w:val="158"/>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30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3,302</w:t>
            </w:r>
          </w:p>
        </w:tc>
        <w:tc>
          <w:tcPr>
            <w:tcW w:w="10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0" w:type="dxa"/>
            <w:vAlign w:val="bottom"/>
          </w:tcPr>
          <w:p>
            <w:pPr>
              <w:spacing w:after="0"/>
              <w:rPr>
                <w:sz w:val="1"/>
                <w:szCs w:val="1"/>
                <w:color w:val="auto"/>
              </w:rPr>
            </w:pPr>
          </w:p>
        </w:tc>
      </w:tr>
      <w:tr>
        <w:trPr>
          <w:trHeight w:val="163"/>
        </w:trPr>
        <w:tc>
          <w:tcPr>
            <w:tcW w:w="4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w:t>
            </w:r>
          </w:p>
        </w:tc>
        <w:tc>
          <w:tcPr>
            <w:tcW w:w="30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7,340</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234,392</w:t>
            </w:r>
          </w:p>
        </w:tc>
        <w:tc>
          <w:tcPr>
            <w:tcW w:w="0" w:type="dxa"/>
            <w:vAlign w:val="bottom"/>
          </w:tcPr>
          <w:p>
            <w:pPr>
              <w:spacing w:after="0"/>
              <w:rPr>
                <w:sz w:val="1"/>
                <w:szCs w:val="1"/>
                <w:color w:val="auto"/>
              </w:rPr>
            </w:pPr>
          </w:p>
        </w:tc>
      </w:tr>
      <w:tr>
        <w:trPr>
          <w:trHeight w:val="168"/>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30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515,618</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207,992</w:t>
            </w:r>
          </w:p>
        </w:tc>
        <w:tc>
          <w:tcPr>
            <w:tcW w:w="0" w:type="dxa"/>
            <w:vAlign w:val="bottom"/>
          </w:tcPr>
          <w:p>
            <w:pPr>
              <w:spacing w:after="0"/>
              <w:rPr>
                <w:sz w:val="1"/>
                <w:szCs w:val="1"/>
                <w:color w:val="auto"/>
              </w:rPr>
            </w:pPr>
          </w:p>
        </w:tc>
      </w:tr>
      <w:tr>
        <w:trPr>
          <w:trHeight w:val="18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30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152"/>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522,958</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15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442,384</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94" w:right="319" w:bottom="1440" w:gutter="0" w:footer="0" w:header="0"/>
        </w:sectPr>
      </w:pPr>
    </w:p>
    <w:bookmarkStart w:id="10" w:name="page11"/>
    <w:bookmarkEnd w:id="10"/>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LIVANOVA PLC AND SUBSIDIARIES</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Unaudited Condensed Consolidated Financial Statements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Basis of Presentation</w:t>
      </w:r>
    </w:p>
    <w:p>
      <w:pPr>
        <w:spacing w:after="0" w:line="96" w:lineRule="exact"/>
        <w:rPr>
          <w:sz w:val="20"/>
          <w:szCs w:val="20"/>
          <w:color w:val="auto"/>
        </w:rPr>
      </w:pPr>
    </w:p>
    <w:p>
      <w:pPr>
        <w:ind w:right="60" w:firstLine="127"/>
        <w:spacing w:after="0" w:line="269"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of LivaNova as of, and for the three months ended March 31, 2023 and 2022, have been prepared in accordance with U.S. GAAP for interim financial information and the instructions to Form 10-Q and Article 10 of Regulation S-X. The accompanying condensed consolidated balance sheet of LivaNova at December 31, 2022 has been derived from audited financial statements contained in LivaNova’s 2022 Form 10-K, but does not include all of the information and footnotes required by U.S. GAAP for complete financial statements. In the opinion of management, the condensed consolidated financial statements reflect all adjustments considered necessary for a fair statement of the operating results of LivaNova and its subsidiaries for the three months ended March 31, 2023, and are not necessarily indicative of the results that may be expected for the year ending December 31, 2023. The financial information presented herein should be read in conjunction with the audited consolidated financial statements and notes thereto accompanying LivaNova’s 2022 Form 10-K.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Macroeconomic Environment</w:t>
      </w:r>
    </w:p>
    <w:p>
      <w:pPr>
        <w:spacing w:after="0" w:line="85" w:lineRule="exact"/>
        <w:rPr>
          <w:sz w:val="20"/>
          <w:szCs w:val="20"/>
          <w:color w:val="auto"/>
        </w:rPr>
      </w:pPr>
    </w:p>
    <w:p>
      <w:pPr>
        <w:ind w:right="40" w:firstLine="127"/>
        <w:spacing w:after="0" w:line="269" w:lineRule="auto"/>
        <w:rPr>
          <w:sz w:val="20"/>
          <w:szCs w:val="20"/>
          <w:color w:val="auto"/>
        </w:rPr>
      </w:pPr>
      <w:r>
        <w:rPr>
          <w:rFonts w:ascii="Times New Roman" w:cs="Times New Roman" w:eastAsia="Times New Roman" w:hAnsi="Times New Roman"/>
          <w:sz w:val="14"/>
          <w:szCs w:val="14"/>
          <w:color w:val="auto"/>
        </w:rPr>
        <w:t>The current macroeconomic environment, including foreign exchange volatility, supply chain challenges, inflationary pressures, and geopolitical instability, has impacted and may continue to impact LivaNova’s business. LivaNova’s net revenue and profitability have been negatively affected by the unfavorable foreign currency exchange impact of the strengthened U.S. dollar against a number of currencies. Furthermore, LivaNova continues to experience supply chain delays and interruptions, labor shortages, inflationary pressures and logistical issues. Though, to date, the Company’s supply of raw materials and the production and distribution of finished products have not been materially affected, demand and low capacity worldwide have caused longer lead times and put price pressure on key raw materials. Moreover, freight and labor costs at LivaNova’s manufacturing facilities have increased substantially in the wake of inflation globally. The Company continues to respond to such challenges, and while LivaNova has business continuity plans in place, the impact of the ongoing challenges the Company is experiencing, along with their potential escalation, may adversely affect its business.</w:t>
      </w:r>
    </w:p>
    <w:p>
      <w:pPr>
        <w:spacing w:after="0" w:line="63" w:lineRule="exact"/>
        <w:rPr>
          <w:sz w:val="20"/>
          <w:szCs w:val="20"/>
          <w:color w:val="auto"/>
        </w:rPr>
      </w:pPr>
    </w:p>
    <w:p>
      <w:pPr>
        <w:ind w:right="60" w:firstLine="127"/>
        <w:spacing w:after="0" w:line="269" w:lineRule="auto"/>
        <w:rPr>
          <w:sz w:val="20"/>
          <w:szCs w:val="20"/>
          <w:color w:val="auto"/>
        </w:rPr>
      </w:pPr>
      <w:r>
        <w:rPr>
          <w:rFonts w:ascii="Times New Roman" w:cs="Times New Roman" w:eastAsia="Times New Roman" w:hAnsi="Times New Roman"/>
          <w:sz w:val="14"/>
          <w:szCs w:val="14"/>
          <w:color w:val="auto"/>
        </w:rPr>
        <w:t>In February 2022, Russia launched an invasion in Ukraine which caused the Company to assess its ability to sell in the market due to international sanctions, to consider the potential impact of raw material sourced from the region, and to determine whether LivaNova is able to transact in a compliant fashion. Although business across Russia, Ukraine and Belarus represented 1% of LivaNova’s total net revenue for 2022, the invasion of Ukraine has increased economic uncertainties, and a significant escalation or continuation of the conflict could have a material, global impact on the Company’s operating results.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Reclassifications</w:t>
      </w:r>
    </w:p>
    <w:p>
      <w:pPr>
        <w:spacing w:after="0" w:line="85" w:lineRule="exact"/>
        <w:rPr>
          <w:sz w:val="20"/>
          <w:szCs w:val="20"/>
          <w:color w:val="auto"/>
        </w:rPr>
      </w:pPr>
    </w:p>
    <w:p>
      <w:pPr>
        <w:ind w:right="500" w:firstLine="127"/>
        <w:spacing w:after="0" w:line="303" w:lineRule="auto"/>
        <w:rPr>
          <w:sz w:val="20"/>
          <w:szCs w:val="20"/>
          <w:color w:val="auto"/>
        </w:rPr>
      </w:pPr>
      <w:r>
        <w:rPr>
          <w:rFonts w:ascii="Times New Roman" w:cs="Times New Roman" w:eastAsia="Times New Roman" w:hAnsi="Times New Roman"/>
          <w:sz w:val="14"/>
          <w:szCs w:val="14"/>
          <w:color w:val="auto"/>
        </w:rPr>
        <w:t>The Company has reclassified certain prior period amounts on the condensed consolidated balance sheets for comparative purposes. These reclassifications did not have a material effect on LivaNova’s financial condition.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Significant Accounting Policies</w:t>
      </w:r>
    </w:p>
    <w:p>
      <w:pPr>
        <w:spacing w:after="0" w:line="85" w:lineRule="exact"/>
        <w:rPr>
          <w:sz w:val="20"/>
          <w:szCs w:val="20"/>
          <w:color w:val="auto"/>
        </w:rPr>
      </w:pPr>
    </w:p>
    <w:p>
      <w:pPr>
        <w:ind w:right="380" w:firstLine="127"/>
        <w:spacing w:after="0" w:line="303" w:lineRule="auto"/>
        <w:rPr>
          <w:sz w:val="20"/>
          <w:szCs w:val="20"/>
          <w:color w:val="auto"/>
        </w:rPr>
      </w:pPr>
      <w:r>
        <w:rPr>
          <w:rFonts w:ascii="Times New Roman" w:cs="Times New Roman" w:eastAsia="Times New Roman" w:hAnsi="Times New Roman"/>
          <w:sz w:val="14"/>
          <w:szCs w:val="14"/>
          <w:color w:val="auto"/>
        </w:rPr>
        <w:t>LivaNova’s significant accounting policies are detailed below and in “Note 2. Basis of Presentation, Use of Accounting Estimates and Significant Accounting Policies” and “Note 3. Revenue Recognition” of LivaNova’s 2022 Form 10-K.</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Business Combinations</w:t>
      </w:r>
    </w:p>
    <w:p>
      <w:pPr>
        <w:spacing w:after="0" w:line="98"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4"/>
          <w:szCs w:val="14"/>
          <w:color w:val="auto"/>
        </w:rPr>
        <w:t>As of December 31, 2021, LivaNova owned a 3% investment in ALung, a privately held medical device company focused on creating advanced medical devices for treating respiratory failure. On May 2, 2022, LivaNova acquired the remaining 97% of equity interests in ALung for a purchase price of up to $110.0 million, consisting of $10.0 million paid at closing, subject to customary adjustments, and contingent consideration of up to $100.0 million payable upon achievement of certain sales-based milestones beginning in 2023 and ending in 2027. Total consideration included approximately $5.5 million of non-cash consideration.</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1" w:name="page12"/>
    <w:bookmarkEnd w:id="11"/>
    <w:p>
      <w:pPr>
        <w:ind w:firstLine="127"/>
        <w:spacing w:after="0" w:line="303" w:lineRule="auto"/>
        <w:rPr>
          <w:sz w:val="20"/>
          <w:szCs w:val="20"/>
          <w:color w:val="auto"/>
        </w:rPr>
      </w:pPr>
      <w:r>
        <w:rPr>
          <w:rFonts w:ascii="Times New Roman" w:cs="Times New Roman" w:eastAsia="Times New Roman" w:hAnsi="Times New Roman"/>
          <w:sz w:val="14"/>
          <w:szCs w:val="14"/>
          <w:color w:val="auto"/>
        </w:rPr>
        <w:t>The following table presents the acquisition date fair value of the consideration transferred and the fair value of LivaNova’s interest in ALung prior to the acquisition, including certain measurement period adjustments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20" w:type="dxa"/>
            <w:vAlign w:val="bottom"/>
          </w:tcPr>
          <w:p>
            <w:pPr>
              <w:spacing w:after="0"/>
              <w:rPr>
                <w:sz w:val="17"/>
                <w:szCs w:val="17"/>
                <w:color w:val="auto"/>
              </w:rPr>
            </w:pPr>
          </w:p>
        </w:tc>
        <w:tc>
          <w:tcPr>
            <w:tcW w:w="2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Initial Fair Value of Consideration</w:t>
            </w:r>
          </w:p>
        </w:tc>
        <w:tc>
          <w:tcPr>
            <w:tcW w:w="2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Measurement Period Adjustments</w:t>
            </w:r>
          </w:p>
        </w:tc>
        <w:tc>
          <w:tcPr>
            <w:tcW w:w="260" w:type="dxa"/>
            <w:vAlign w:val="bottom"/>
          </w:tcPr>
          <w:p>
            <w:pPr>
              <w:spacing w:after="0"/>
              <w:rPr>
                <w:sz w:val="17"/>
                <w:szCs w:val="17"/>
                <w:color w:val="auto"/>
              </w:rPr>
            </w:pPr>
          </w:p>
        </w:tc>
        <w:tc>
          <w:tcPr>
            <w:tcW w:w="19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Adjusted Fair Value of</w:t>
            </w:r>
          </w:p>
        </w:tc>
        <w:tc>
          <w:tcPr>
            <w:tcW w:w="0" w:type="dxa"/>
            <w:vAlign w:val="bottom"/>
          </w:tcPr>
          <w:p>
            <w:pPr>
              <w:spacing w:after="0"/>
              <w:rPr>
                <w:sz w:val="1"/>
                <w:szCs w:val="1"/>
                <w:color w:val="auto"/>
              </w:rPr>
            </w:pPr>
          </w:p>
        </w:tc>
      </w:tr>
      <w:tr>
        <w:trPr>
          <w:trHeight w:val="138"/>
        </w:trPr>
        <w:tc>
          <w:tcPr>
            <w:tcW w:w="4420" w:type="dxa"/>
            <w:vAlign w:val="bottom"/>
          </w:tcPr>
          <w:p>
            <w:pPr>
              <w:spacing w:after="0"/>
              <w:rPr>
                <w:sz w:val="11"/>
                <w:szCs w:val="11"/>
                <w:color w:val="auto"/>
              </w:rPr>
            </w:pPr>
          </w:p>
        </w:tc>
        <w:tc>
          <w:tcPr>
            <w:tcW w:w="232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jc w:val="right"/>
              <w:ind w:right="995"/>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60" w:type="dxa"/>
            <w:vAlign w:val="bottom"/>
          </w:tcPr>
          <w:p>
            <w:pPr>
              <w:jc w:val="right"/>
              <w:ind w:right="609"/>
              <w:spacing w:after="0" w:line="138"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71"/>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other considerations</w:t>
            </w:r>
          </w:p>
        </w:tc>
        <w:tc>
          <w:tcPr>
            <w:tcW w:w="920" w:type="dxa"/>
            <w:vAlign w:val="bottom"/>
            <w:tcBorders>
              <w:top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15,586</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15,586</w:t>
            </w:r>
          </w:p>
        </w:tc>
        <w:tc>
          <w:tcPr>
            <w:tcW w:w="0" w:type="dxa"/>
            <w:vAlign w:val="bottom"/>
          </w:tcPr>
          <w:p>
            <w:pPr>
              <w:spacing w:after="0"/>
              <w:rPr>
                <w:sz w:val="1"/>
                <w:szCs w:val="1"/>
                <w:color w:val="auto"/>
              </w:rPr>
            </w:pPr>
          </w:p>
        </w:tc>
      </w:tr>
      <w:tr>
        <w:trPr>
          <w:trHeight w:val="18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9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26,369</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16,791</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consideration transferred</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41,955</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32,377</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During the third quarter of 2022, measurement period adjustments were recorded based on information obtained about facts and circumstances that existed as of the acquisition date.</w:t>
      </w:r>
    </w:p>
    <w:p>
      <w:pPr>
        <w:spacing w:after="0" w:line="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presents the preliminary purchase price allocation at fair value for the ALung acquisition, including certain measurement period adjustments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Initial Purchase Price Allocation</w:t>
            </w:r>
          </w:p>
        </w:tc>
        <w:tc>
          <w:tcPr>
            <w:tcW w:w="2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Measurement Period Adjustments</w:t>
            </w:r>
          </w:p>
        </w:tc>
        <w:tc>
          <w:tcPr>
            <w:tcW w:w="2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Adjusted Purchase Price Allocation</w:t>
            </w:r>
          </w:p>
        </w:tc>
        <w:tc>
          <w:tcPr>
            <w:tcW w:w="0" w:type="dxa"/>
            <w:vAlign w:val="bottom"/>
          </w:tcPr>
          <w:p>
            <w:pPr>
              <w:spacing w:after="0"/>
              <w:rPr>
                <w:sz w:val="1"/>
                <w:szCs w:val="1"/>
                <w:color w:val="auto"/>
              </w:rPr>
            </w:pPr>
          </w:p>
        </w:tc>
      </w:tr>
      <w:tr>
        <w:trPr>
          <w:trHeight w:val="138"/>
        </w:trPr>
        <w:tc>
          <w:tcPr>
            <w:tcW w:w="4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jc w:val="right"/>
              <w:ind w:right="994"/>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11"/>
                <w:szCs w:val="11"/>
                <w:color w:val="auto"/>
              </w:rPr>
            </w:pPr>
          </w:p>
        </w:tc>
        <w:tc>
          <w:tcPr>
            <w:tcW w:w="2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 - 15-year life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13,950</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(11,050)</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0" w:type="dxa"/>
            <w:vAlign w:val="bottom"/>
          </w:tcPr>
          <w:p>
            <w:pPr>
              <w:spacing w:after="0"/>
              <w:rPr>
                <w:sz w:val="1"/>
                <w:szCs w:val="1"/>
                <w:color w:val="auto"/>
              </w:rPr>
            </w:pPr>
          </w:p>
        </w:tc>
      </w:tr>
      <w:tr>
        <w:trPr>
          <w:trHeight w:val="18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26,870</w:t>
            </w:r>
          </w:p>
        </w:tc>
        <w:tc>
          <w:tcPr>
            <w:tcW w:w="0" w:type="dxa"/>
            <w:vAlign w:val="bottom"/>
          </w:tcPr>
          <w:p>
            <w:pPr>
              <w:spacing w:after="0"/>
              <w:rPr>
                <w:sz w:val="1"/>
                <w:szCs w:val="1"/>
                <w:color w:val="auto"/>
              </w:rPr>
            </w:pPr>
          </w:p>
        </w:tc>
      </w:tr>
      <w:tr>
        <w:trPr>
          <w:trHeight w:val="18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100" w:type="dxa"/>
            <w:vAlign w:val="bottom"/>
            <w:tcBorders>
              <w:bottom w:val="single" w:sz="8" w:color="auto"/>
            </w:tcBorders>
            <w:shd w:val="clear" w:color="auto" w:fill="CCEEFF"/>
          </w:tcPr>
          <w:p>
            <w:pPr>
              <w:spacing w:after="0"/>
              <w:rPr>
                <w:sz w:val="15"/>
                <w:szCs w:val="15"/>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2,607</w:t>
            </w:r>
          </w:p>
        </w:tc>
        <w:tc>
          <w:tcPr>
            <w:tcW w:w="0" w:type="dxa"/>
            <w:vAlign w:val="bottom"/>
          </w:tcPr>
          <w:p>
            <w:pPr>
              <w:spacing w:after="0"/>
              <w:rPr>
                <w:sz w:val="1"/>
                <w:szCs w:val="1"/>
                <w:color w:val="auto"/>
              </w:rPr>
            </w:pPr>
          </w:p>
        </w:tc>
      </w:tr>
      <w:tr>
        <w:trPr>
          <w:trHeight w:val="171"/>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assets acquired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41,955</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(9,578)</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32,377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During the third quarter of 2022, measurement period adjustments were recorded based on information obtained about facts and circumstances that existed as of the acquisition date.</w:t>
      </w:r>
    </w:p>
    <w:p>
      <w:pPr>
        <w:spacing w:after="0" w:line="91" w:lineRule="exact"/>
        <w:rPr>
          <w:sz w:val="20"/>
          <w:szCs w:val="20"/>
          <w:color w:val="auto"/>
        </w:rPr>
      </w:pPr>
    </w:p>
    <w:p>
      <w:pPr>
        <w:ind w:right="200"/>
        <w:spacing w:after="0" w:line="303" w:lineRule="auto"/>
        <w:rPr>
          <w:sz w:val="20"/>
          <w:szCs w:val="20"/>
          <w:color w:val="auto"/>
        </w:rPr>
      </w:pPr>
      <w:r>
        <w:rPr>
          <w:rFonts w:ascii="Times New Roman" w:cs="Times New Roman" w:eastAsia="Times New Roman" w:hAnsi="Times New Roman"/>
          <w:sz w:val="14"/>
          <w:szCs w:val="14"/>
          <w:color w:val="auto"/>
        </w:rPr>
        <w:t>Goodwill arising from the ALung acquisition, which is not deductible for tax purposes, primarily represents the synergies anticipated between ALung and the Company’s ACS business. The assets acquired, including goodwill, are recognized in LivaNova’s ACS segment. The goodwill for the ACS reporting unit was fully impaired during the third quarter of 2022.</w:t>
      </w:r>
    </w:p>
    <w:p>
      <w:pPr>
        <w:spacing w:after="0" w:line="29" w:lineRule="exact"/>
        <w:rPr>
          <w:sz w:val="20"/>
          <w:szCs w:val="20"/>
          <w:color w:val="auto"/>
        </w:rPr>
      </w:pPr>
    </w:p>
    <w:p>
      <w:pPr>
        <w:ind w:right="200" w:firstLine="127"/>
        <w:spacing w:after="0" w:line="303" w:lineRule="auto"/>
        <w:rPr>
          <w:sz w:val="20"/>
          <w:szCs w:val="20"/>
          <w:color w:val="auto"/>
        </w:rPr>
      </w:pPr>
      <w:r>
        <w:rPr>
          <w:rFonts w:ascii="Times New Roman" w:cs="Times New Roman" w:eastAsia="Times New Roman" w:hAnsi="Times New Roman"/>
          <w:sz w:val="14"/>
          <w:szCs w:val="14"/>
          <w:color w:val="auto"/>
        </w:rPr>
        <w:t>The Company’s condensed consolidated financial statements include the operating results of ALung from the acquisition date. Separate post-acquisition operating results and pro forma financial information for this acquisition have not been presented as the effect was not material for disclosure purposes.</w:t>
      </w:r>
    </w:p>
    <w:p>
      <w:pPr>
        <w:spacing w:after="0" w:line="39" w:lineRule="exact"/>
        <w:rPr>
          <w:sz w:val="20"/>
          <w:szCs w:val="20"/>
          <w:color w:val="auto"/>
        </w:rPr>
      </w:pPr>
    </w:p>
    <w:p>
      <w:pPr>
        <w:ind w:right="80" w:firstLine="127"/>
        <w:spacing w:after="0" w:line="278" w:lineRule="auto"/>
        <w:rPr>
          <w:sz w:val="20"/>
          <w:szCs w:val="20"/>
          <w:color w:val="auto"/>
        </w:rPr>
      </w:pPr>
      <w:r>
        <w:rPr>
          <w:rFonts w:ascii="Times New Roman" w:cs="Times New Roman" w:eastAsia="Times New Roman" w:hAnsi="Times New Roman"/>
          <w:sz w:val="14"/>
          <w:szCs w:val="14"/>
          <w:color w:val="auto"/>
        </w:rPr>
        <w:t>The contingent consideration payments are triggered upon the achievement of thresholds associated with sales of products covered by the purchase agreement and are estimated to occur during the years reflected in the table below. The sales-based earnout was valued using projected sales from the Company’s internal strategic plan and is a Level 3 fair value measurement, which includes the following significant unobservable inputs (in thousands):</w:t>
      </w:r>
    </w:p>
    <w:tbl>
      <w:tblPr>
        <w:tblLayout w:type="fixed"/>
        <w:tblInd w:w="0" w:type="dxa"/>
        <w:tblCellMar>
          <w:top w:w="0" w:type="dxa"/>
          <w:left w:w="0" w:type="dxa"/>
          <w:bottom w:w="0" w:type="dxa"/>
          <w:right w:w="0" w:type="dxa"/>
        </w:tblCellMar>
      </w:tblPr>
      <w:tr>
        <w:trPr>
          <w:trHeight w:val="145"/>
        </w:trPr>
        <w:tc>
          <w:tcPr>
            <w:tcW w:w="2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ALung Acquisition</w:t>
            </w:r>
          </w:p>
        </w:tc>
        <w:tc>
          <w:tcPr>
            <w:tcW w:w="120" w:type="dxa"/>
            <w:vAlign w:val="bottom"/>
          </w:tcPr>
          <w:p>
            <w:pPr>
              <w:spacing w:after="0"/>
              <w:rPr>
                <w:sz w:val="12"/>
                <w:szCs w:val="12"/>
                <w:color w:val="auto"/>
              </w:rPr>
            </w:pPr>
          </w:p>
        </w:tc>
        <w:tc>
          <w:tcPr>
            <w:tcW w:w="144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Fair value at May 2,</w:t>
            </w:r>
          </w:p>
        </w:tc>
        <w:tc>
          <w:tcPr>
            <w:tcW w:w="26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7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58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Ranges</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270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Sales-based earnout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16,791</w:t>
            </w:r>
          </w:p>
        </w:tc>
        <w:tc>
          <w:tcPr>
            <w:tcW w:w="80" w:type="dxa"/>
            <w:vAlign w:val="bottom"/>
            <w:tcBorders>
              <w:top w:val="single" w:sz="8" w:color="CCEEFF"/>
            </w:tcBorders>
            <w:shd w:val="clear" w:color="auto" w:fill="CCEEFF"/>
          </w:tcPr>
          <w:p>
            <w:pPr>
              <w:spacing w:after="0"/>
              <w:rPr>
                <w:sz w:val="14"/>
                <w:szCs w:val="14"/>
                <w:color w:val="auto"/>
              </w:rPr>
            </w:pPr>
          </w:p>
        </w:tc>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Monte Carlo simulation</w:t>
            </w:r>
          </w:p>
        </w:tc>
        <w:tc>
          <w:tcPr>
            <w:tcW w:w="100" w:type="dxa"/>
            <w:vAlign w:val="bottom"/>
            <w:tcBorders>
              <w:top w:val="single" w:sz="8" w:color="CCEEFF"/>
            </w:tcBorders>
            <w:shd w:val="clear" w:color="auto" w:fill="CCEEFF"/>
          </w:tcPr>
          <w:p>
            <w:pPr>
              <w:spacing w:after="0"/>
              <w:rPr>
                <w:sz w:val="14"/>
                <w:szCs w:val="14"/>
                <w:color w:val="auto"/>
              </w:rPr>
            </w:pPr>
          </w:p>
        </w:tc>
        <w:tc>
          <w:tcPr>
            <w:tcW w:w="2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58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Credit risk discount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5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volatility</w:t>
            </w:r>
          </w:p>
        </w:tc>
        <w:tc>
          <w:tcPr>
            <w:tcW w:w="58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25.7%</w:t>
            </w: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Projected years of earnout</w:t>
            </w: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2023</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5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For a reconciliation of the beginning and ending balance of contingent consideration liabilities refer to “Note 3. Fair Value Measurements.”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Fair Value Measurements</w:t>
      </w:r>
    </w:p>
    <w:p>
      <w:pPr>
        <w:spacing w:after="0" w:line="87" w:lineRule="exact"/>
        <w:rPr>
          <w:sz w:val="20"/>
          <w:szCs w:val="20"/>
          <w:color w:val="auto"/>
        </w:rPr>
      </w:pPr>
    </w:p>
    <w:p>
      <w:pPr>
        <w:ind w:right="260" w:firstLine="127"/>
        <w:spacing w:after="0" w:line="303" w:lineRule="auto"/>
        <w:rPr>
          <w:sz w:val="20"/>
          <w:szCs w:val="20"/>
          <w:color w:val="auto"/>
        </w:rPr>
      </w:pPr>
      <w:r>
        <w:rPr>
          <w:rFonts w:ascii="Times New Roman" w:cs="Times New Roman" w:eastAsia="Times New Roman" w:hAnsi="Times New Roman"/>
          <w:sz w:val="14"/>
          <w:szCs w:val="14"/>
          <w:color w:val="auto"/>
        </w:rPr>
        <w:t>The Company reviews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three months ended March 31, 2023 and 2022.</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color w:val="auto"/>
        </w:rPr>
        <w:t>Assets and Liabilities Measured at Fair Value on a Recurring Basis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gridSpan w:val="7"/>
          </w:tcPr>
          <w:p>
            <w:pPr>
              <w:ind w:left="140"/>
              <w:spacing w:after="0"/>
              <w:rPr>
                <w:sz w:val="20"/>
                <w:szCs w:val="20"/>
                <w:color w:val="auto"/>
              </w:rPr>
            </w:pPr>
            <w:r>
              <w:rPr>
                <w:rFonts w:ascii="Times New Roman" w:cs="Times New Roman" w:eastAsia="Times New Roman" w:hAnsi="Times New Roman"/>
                <w:sz w:val="14"/>
                <w:szCs w:val="14"/>
                <w:color w:val="auto"/>
              </w:rPr>
              <w:t>The following tables provide information by level for assets and liabilities that are measured at fair value on a recurring basis (in thousands):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6"/>
        </w:trPr>
        <w:tc>
          <w:tcPr>
            <w:tcW w:w="5600" w:type="dxa"/>
            <w:vAlign w:val="bottom"/>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as of March 31,</w:t>
            </w:r>
          </w:p>
        </w:tc>
        <w:tc>
          <w:tcPr>
            <w:tcW w:w="2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7"/>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Fair Value Measurements Using Inputs Considered as:</w:t>
            </w:r>
          </w:p>
        </w:tc>
        <w:tc>
          <w:tcPr>
            <w:tcW w:w="0" w:type="dxa"/>
            <w:vAlign w:val="bottom"/>
          </w:tcPr>
          <w:p>
            <w:pPr>
              <w:spacing w:after="0"/>
              <w:rPr>
                <w:sz w:val="1"/>
                <w:szCs w:val="1"/>
                <w:color w:val="auto"/>
              </w:rPr>
            </w:pPr>
          </w:p>
        </w:tc>
      </w:tr>
      <w:tr>
        <w:trPr>
          <w:trHeight w:val="181"/>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00" w:type="dxa"/>
            <w:vAlign w:val="bottom"/>
          </w:tcPr>
          <w:p>
            <w:pPr>
              <w:spacing w:after="0"/>
              <w:rPr>
                <w:sz w:val="15"/>
                <w:szCs w:val="15"/>
                <w:color w:val="auto"/>
              </w:rPr>
            </w:pPr>
          </w:p>
        </w:tc>
        <w:tc>
          <w:tcPr>
            <w:tcW w:w="130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98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0"/>
        </w:trPr>
        <w:tc>
          <w:tcPr>
            <w:tcW w:w="5600" w:type="dxa"/>
            <w:vAlign w:val="bottom"/>
            <w:vMerge w:val="continue"/>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Derivative assets - designated as cash flow hedges (interest rate swaps)</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Derivative assets - capped call derivatives</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31,014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31,014</w:t>
            </w:r>
          </w:p>
        </w:tc>
        <w:tc>
          <w:tcPr>
            <w:tcW w:w="0" w:type="dxa"/>
            <w:vAlign w:val="bottom"/>
          </w:tcPr>
          <w:p>
            <w:pPr>
              <w:spacing w:after="0"/>
              <w:rPr>
                <w:sz w:val="1"/>
                <w:szCs w:val="1"/>
                <w:color w:val="auto"/>
              </w:rPr>
            </w:pPr>
          </w:p>
        </w:tc>
      </w:tr>
      <w:tr>
        <w:trPr>
          <w:trHeight w:val="180"/>
        </w:trPr>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Convertible notes receivable</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32,189</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31,289</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liabilities - freestanding instruments (FX)</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liabilities - embedded exchange feature</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41,285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41,285</w:t>
            </w:r>
          </w:p>
        </w:tc>
        <w:tc>
          <w:tcPr>
            <w:tcW w:w="0" w:type="dxa"/>
            <w:vAlign w:val="bottom"/>
          </w:tcPr>
          <w:p>
            <w:pPr>
              <w:spacing w:after="0"/>
              <w:rPr>
                <w:sz w:val="1"/>
                <w:szCs w:val="1"/>
                <w:color w:val="auto"/>
              </w:rPr>
            </w:pPr>
          </w:p>
        </w:tc>
      </w:tr>
      <w:tr>
        <w:trPr>
          <w:trHeight w:val="180"/>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Contingent consideration arrangements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90,119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90,119</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132,640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1,236</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131,404</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as of December</w:t>
            </w:r>
          </w:p>
        </w:tc>
        <w:tc>
          <w:tcPr>
            <w:tcW w:w="18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7"/>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 Considered as:</w:t>
            </w:r>
          </w:p>
        </w:tc>
        <w:tc>
          <w:tcPr>
            <w:tcW w:w="0" w:type="dxa"/>
            <w:vAlign w:val="bottom"/>
          </w:tcPr>
          <w:p>
            <w:pPr>
              <w:spacing w:after="0"/>
              <w:rPr>
                <w:sz w:val="1"/>
                <w:szCs w:val="1"/>
                <w:color w:val="auto"/>
              </w:rPr>
            </w:pPr>
          </w:p>
        </w:tc>
      </w:tr>
      <w:tr>
        <w:trPr>
          <w:trHeight w:val="181"/>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Pr>
          <w:p>
            <w:pPr>
              <w:spacing w:after="0"/>
              <w:rPr>
                <w:sz w:val="15"/>
                <w:szCs w:val="15"/>
                <w:color w:val="auto"/>
              </w:rPr>
            </w:pPr>
          </w:p>
        </w:tc>
        <w:tc>
          <w:tcPr>
            <w:tcW w:w="13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98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0"/>
        </w:trPr>
        <w:tc>
          <w:tcPr>
            <w:tcW w:w="5660" w:type="dxa"/>
            <w:vAlign w:val="bottom"/>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assets - designated as cash flow hedges (interest rate swap)</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assets - capped call derivatives</w:t>
            </w:r>
          </w:p>
        </w:tc>
        <w:tc>
          <w:tcPr>
            <w:tcW w:w="3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54,393</w:t>
            </w:r>
          </w:p>
        </w:tc>
        <w:tc>
          <w:tcPr>
            <w:tcW w:w="0" w:type="dxa"/>
            <w:vAlign w:val="bottom"/>
          </w:tcPr>
          <w:p>
            <w:pPr>
              <w:spacing w:after="0"/>
              <w:rPr>
                <w:sz w:val="1"/>
                <w:szCs w:val="1"/>
                <w:color w:val="auto"/>
              </w:rPr>
            </w:pPr>
          </w:p>
        </w:tc>
      </w:tr>
      <w:tr>
        <w:trPr>
          <w:trHeight w:val="180"/>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Convertible notes receivable</w:t>
            </w: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56,011</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54,678</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liabilities - freestanding instruments (FX)</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liabilities - embedded exchange feature</w:t>
            </w:r>
          </w:p>
        </w:tc>
        <w:tc>
          <w:tcPr>
            <w:tcW w:w="3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85,675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85,675</w:t>
            </w:r>
          </w:p>
        </w:tc>
        <w:tc>
          <w:tcPr>
            <w:tcW w:w="0" w:type="dxa"/>
            <w:vAlign w:val="bottom"/>
          </w:tcPr>
          <w:p>
            <w:pPr>
              <w:spacing w:after="0"/>
              <w:rPr>
                <w:sz w:val="1"/>
                <w:szCs w:val="1"/>
                <w:color w:val="auto"/>
              </w:rPr>
            </w:pPr>
          </w:p>
        </w:tc>
      </w:tr>
      <w:tr>
        <w:trPr>
          <w:trHeight w:val="180"/>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Contingent consideration arrangements</w:t>
            </w: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85,292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85,292</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176,853</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5,886</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170,967</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provides a reconciliation of the beginning and ending balances of recurring fair value measurements, using significant unobservable inputs (Level 3)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Capped Call Derivative</w:t>
            </w:r>
          </w:p>
        </w:tc>
        <w:tc>
          <w:tcPr>
            <w:tcW w:w="200" w:type="dxa"/>
            <w:vAlign w:val="bottom"/>
          </w:tcPr>
          <w:p>
            <w:pPr>
              <w:spacing w:after="0"/>
              <w:rPr>
                <w:sz w:val="13"/>
                <w:szCs w:val="13"/>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160" w:type="dxa"/>
            <w:vAlign w:val="bottom"/>
          </w:tcPr>
          <w:p>
            <w:pPr>
              <w:spacing w:after="0"/>
              <w:rPr>
                <w:sz w:val="13"/>
                <w:szCs w:val="13"/>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Embedded Exchange</w:t>
            </w:r>
          </w:p>
        </w:tc>
        <w:tc>
          <w:tcPr>
            <w:tcW w:w="80" w:type="dxa"/>
            <w:vAlign w:val="bottom"/>
          </w:tcPr>
          <w:p>
            <w:pPr>
              <w:spacing w:after="0"/>
              <w:rPr>
                <w:sz w:val="13"/>
                <w:szCs w:val="13"/>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r>
      <w:tr>
        <w:trPr>
          <w:trHeight w:val="186"/>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Feature Derivative Liability</w:t>
            </w:r>
          </w:p>
        </w:tc>
        <w:tc>
          <w:tcPr>
            <w:tcW w:w="8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Liability Arrangements</w:t>
            </w:r>
          </w:p>
        </w:tc>
      </w:tr>
      <w:tr>
        <w:trPr>
          <w:trHeight w:val="171"/>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2022 - long-term</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shd w:val="clear" w:color="auto" w:fill="CCEEFF"/>
          </w:tcPr>
          <w:p>
            <w:pPr>
              <w:jc w:val="center"/>
              <w:ind w:left="1049"/>
              <w:spacing w:after="0"/>
              <w:rPr>
                <w:sz w:val="20"/>
                <w:szCs w:val="20"/>
                <w:color w:val="auto"/>
              </w:rPr>
            </w:pPr>
            <w:r>
              <w:rPr>
                <w:rFonts w:ascii="Times New Roman" w:cs="Times New Roman" w:eastAsia="Times New Roman" w:hAnsi="Times New Roman"/>
                <w:sz w:val="14"/>
                <w:szCs w:val="14"/>
                <w:color w:val="auto"/>
                <w:w w:val="98"/>
              </w:rPr>
              <w:t>54,393</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tcBorders>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w w:val="98"/>
              </w:rPr>
              <w:t>85,675</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85,292</w:t>
            </w:r>
          </w:p>
        </w:tc>
        <w:tc>
          <w:tcPr>
            <w:tcW w:w="20" w:type="dxa"/>
            <w:vAlign w:val="bottom"/>
          </w:tcPr>
          <w:p>
            <w:pPr>
              <w:spacing w:after="0"/>
              <w:rPr>
                <w:sz w:val="14"/>
                <w:szCs w:val="14"/>
                <w:color w:val="auto"/>
              </w:rPr>
            </w:pPr>
          </w:p>
        </w:tc>
      </w:tr>
      <w:tr>
        <w:trPr>
          <w:trHeight w:val="18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Changes in fair value</w:t>
            </w: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left="1029"/>
              <w:spacing w:after="0"/>
              <w:rPr>
                <w:sz w:val="20"/>
                <w:szCs w:val="20"/>
                <w:color w:val="auto"/>
              </w:rPr>
            </w:pPr>
            <w:r>
              <w:rPr>
                <w:rFonts w:ascii="Times New Roman" w:cs="Times New Roman" w:eastAsia="Times New Roman" w:hAnsi="Times New Roman"/>
                <w:sz w:val="14"/>
                <w:szCs w:val="14"/>
                <w:color w:val="auto"/>
              </w:rPr>
              <w:t>(23,379)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left="989"/>
              <w:spacing w:after="0"/>
              <w:rPr>
                <w:sz w:val="20"/>
                <w:szCs w:val="20"/>
                <w:color w:val="auto"/>
              </w:rPr>
            </w:pPr>
            <w:r>
              <w:rPr>
                <w:rFonts w:ascii="Times New Roman" w:cs="Times New Roman" w:eastAsia="Times New Roman" w:hAnsi="Times New Roman"/>
                <w:sz w:val="14"/>
                <w:szCs w:val="14"/>
                <w:color w:val="auto"/>
              </w:rPr>
              <w:t>(44,390)</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4,827</w:t>
            </w:r>
          </w:p>
        </w:tc>
        <w:tc>
          <w:tcPr>
            <w:tcW w:w="20" w:type="dxa"/>
            <w:vAlign w:val="bottom"/>
          </w:tcPr>
          <w:p>
            <w:pPr>
              <w:spacing w:after="0"/>
              <w:rPr>
                <w:sz w:val="15"/>
                <w:szCs w:val="15"/>
                <w:color w:val="auto"/>
              </w:rPr>
            </w:pPr>
          </w:p>
        </w:tc>
      </w:tr>
      <w:tr>
        <w:trPr>
          <w:trHeight w:val="196"/>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at March 31, 2023 - long-term</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shd w:val="clear" w:color="auto" w:fill="CCEEFF"/>
          </w:tcPr>
          <w:p>
            <w:pPr>
              <w:jc w:val="center"/>
              <w:ind w:left="1049"/>
              <w:spacing w:after="0"/>
              <w:rPr>
                <w:sz w:val="20"/>
                <w:szCs w:val="20"/>
                <w:color w:val="auto"/>
              </w:rPr>
            </w:pPr>
            <w:r>
              <w:rPr>
                <w:rFonts w:ascii="Times New Roman" w:cs="Times New Roman" w:eastAsia="Times New Roman" w:hAnsi="Times New Roman"/>
                <w:sz w:val="14"/>
                <w:szCs w:val="14"/>
                <w:color w:val="auto"/>
                <w:w w:val="98"/>
              </w:rPr>
              <w:t>31,014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w w:val="98"/>
              </w:rPr>
              <w:t>41,285</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90,119</w:t>
            </w:r>
          </w:p>
        </w:tc>
        <w:tc>
          <w:tcPr>
            <w:tcW w:w="20" w:type="dxa"/>
            <w:vAlign w:val="bottom"/>
          </w:tcPr>
          <w:p>
            <w:pPr>
              <w:spacing w:after="0"/>
              <w:rPr>
                <w:sz w:val="16"/>
                <w:szCs w:val="16"/>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9"/>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2"/>
        </w:trPr>
        <w:tc>
          <w:tcPr>
            <w:tcW w:w="40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color w:val="auto"/>
        </w:rPr>
        <w:t>Embedded Exchange Feature and Capped Call Derivatives</w:t>
      </w:r>
    </w:p>
    <w:p>
      <w:pPr>
        <w:spacing w:after="0" w:line="85" w:lineRule="exact"/>
        <w:rPr>
          <w:sz w:val="20"/>
          <w:szCs w:val="20"/>
          <w:color w:val="auto"/>
        </w:rPr>
      </w:pPr>
    </w:p>
    <w:p>
      <w:pPr>
        <w:ind w:right="160" w:firstLine="127"/>
        <w:spacing w:after="0" w:line="273" w:lineRule="auto"/>
        <w:rPr>
          <w:sz w:val="20"/>
          <w:szCs w:val="20"/>
          <w:color w:val="auto"/>
        </w:rPr>
      </w:pPr>
      <w:r>
        <w:rPr>
          <w:rFonts w:ascii="Times New Roman" w:cs="Times New Roman" w:eastAsia="Times New Roman" w:hAnsi="Times New Roman"/>
          <w:sz w:val="14"/>
          <w:szCs w:val="14"/>
          <w:color w:val="auto"/>
        </w:rPr>
        <w:t>In June 2020, the Company issued $287.5 million in cash exchangeable senior notes and entered into related capped call transactions. The cash exchangeable senior notes include an embedded exchange feature that is bifurcated from the cash exchangeable senior notes. Please refer to “Note 4. Financing Arrangements” for further details. The embedded exchange feature derivative is measured at fair value using a binomial lattice model and discounted cash flows that utilize observable and unobservable market data. The capped call derivative is measured at fair value using the Black-Scholes model utilizing observable and unobservable market data, including stock price, remaining contractual term, expected volatility, risk-free interest rate and expected dividend yield, as applicable.</w:t>
      </w:r>
    </w:p>
    <w:p>
      <w:pPr>
        <w:spacing w:after="0" w:line="60" w:lineRule="exact"/>
        <w:rPr>
          <w:sz w:val="20"/>
          <w:szCs w:val="20"/>
          <w:color w:val="auto"/>
        </w:rPr>
      </w:pPr>
    </w:p>
    <w:p>
      <w:pPr>
        <w:ind w:right="40" w:firstLine="127"/>
        <w:spacing w:after="0" w:line="270" w:lineRule="auto"/>
        <w:rPr>
          <w:sz w:val="20"/>
          <w:szCs w:val="20"/>
          <w:color w:val="auto"/>
        </w:rPr>
      </w:pPr>
      <w:r>
        <w:rPr>
          <w:rFonts w:ascii="Times New Roman" w:cs="Times New Roman" w:eastAsia="Times New Roman" w:hAnsi="Times New Roman"/>
          <w:sz w:val="14"/>
          <w:szCs w:val="14"/>
          <w:color w:val="auto"/>
        </w:rPr>
        <w:t>The embedded exchange feature and capped call derivatives are classified as Level 3 as the Company uses historical volatility and implied volatility from options traded to determine expected stock price volatility, an unobservable input that is significant to the valuation. In general, an increase in LivaNova’s stock price or stock price volatility would increase the fair value of the embedded exchange feature and capped call derivatives which would result in an increase in expense. As time to the expiration of the derivatives decreases, the fair value of the derivatives would decrease. The future impact on net income depends on how significant inputs such as stock price, stock price volatility and time to the expiration of the derivatives change in relation to other inputs. Changes in the fair value of the embedded exchange feature derivative and capped call derivatives are recognized in foreign exchange and other income/(expense) in the condensed consolidated statements of income.</w:t>
      </w:r>
    </w:p>
    <w:p>
      <w:pPr>
        <w:spacing w:after="0" w:line="240" w:lineRule="exact"/>
        <w:rPr>
          <w:sz w:val="20"/>
          <w:szCs w:val="20"/>
          <w:color w:val="auto"/>
        </w:rPr>
      </w:pPr>
    </w:p>
    <w:p>
      <w:pPr>
        <w:ind w:right="120" w:firstLine="127"/>
        <w:spacing w:after="0" w:line="275" w:lineRule="auto"/>
        <w:rPr>
          <w:sz w:val="20"/>
          <w:szCs w:val="20"/>
          <w:color w:val="auto"/>
        </w:rPr>
      </w:pPr>
      <w:r>
        <w:rPr>
          <w:rFonts w:ascii="Times New Roman" w:cs="Times New Roman" w:eastAsia="Times New Roman" w:hAnsi="Times New Roman"/>
          <w:sz w:val="14"/>
          <w:szCs w:val="14"/>
          <w:color w:val="auto"/>
        </w:rPr>
        <w:t>The fair value of the embedded exchange feature derivative liability and the capped call derivative assets was $41.3 million and $31.0 million, respectively, as of March 31, 2023, and the stock price volatility was 40%. As of March 31, 2023, a 10% lower volatility, holding other inputs constant, would reduce the fair value for the embedded exchange feature derivative liability by $13.5 million and a 10% higher volatility, holding other inputs constant, would increase the fair value by $12.9 million. As of March 31, 2023, a 10% lower volatility, holding other inputs constant, would reduce the fair value for the capped call derivatives by $8.6 million and a 10% higher volatility, holding other inputs constant, would increase the fair value by $4.5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Contingent Consideration Arrangements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following table provides the fair value of Level 3 contingent consideration arrangements by acquisition (in thousands):</w:t>
            </w:r>
          </w:p>
        </w:tc>
        <w:tc>
          <w:tcPr>
            <w:tcW w:w="1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2"/>
        </w:trPr>
        <w:tc>
          <w:tcPr>
            <w:tcW w:w="726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ImThera</w:t>
            </w:r>
          </w:p>
        </w:tc>
        <w:tc>
          <w:tcPr>
            <w:tcW w:w="1480" w:type="dxa"/>
            <w:vAlign w:val="bottom"/>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73,056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69,389</w:t>
            </w:r>
          </w:p>
        </w:tc>
      </w:tr>
      <w:tr>
        <w:trPr>
          <w:trHeight w:val="18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ALung</w:t>
            </w:r>
          </w:p>
        </w:tc>
        <w:tc>
          <w:tcPr>
            <w:tcW w:w="14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17,063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15,903</w:t>
            </w:r>
          </w:p>
        </w:tc>
      </w:tr>
      <w:tr>
        <w:trPr>
          <w:trHeight w:val="196"/>
        </w:trPr>
        <w:tc>
          <w:tcPr>
            <w:tcW w:w="72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90,119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85,292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80" w:firstLine="127"/>
        <w:spacing w:after="0" w:line="278" w:lineRule="auto"/>
        <w:rPr>
          <w:sz w:val="20"/>
          <w:szCs w:val="20"/>
          <w:color w:val="auto"/>
        </w:rPr>
      </w:pPr>
      <w:r>
        <w:rPr>
          <w:rFonts w:ascii="Times New Roman" w:cs="Times New Roman" w:eastAsia="Times New Roman" w:hAnsi="Times New Roman"/>
          <w:sz w:val="14"/>
          <w:szCs w:val="14"/>
          <w:color w:val="auto"/>
        </w:rPr>
        <w:t>The ImThera business combination involved contingent consideration arrangements composed of potential cash payments upon the achievement of a certain regulatory milestone and a sales-based earnout associated with sales of products. The sales-based earnouts are valued using projected sales from LivaNova’s internal strategic plan. These arrangements are Level 3 fair value measurements and include the following significant unobservable inputs as of March 31, 2023:</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ImThera Acquisition</w:t>
            </w:r>
          </w:p>
        </w:tc>
        <w:tc>
          <w:tcPr>
            <w:tcW w:w="206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200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71"/>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milestone-based payment</w:t>
            </w:r>
          </w:p>
        </w:tc>
        <w:tc>
          <w:tcPr>
            <w:tcW w:w="10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Discounted cash flow</w:t>
            </w: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0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9.7%</w:t>
            </w:r>
          </w:p>
        </w:tc>
      </w:tr>
      <w:tr>
        <w:trPr>
          <w:trHeight w:val="180"/>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Probability of payment</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3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payment year</w:t>
            </w:r>
          </w:p>
        </w:tc>
        <w:tc>
          <w:tcPr>
            <w:tcW w:w="2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r>
      <w:tr>
        <w:trPr>
          <w:trHeight w:val="212"/>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Sales-based earnout</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Monte Carlo simulation</w:t>
            </w: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- 14.1%</w:t>
            </w:r>
          </w:p>
        </w:tc>
      </w:tr>
      <w:tr>
        <w:trPr>
          <w:trHeight w:val="180"/>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Credit risk discount rate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- 10.6%</w:t>
            </w:r>
          </w:p>
        </w:tc>
      </w:tr>
      <w:tr>
        <w:trPr>
          <w:trHeight w:val="180"/>
        </w:trPr>
        <w:tc>
          <w:tcPr>
            <w:tcW w:w="3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volatility</w:t>
            </w:r>
          </w:p>
        </w:tc>
        <w:tc>
          <w:tcPr>
            <w:tcW w:w="2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32.5%</w:t>
            </w:r>
          </w:p>
        </w:tc>
      </w:tr>
      <w:tr>
        <w:trPr>
          <w:trHeight w:val="180"/>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Probability of payment</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3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years of earnout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- 2029</w:t>
            </w:r>
          </w:p>
        </w:tc>
      </w:tr>
      <w:tr>
        <w:trPr>
          <w:trHeight w:val="668"/>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3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0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8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14" w:name="page15"/>
    <w:bookmarkEnd w:id="14"/>
    <w:p>
      <w:pPr>
        <w:ind w:right="240" w:firstLine="127"/>
        <w:spacing w:after="0" w:line="303" w:lineRule="auto"/>
        <w:rPr>
          <w:sz w:val="20"/>
          <w:szCs w:val="20"/>
          <w:color w:val="auto"/>
        </w:rPr>
      </w:pPr>
      <w:r>
        <w:rPr>
          <w:rFonts w:ascii="Times New Roman" w:cs="Times New Roman" w:eastAsia="Times New Roman" w:hAnsi="Times New Roman"/>
          <w:sz w:val="14"/>
          <w:szCs w:val="14"/>
          <w:color w:val="auto"/>
        </w:rPr>
        <w:t>The ALung business combination involved a contingent consideration arrangement composed of potential cash payments upon the achievement of certain sales-based thresholds associated with sales of products. The arrangement is a Level 3 fair value measurement and includes the following significant unobservable inputs as of March 31, 2023:</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ALung Acquisition</w:t>
            </w:r>
          </w:p>
        </w:tc>
        <w:tc>
          <w:tcPr>
            <w:tcW w:w="304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314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6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71"/>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Sales-based earnout</w:t>
            </w:r>
          </w:p>
        </w:tc>
        <w:tc>
          <w:tcPr>
            <w:tcW w:w="80" w:type="dxa"/>
            <w:vAlign w:val="bottom"/>
            <w:tcBorders>
              <w:top w:val="single" w:sz="8" w:color="CCEEFF"/>
            </w:tcBorders>
            <w:shd w:val="clear" w:color="auto" w:fill="CCEEFF"/>
          </w:tcPr>
          <w:p>
            <w:pPr>
              <w:spacing w:after="0"/>
              <w:rPr>
                <w:sz w:val="14"/>
                <w:szCs w:val="14"/>
                <w:color w:val="auto"/>
              </w:rPr>
            </w:pPr>
          </w:p>
        </w:tc>
        <w:tc>
          <w:tcPr>
            <w:tcW w:w="2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Monte Carlo simulation</w:t>
            </w:r>
          </w:p>
        </w:tc>
        <w:tc>
          <w:tcPr>
            <w:tcW w:w="100" w:type="dxa"/>
            <w:vAlign w:val="bottom"/>
            <w:tcBorders>
              <w:top w:val="single" w:sz="8" w:color="CCEEFF"/>
            </w:tcBorders>
            <w:shd w:val="clear" w:color="auto" w:fill="CCEEFF"/>
          </w:tcPr>
          <w:p>
            <w:pPr>
              <w:spacing w:after="0"/>
              <w:rPr>
                <w:sz w:val="14"/>
                <w:szCs w:val="14"/>
                <w:color w:val="auto"/>
              </w:rPr>
            </w:pPr>
          </w:p>
        </w:tc>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10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9.3% - 10.4%</w:t>
            </w:r>
          </w:p>
        </w:tc>
      </w:tr>
      <w:tr>
        <w:trPr>
          <w:trHeight w:val="180"/>
        </w:trPr>
        <w:tc>
          <w:tcPr>
            <w:tcW w:w="3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Credit risk discount rate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 - 10.2%</w:t>
            </w:r>
          </w:p>
        </w:tc>
      </w:tr>
      <w:tr>
        <w:trPr>
          <w:trHeight w:val="180"/>
        </w:trPr>
        <w:tc>
          <w:tcPr>
            <w:tcW w:w="3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volatility</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30.7%</w:t>
            </w:r>
          </w:p>
        </w:tc>
      </w:tr>
      <w:tr>
        <w:trPr>
          <w:trHeight w:val="184"/>
        </w:trPr>
        <w:tc>
          <w:tcPr>
            <w:tcW w:w="3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Projected years of earnout</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2023 - 2027</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Financing Arrangements</w:t>
      </w:r>
    </w:p>
    <w:p>
      <w:pPr>
        <w:spacing w:after="0" w:line="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outstanding principal amount of long-term debt as of March 31, 2023 and December 31, 2022 was as follows (in thousands, except interest rates):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18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Interest Rate</w:t>
            </w:r>
          </w:p>
        </w:tc>
      </w:tr>
      <w:tr>
        <w:trPr>
          <w:trHeight w:val="171"/>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Facilities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288,022</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289,294</w:t>
            </w: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July 2027</w:t>
            </w:r>
          </w:p>
        </w:tc>
        <w:tc>
          <w:tcPr>
            <w:tcW w:w="100" w:type="dxa"/>
            <w:vAlign w:val="bottom"/>
            <w:tcBorders>
              <w:top w:val="single" w:sz="8" w:color="CCEEFF"/>
            </w:tcBorders>
            <w:shd w:val="clear" w:color="auto" w:fill="CCEEFF"/>
          </w:tcPr>
          <w:p>
            <w:pPr>
              <w:spacing w:after="0"/>
              <w:rPr>
                <w:sz w:val="14"/>
                <w:szCs w:val="14"/>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8.20%</w:t>
            </w: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 Cash Exchangeable Senior Notes</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243,320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239,568</w:t>
            </w:r>
          </w:p>
        </w:tc>
        <w:tc>
          <w:tcPr>
            <w:tcW w:w="100" w:type="dxa"/>
            <w:vAlign w:val="bottom"/>
          </w:tcPr>
          <w:p>
            <w:pPr>
              <w:spacing w:after="0"/>
              <w:rPr>
                <w:sz w:val="15"/>
                <w:szCs w:val="15"/>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December 2025</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 of America Merrill Lynch Banco Múltiplo S.A.</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6,462</w:t>
            </w: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July 2023</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16.20%</w:t>
            </w: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Mediocredito Italiano</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100" w:type="dxa"/>
            <w:vAlign w:val="bottom"/>
          </w:tcPr>
          <w:p>
            <w:pPr>
              <w:spacing w:after="0"/>
              <w:rPr>
                <w:sz w:val="15"/>
                <w:szCs w:val="15"/>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December 2023</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0.50% - 6.59%</w:t>
            </w: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 of America, U.S.</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January 2025</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7.74%</w:t>
            </w:r>
          </w:p>
        </w:tc>
      </w:tr>
      <w:tr>
        <w:trPr>
          <w:trHeight w:val="18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80" w:type="dxa"/>
            <w:vAlign w:val="bottom"/>
            <w:tcBorders>
              <w:bottom w:val="single" w:sz="8" w:color="CCEEFF"/>
            </w:tcBorders>
          </w:tcPr>
          <w:p>
            <w:pPr>
              <w:spacing w:after="0"/>
              <w:rPr>
                <w:sz w:val="15"/>
                <w:szCs w:val="15"/>
                <w:color w:val="auto"/>
              </w:rPr>
            </w:pPr>
          </w:p>
        </w:tc>
      </w:tr>
      <w:tr>
        <w:trPr>
          <w:trHeight w:val="171"/>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long-term facilities</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541,758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538,959</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r>
      <w:tr>
        <w:trPr>
          <w:trHeight w:val="18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21,557</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20,892</w:t>
            </w:r>
          </w:p>
        </w:tc>
        <w:tc>
          <w:tcPr>
            <w:tcW w:w="10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80" w:type="dxa"/>
            <w:vAlign w:val="bottom"/>
            <w:tcBorders>
              <w:bottom w:val="single" w:sz="8" w:color="CCEEFF"/>
            </w:tcBorders>
          </w:tcPr>
          <w:p>
            <w:pPr>
              <w:spacing w:after="0"/>
              <w:rPr>
                <w:sz w:val="15"/>
                <w:szCs w:val="15"/>
                <w:color w:val="auto"/>
              </w:rPr>
            </w:pPr>
          </w:p>
        </w:tc>
      </w:tr>
      <w:tr>
        <w:trPr>
          <w:trHeight w:val="196"/>
        </w:trPr>
        <w:tc>
          <w:tcPr>
            <w:tcW w:w="4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long-term debt obligations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520,201</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518,067</w:t>
            </w:r>
          </w:p>
        </w:tc>
        <w:tc>
          <w:tcPr>
            <w:tcW w:w="1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spacing w:after="0"/>
              <w:rPr>
                <w:sz w:val="16"/>
                <w:szCs w:val="16"/>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Revolving Credit</w:t>
      </w:r>
    </w:p>
    <w:p>
      <w:pPr>
        <w:spacing w:after="0" w:line="85" w:lineRule="exact"/>
        <w:rPr>
          <w:sz w:val="20"/>
          <w:szCs w:val="20"/>
          <w:color w:val="auto"/>
        </w:rPr>
      </w:pPr>
    </w:p>
    <w:p>
      <w:pPr>
        <w:jc w:val="both"/>
        <w:ind w:firstLine="127"/>
        <w:spacing w:after="0" w:line="303" w:lineRule="auto"/>
        <w:rPr>
          <w:sz w:val="20"/>
          <w:szCs w:val="20"/>
          <w:color w:val="auto"/>
        </w:rPr>
      </w:pPr>
      <w:r>
        <w:rPr>
          <w:rFonts w:ascii="Times New Roman" w:cs="Times New Roman" w:eastAsia="Times New Roman" w:hAnsi="Times New Roman"/>
          <w:sz w:val="14"/>
          <w:szCs w:val="14"/>
          <w:color w:val="auto"/>
        </w:rPr>
        <w:t>The outstanding principal amount of LivaNova’s short-term unsecured revolving credit agreements and other agreements with various banks was $0.7 million and $2.5 million as of March 31, 2023 and December 31, 2022, respectively, with an interest rate of 4.24% and loan terms ranging from overnight to 364 days, as of March 31, 2023.</w:t>
      </w:r>
    </w:p>
    <w:p>
      <w:pPr>
        <w:spacing w:after="0" w:line="39" w:lineRule="exact"/>
        <w:rPr>
          <w:sz w:val="20"/>
          <w:szCs w:val="20"/>
          <w:color w:val="auto"/>
        </w:rPr>
      </w:pPr>
    </w:p>
    <w:p>
      <w:pPr>
        <w:ind w:right="80" w:firstLine="127"/>
        <w:spacing w:after="0" w:line="267" w:lineRule="auto"/>
        <w:rPr>
          <w:sz w:val="20"/>
          <w:szCs w:val="20"/>
          <w:color w:val="auto"/>
        </w:rPr>
      </w:pPr>
      <w:r>
        <w:rPr>
          <w:rFonts w:ascii="Times New Roman" w:cs="Times New Roman" w:eastAsia="Times New Roman" w:hAnsi="Times New Roman"/>
          <w:sz w:val="14"/>
          <w:szCs w:val="14"/>
          <w:color w:val="auto"/>
        </w:rPr>
        <w:t>On August 13, 2021, LivaNova PLC and its wholly-owned subsidiary, LivaNova USA as borrower, entered into a First Lien Credit Agreement with the lenders and issuing banks party thereto and Goldman Sachs Bank USA, as First Lien Administrative Agent and First Lien Collateral Agent, relating to a $125 million senior secured multi-currency revolving credit facility to be made available to the borrower, referred to as the 2021 First Lien Credit Agreement. The 2021 First Lien Credit Agreement, as amended from time to time, expires on August 13, 2026 and bears interest at a rate equal to, for U.S. dollar-denominated loans, an adjusted SOFR with a floor of 0.00%, or a Base Rate, plus, in each case, a variable margin based on the Company’s Total Net Leverage Ratio, as defined in the agreement. Interest is paid monthly or quarterly, as selected by the borrower, with any outstanding principal due at maturity. The 2021 First Lien Credit Agreement also contemplates the payment of commitment fees on the unused portion of the commitments, at a variable percentage based on the Company’s Total Net Leverage Ratio. As of March 31, 2023 and December 31, 2022, the applicable commitment fee percentage was 0.5% per annum. The 2021 First Lien Credit Agreement is available for working capital and other general corporate purposes and, if drawn, can be repaid at any time without premium or penalty. As of March 31, 2023, the Company was in compliance with the financial covenants contained in its 2021 First Lien Credit Agreement.</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There were no outstanding borrowings under the 2021 First Lien Credit Agreement’s $125 million revolving credit facility as of March 31, 2023 and December 31, 2022.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Bridge Loan Facility</w:t>
      </w:r>
    </w:p>
    <w:p>
      <w:pPr>
        <w:spacing w:after="0" w:line="96" w:lineRule="exact"/>
        <w:rPr>
          <w:sz w:val="20"/>
          <w:szCs w:val="20"/>
          <w:color w:val="auto"/>
        </w:rPr>
      </w:pPr>
    </w:p>
    <w:p>
      <w:pPr>
        <w:ind w:firstLine="127"/>
        <w:spacing w:after="0" w:line="278" w:lineRule="auto"/>
        <w:rPr>
          <w:sz w:val="20"/>
          <w:szCs w:val="20"/>
          <w:color w:val="auto"/>
        </w:rPr>
      </w:pPr>
      <w:r>
        <w:rPr>
          <w:rFonts w:ascii="Times New Roman" w:cs="Times New Roman" w:eastAsia="Times New Roman" w:hAnsi="Times New Roman"/>
          <w:sz w:val="14"/>
          <w:szCs w:val="14"/>
          <w:color w:val="auto"/>
        </w:rPr>
        <w:t>On February 24, 2022, LivaNova PLC and its wholly-owned subsidiary, LivaNova USA entered into the €200 million Bridge Loan Facility. On March 16, 2022, LivaNova entered into Amendment No. 2 to the 2021 First Lien Credit Agreement, which converted the available borrowings under the Bridge Loan Facility from €200 million to $220 million and converted the EURIBOR rate in the 2021 First Lien Credit Agreement to SOFR. LivaNova delivered a borrowing notice for $220 million in connection with the Bridge Loan Facility, which was funded on March 17, 2022.</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5" w:name="page16"/>
    <w:bookmarkEnd w:id="15"/>
    <w:p>
      <w:pPr>
        <w:ind w:firstLine="127"/>
        <w:spacing w:after="0" w:line="273" w:lineRule="auto"/>
        <w:rPr>
          <w:sz w:val="20"/>
          <w:szCs w:val="20"/>
          <w:color w:val="auto"/>
        </w:rPr>
      </w:pPr>
      <w:r>
        <w:rPr>
          <w:rFonts w:ascii="Times New Roman" w:cs="Times New Roman" w:eastAsia="Times New Roman" w:hAnsi="Times New Roman"/>
          <w:sz w:val="14"/>
          <w:szCs w:val="14"/>
          <w:color w:val="auto"/>
        </w:rPr>
        <w:t>On March 18, 2022, LivaNova PLC, acting through its Italian branch, entered into an Indemnity Letter and an Account Pledge Agreement with Barclays, further to which Barclays issued the SNIA Litigation Guarantee. As security for the SNIA Litigation Guarantee, LivaNova is required to grant cash collateral to Barclays in USD in an amount equal to the USD equivalent of 105% of the amount of the SNIA Litigation Guarantee calibrated on a biweekly basis. The proceeds of the Bridge Loan Facility were used by LivaNova to post a portion of the cash collateral supporting the SNIA Litigation Guarantee. Cash collateral classified as restricted cash on the condensed consolidated balance sheet was $308.6 million and $301.4 million as of March 31, 2023 and December 31, 2022, respectively. For additional information regarding the SNIA litigation, please refer to “Note 6. Commitments and Contingencies.”</w:t>
      </w:r>
    </w:p>
    <w:p>
      <w:pPr>
        <w:spacing w:after="0" w:line="50" w:lineRule="exact"/>
        <w:rPr>
          <w:sz w:val="20"/>
          <w:szCs w:val="20"/>
          <w:color w:val="auto"/>
        </w:rPr>
      </w:pPr>
    </w:p>
    <w:p>
      <w:pPr>
        <w:ind w:right="640" w:firstLine="127"/>
        <w:spacing w:after="0" w:line="303" w:lineRule="auto"/>
        <w:rPr>
          <w:sz w:val="20"/>
          <w:szCs w:val="20"/>
          <w:color w:val="auto"/>
        </w:rPr>
      </w:pPr>
      <w:r>
        <w:rPr>
          <w:rFonts w:ascii="Times New Roman" w:cs="Times New Roman" w:eastAsia="Times New Roman" w:hAnsi="Times New Roman"/>
          <w:sz w:val="14"/>
          <w:szCs w:val="14"/>
          <w:color w:val="auto"/>
        </w:rPr>
        <w:t>Debt discounts and issuance costs related to the Bridge Loan Facility were approximately $4.5 million. Amortization of debt discount and issuance costs for the Bridge Loan Facility was $0.9 million for the three months ended March 31, 2022 and is included in interest expense on the condensed consolidated statement of income.</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Bridge Loan Facility was repaid in full on July 6, 2022.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Term Facilities</w:t>
      </w:r>
    </w:p>
    <w:p>
      <w:pPr>
        <w:spacing w:after="0" w:line="96" w:lineRule="exact"/>
        <w:rPr>
          <w:sz w:val="20"/>
          <w:szCs w:val="20"/>
          <w:color w:val="auto"/>
        </w:rPr>
      </w:pPr>
    </w:p>
    <w:p>
      <w:pPr>
        <w:ind w:firstLine="127"/>
        <w:spacing w:after="0" w:line="275" w:lineRule="auto"/>
        <w:rPr>
          <w:sz w:val="20"/>
          <w:szCs w:val="20"/>
          <w:color w:val="auto"/>
        </w:rPr>
      </w:pPr>
      <w:r>
        <w:rPr>
          <w:rFonts w:ascii="Times New Roman" w:cs="Times New Roman" w:eastAsia="Times New Roman" w:hAnsi="Times New Roman"/>
          <w:sz w:val="14"/>
          <w:szCs w:val="14"/>
          <w:color w:val="auto"/>
        </w:rPr>
        <w:t>On July 6, 2022, LivaNova and its wholly-owned subsidiary, LivaNova USA, entered into Incremental Facility Amendment No. 2. Incremental Facility Amendment No. 2 provides for LivaNova USA to, among other things, obtain commitments for term loan facilities from a syndicate of lenders in an aggregate principal amount of $350 million consisting of (i) the Initial Term Facility with an aggregate principal amount of $300 million and (ii) the Delayed Draw Term Facility with an additional aggregate principal amount of $50 million, which are available in one single drawing on or after July 6, 2022 until the date that is nine months after such date, together the Term Facilities. As of March 31, 2023, availability under the Delayed Draw Term Facility was $50 million.</w:t>
      </w:r>
    </w:p>
    <w:p>
      <w:pPr>
        <w:spacing w:after="0" w:line="47" w:lineRule="exact"/>
        <w:rPr>
          <w:sz w:val="20"/>
          <w:szCs w:val="20"/>
          <w:color w:val="auto"/>
        </w:rPr>
      </w:pPr>
    </w:p>
    <w:p>
      <w:pPr>
        <w:ind w:right="80" w:firstLine="127"/>
        <w:spacing w:after="0" w:line="269" w:lineRule="auto"/>
        <w:rPr>
          <w:sz w:val="20"/>
          <w:szCs w:val="20"/>
          <w:color w:val="auto"/>
        </w:rPr>
      </w:pPr>
      <w:r>
        <w:rPr>
          <w:rFonts w:ascii="Times New Roman" w:cs="Times New Roman" w:eastAsia="Times New Roman" w:hAnsi="Times New Roman"/>
          <w:sz w:val="14"/>
          <w:szCs w:val="14"/>
          <w:color w:val="auto"/>
        </w:rPr>
        <w:t>Proceeds from the Initial Term Facility were used to repay in full the Bridge Loan Facility on July 6, 2022, with the remainder used for general corporate purposes of the Company. The Term Facilities have a maturity of the earlier of (i) five years or (ii) 91 days prior to December 15, 2025, the maturity date of the 2020 Cash Exchangeable Senior Notes, unless by that date LivaNova USA will have either redeemed or refinanced the Notes, or set aside an amount of cash equal to the then-outstanding principal amount of the Notes. The Term Facilities bear interest at a rate equal to an adjusted term SOFR plus a variable margin based on the Company’s consolidated total net leverage ratio. As of March 31, 2023, the applicable margin over Adjusted SOFR was equal to 3.50% per annum. The Term Facilities are subject to an original issue discount of 1.5% of their principal amount. The Delayed Draw Term Facility also contemplates the payment of commitment fees at a variable percentage based on the Company’s total net leverage ratio. As of March 31, 2023 and December 31, 2022, the applicable commitment fee percentage was equal to 0.50% per annum. The Term Facilities are subject to quarterly principal repayment, based on the following amortization schedule: (i) during the first year from the initial funding date: 1.9%; (ii) year two: 5.0%; (ii) year three: 5.0%; (iv) year four: 7.5%; and (v) year five: 10.0%, with the remainder to be paid at maturity. The effective interest rate of the Initial Term Facility at March 31, 2023 was 6.53%.</w:t>
      </w:r>
    </w:p>
    <w:p>
      <w:pPr>
        <w:spacing w:after="0" w:line="52" w:lineRule="exact"/>
        <w:rPr>
          <w:sz w:val="20"/>
          <w:szCs w:val="20"/>
          <w:color w:val="auto"/>
        </w:rPr>
      </w:pPr>
    </w:p>
    <w:p>
      <w:pPr>
        <w:ind w:right="80" w:firstLine="127"/>
        <w:spacing w:after="0" w:line="273" w:lineRule="auto"/>
        <w:rPr>
          <w:sz w:val="20"/>
          <w:szCs w:val="20"/>
          <w:color w:val="auto"/>
        </w:rPr>
      </w:pPr>
      <w:r>
        <w:rPr>
          <w:rFonts w:ascii="Times New Roman" w:cs="Times New Roman" w:eastAsia="Times New Roman" w:hAnsi="Times New Roman"/>
          <w:sz w:val="14"/>
          <w:szCs w:val="14"/>
          <w:color w:val="auto"/>
        </w:rPr>
        <w:t>The 2021 First Lien Credit Agreement, as amended, contains customary representations, warranties and covenants, including the requirement to maintain a Senior Secured First Lien Net Leverage Ratio, calculated as the ratio of Consolidated Senior Secured First Lien Net Indebtedness to Consolidated EBITDA, as defined in the credit agreement, for the period of four consecutive fiscal quarters ended on the calculation date, of not more than 3.50 to 1.00 and an Interest Coverage Ratio, calculated as the ratio of Consolidated EBITDA to Consolidated Interest Expense, as defined in the credit agreement, for the period of four consecutive fiscal quarters ended on the calculation date, of not less than 3.00 to 1.00. As of March 31, 2023, the Company was in compliance with the financial covenants contained in the 2021 First Lien Credit Agreement.</w:t>
      </w:r>
    </w:p>
    <w:p>
      <w:pPr>
        <w:spacing w:after="0" w:line="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Debt discounts and issuance costs related to the Initial Term Facility were approximately $9.6 million. Amortization of debt discount and issuance costs for the Initial Term Facility was</w:t>
      </w:r>
    </w:p>
    <w:p>
      <w:pPr>
        <w:spacing w:after="0" w:line="23"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4"/>
          <w:szCs w:val="14"/>
          <w:color w:val="auto"/>
        </w:rPr>
        <w:t>$0.5 million for the three months ended March 31, 2023, and is included in interest expense on the condensed consolidated statement of income. The unamortized discount and issuance costs related to the Initial Term Facility as of March 31, 2023 was $8.2 million. Issuance costs related to the Delayed Draw Term Facility were approximately $1.6 million. Amortization of issuance costs for the Delayed Draw Term Facility was $0.5 million for the three months ended March 31, 2023, and is included in interest expense on the condensed consolidated statement of income. The issuance costs related to the Delayed Draw Term Facility were fully amortized as of March 31, 2023.</w:t>
      </w: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color w:val="auto"/>
        </w:rPr>
        <w:t>2020 Cash Exchangeable Senior Notes</w:t>
      </w:r>
    </w:p>
    <w:p>
      <w:pPr>
        <w:spacing w:after="0" w:line="85" w:lineRule="exact"/>
        <w:rPr>
          <w:sz w:val="20"/>
          <w:szCs w:val="20"/>
          <w:color w:val="auto"/>
        </w:rPr>
      </w:pPr>
    </w:p>
    <w:p>
      <w:pPr>
        <w:ind w:right="180" w:firstLine="127"/>
        <w:spacing w:after="0" w:line="275" w:lineRule="auto"/>
        <w:rPr>
          <w:sz w:val="20"/>
          <w:szCs w:val="20"/>
          <w:color w:val="auto"/>
        </w:rPr>
      </w:pPr>
      <w:r>
        <w:rPr>
          <w:rFonts w:ascii="Times New Roman" w:cs="Times New Roman" w:eastAsia="Times New Roman" w:hAnsi="Times New Roman"/>
          <w:sz w:val="14"/>
          <w:szCs w:val="14"/>
          <w:color w:val="auto"/>
        </w:rPr>
        <w:t>On June 17, 2020, LivaNova’s wholly-owned subsidiary, LivaNova USA, issued $287.5 million aggregate principal amount of 3.00% Notes by private placement to qualified institutional buyers pursuant to Rule 144A under the Securities Act. The sale of the Notes resulted in approximately $278.0 million in net proceeds to the Company after deducting issuance costs. Interest is payable semiannually in arrears on June 15 and December 15 of each year. The effective interest rate of the Notes at March 31, 2023 was 9.95%. The Notes mature on December 15, 2025 unless earlier exchanged, repurchased, or redeemed.</w:t>
      </w:r>
    </w:p>
    <w:p>
      <w:pPr>
        <w:spacing w:after="0" w:line="58" w:lineRule="exact"/>
        <w:rPr>
          <w:sz w:val="20"/>
          <w:szCs w:val="20"/>
          <w:color w:val="auto"/>
        </w:rPr>
      </w:pPr>
    </w:p>
    <w:p>
      <w:pPr>
        <w:ind w:firstLine="127"/>
        <w:spacing w:after="0" w:line="275" w:lineRule="auto"/>
        <w:rPr>
          <w:sz w:val="20"/>
          <w:szCs w:val="20"/>
          <w:color w:val="auto"/>
        </w:rPr>
      </w:pPr>
      <w:r>
        <w:rPr>
          <w:rFonts w:ascii="Times New Roman" w:cs="Times New Roman" w:eastAsia="Times New Roman" w:hAnsi="Times New Roman"/>
          <w:sz w:val="14"/>
          <w:szCs w:val="14"/>
          <w:color w:val="auto"/>
        </w:rPr>
        <w:t>Debt discounts and issuance costs related to the Notes were approximately $82.0 million and included $75.0 million of discount attributable to the embedded exchange feature, discussed below, and $7.0 million of allocated issuance costs to the Notes related to legal, bank and accounting fees. Amortization of debt discount and issuance costs for the Notes was $3.8 million and $3.4 million for the three months ended March 31, 2023 and 2022, respectively, and is included in interest expense on the condensed consolidated statement of income. The unamortized discount related to the Notes as of March 31, 2023 and December 31, 2022 was $44.2 million and $47.9 million, respectively.</w:t>
      </w:r>
    </w:p>
    <w:p>
      <w:pPr>
        <w:spacing w:after="0" w:line="58" w:lineRule="exact"/>
        <w:rPr>
          <w:sz w:val="20"/>
          <w:szCs w:val="20"/>
          <w:color w:val="auto"/>
        </w:rPr>
      </w:pPr>
    </w:p>
    <w:p>
      <w:pPr>
        <w:ind w:right="80" w:firstLine="127"/>
        <w:spacing w:after="0" w:line="269" w:lineRule="auto"/>
        <w:rPr>
          <w:sz w:val="20"/>
          <w:szCs w:val="20"/>
          <w:color w:val="auto"/>
        </w:rPr>
      </w:pPr>
      <w:r>
        <w:rPr>
          <w:rFonts w:ascii="Times New Roman" w:cs="Times New Roman" w:eastAsia="Times New Roman" w:hAnsi="Times New Roman"/>
          <w:sz w:val="14"/>
          <w:szCs w:val="14"/>
          <w:color w:val="auto"/>
        </w:rPr>
        <w:t>Holders of the Notes are entitled to exchange the Notes at any time during specified periods, at their option. This includes the right to exchange the Notes during any calendar quarter, if the last reported sale price of LivaNova’s ordinary shares, with a nominal value of £1.00 per share, is greater than or equal to 130% of the exchange price, or $79.27 per share for at least 20 trading days (whether or not consecutive) during a period of 30 consecutive trading days ending on, and including, the last trading day of the immediately preceding calendar quarter. The exchange condition was not satisfied during the quarterly period ending March 31, 2023. As a result, the Company has included its obligations from the Notes and the associated embedded exchange feature derivative as a long-term liability on the condensed consolidated balance sheet as of March 31, 2023. The Notes are exchangeable solely into cash and are not exchangeable into ordinary shares of LivaNova or any other security under any circumstances. The initial exchange rate for the Notes is 16.3980 ordinary shares per $1,000 principal amount of Notes (equivalent to an initial exchange price of approximately $60.98 per share). The exchange rate is subject to adjustment in certain circumstances, as set forth in the indenture governing the Notes.</w:t>
      </w:r>
    </w:p>
    <w:p>
      <w:pPr>
        <w:spacing w:after="0" w:line="53" w:lineRule="exact"/>
        <w:rPr>
          <w:sz w:val="20"/>
          <w:szCs w:val="20"/>
          <w:color w:val="auto"/>
        </w:rPr>
      </w:pPr>
    </w:p>
    <w:p>
      <w:pPr>
        <w:ind w:right="160" w:firstLine="127"/>
        <w:spacing w:after="0" w:line="255" w:lineRule="auto"/>
        <w:rPr>
          <w:sz w:val="20"/>
          <w:szCs w:val="20"/>
          <w:color w:val="auto"/>
        </w:rPr>
      </w:pPr>
      <w:r>
        <w:rPr>
          <w:rFonts w:ascii="Times New Roman" w:cs="Times New Roman" w:eastAsia="Times New Roman" w:hAnsi="Times New Roman"/>
          <w:sz w:val="14"/>
          <w:szCs w:val="14"/>
          <w:color w:val="auto"/>
        </w:rPr>
        <w:t>The Company may redeem the Notes at its option, on or after June 20, 2023 and prior to the 51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scheduled trading day immediately preceding the maturity date, in whole or in part, if the last reported sale price per ordinary share has been at least 130% of the exchange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Additionally, the Company may redeem the Notes at its option, prior to their stated maturity, in whole but not in part, in connection with certain tax-related events.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Embedded Exchange Feature</w:t>
      </w:r>
    </w:p>
    <w:p>
      <w:pPr>
        <w:spacing w:after="0" w:line="96" w:lineRule="exact"/>
        <w:rPr>
          <w:sz w:val="20"/>
          <w:szCs w:val="20"/>
          <w:color w:val="auto"/>
        </w:rPr>
      </w:pPr>
    </w:p>
    <w:p>
      <w:pPr>
        <w:ind w:right="80" w:firstLine="127"/>
        <w:spacing w:after="0" w:line="269" w:lineRule="auto"/>
        <w:rPr>
          <w:sz w:val="20"/>
          <w:szCs w:val="20"/>
          <w:color w:val="auto"/>
        </w:rPr>
      </w:pPr>
      <w:r>
        <w:rPr>
          <w:rFonts w:ascii="Times New Roman" w:cs="Times New Roman" w:eastAsia="Times New Roman" w:hAnsi="Times New Roman"/>
          <w:sz w:val="14"/>
          <w:szCs w:val="14"/>
          <w:color w:val="auto"/>
        </w:rPr>
        <w:t>The embedded exchange feature of the Notes requires bifurcation from the Notes and is accounted for as a derivative liability. The fair value of the Notes’ embedded exchange feature derivative at the time of issuance was $75.0 million and was recorded as debt discount on the Notes. This discount is amortized as interest expense using the effective interest method over the term of the Notes. The Notes’ embedded exchange feature derivative is carried on the condensed consolidated balance sheets at its estimated fair value and is adjusted at the end of each reporting period, with the unrealized gain or loss reflected within “Foreign exchange and other income/(expense)” in the condensed consolidated statements of income. The fair value of the embedded exchange feature derivative liability was $41.3 million and $85.7 million as of March 31, 2023 and December 31, 2022,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Capped Call Transactions</w:t>
      </w:r>
    </w:p>
    <w:p>
      <w:pPr>
        <w:spacing w:after="0" w:line="85" w:lineRule="exact"/>
        <w:rPr>
          <w:sz w:val="20"/>
          <w:szCs w:val="20"/>
          <w:color w:val="auto"/>
        </w:rPr>
      </w:pPr>
    </w:p>
    <w:p>
      <w:pPr>
        <w:ind w:right="40" w:firstLine="127"/>
        <w:spacing w:after="0" w:line="269" w:lineRule="auto"/>
        <w:rPr>
          <w:sz w:val="20"/>
          <w:szCs w:val="20"/>
          <w:color w:val="auto"/>
        </w:rPr>
      </w:pPr>
      <w:r>
        <w:rPr>
          <w:rFonts w:ascii="Times New Roman" w:cs="Times New Roman" w:eastAsia="Times New Roman" w:hAnsi="Times New Roman"/>
          <w:sz w:val="14"/>
          <w:szCs w:val="14"/>
          <w:color w:val="auto"/>
        </w:rPr>
        <w:t>In connection with the pricing of the Notes, the Company entered into privately negotiated capped call transactions with certain of the initial purchasers of the Notes or their respective affiliates. The capped call transactions cover, subject to anti-dilution adjustments substantially similar to those applicable to the Notes, the number of LivaNova’s ordinary shares underlying the Notes and are expected generally to offset any cash payments the Company is required to make upon exchange of the Notes in excess of the principal amount thereof in the event that the market value per ordinary share, as measured under the capped call transactions, is greater than the strike price of the capped call transactions, with such offset being subject to an initial cap price of $100.00 per share. The capped call transactions expire on December 15, 2025 and must be settled in cash. If the capped call transactions are converted or redeemed early, settlement occurs at their termination value, which is equal to their fair value at the time of the redemption. The capped call transactions are carried on the condensed consolidated balance sheets as a derivative asset at their estimated fair value and are adjusted at the end of each reporting period, with unrealized gain or loss reflected within foreign exchange and other income/(expense) in the condensed consolidated statements of income. The fair</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17" w:name="page18"/>
    <w:bookmarkEnd w:id="17"/>
    <w:p>
      <w:pPr>
        <w:ind w:right="260"/>
        <w:spacing w:after="0" w:line="303" w:lineRule="auto"/>
        <w:rPr>
          <w:sz w:val="20"/>
          <w:szCs w:val="20"/>
          <w:color w:val="auto"/>
        </w:rPr>
      </w:pPr>
      <w:r>
        <w:rPr>
          <w:rFonts w:ascii="Times New Roman" w:cs="Times New Roman" w:eastAsia="Times New Roman" w:hAnsi="Times New Roman"/>
          <w:sz w:val="14"/>
          <w:szCs w:val="14"/>
          <w:color w:val="auto"/>
        </w:rPr>
        <w:t>value of the capped call derivative assets was $31.0 million and $54.4 million as of March 31, 2023 and December 31, 2022, respectively. As of March 31, 2023, the capped call derivative assets were classified as long-term.</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Derivatives and Risk Management</w:t>
      </w:r>
    </w:p>
    <w:p>
      <w:pPr>
        <w:spacing w:after="0" w:line="98" w:lineRule="exact"/>
        <w:rPr>
          <w:sz w:val="20"/>
          <w:szCs w:val="20"/>
          <w:color w:val="auto"/>
        </w:rPr>
      </w:pPr>
    </w:p>
    <w:p>
      <w:pPr>
        <w:ind w:right="280" w:firstLine="127"/>
        <w:spacing w:after="0" w:line="287" w:lineRule="auto"/>
        <w:rPr>
          <w:sz w:val="20"/>
          <w:szCs w:val="20"/>
          <w:color w:val="auto"/>
        </w:rPr>
      </w:pPr>
      <w:r>
        <w:rPr>
          <w:rFonts w:ascii="Times New Roman" w:cs="Times New Roman" w:eastAsia="Times New Roman" w:hAnsi="Times New Roman"/>
          <w:sz w:val="14"/>
          <w:szCs w:val="14"/>
          <w:color w:val="auto"/>
        </w:rPr>
        <w:t>Due to the global nature of LivaNova’s operations, LivaNova is exposed to foreign currency exchange rate fluctuations. Historically, the Company has entered into FX derivative contracts and interest rate swap contracts to reduce the impact of foreign currency exchange rate and interest rate fluctuations, respectively, on earnings and cash flow.</w:t>
      </w:r>
    </w:p>
    <w:p>
      <w:pPr>
        <w:spacing w:after="0" w:line="50" w:lineRule="exact"/>
        <w:rPr>
          <w:sz w:val="20"/>
          <w:szCs w:val="20"/>
          <w:color w:val="auto"/>
        </w:rPr>
      </w:pPr>
    </w:p>
    <w:p>
      <w:pPr>
        <w:ind w:right="300" w:firstLine="127"/>
        <w:spacing w:after="0" w:line="278" w:lineRule="auto"/>
        <w:rPr>
          <w:sz w:val="20"/>
          <w:szCs w:val="20"/>
          <w:color w:val="auto"/>
        </w:rPr>
      </w:pPr>
      <w:r>
        <w:rPr>
          <w:rFonts w:ascii="Times New Roman" w:cs="Times New Roman" w:eastAsia="Times New Roman" w:hAnsi="Times New Roman"/>
          <w:sz w:val="14"/>
          <w:szCs w:val="14"/>
          <w:color w:val="auto"/>
        </w:rPr>
        <w:t>LivaNova is also exposed to equity price risk in connection with its Notes, including exchange and settlement provisions based on the price of the Company’s ordinary shares at exchange or maturity of the Notes. In addition, the capped call transactions associated with the Notes also include settlement provisions that are based on the price of LivaNova’s ordinary shares, subject to a capped price per share. LivaNova does not enter into derivative contracts for speculative purposes.</w:t>
      </w:r>
    </w:p>
    <w:p>
      <w:pPr>
        <w:spacing w:after="0" w:line="56" w:lineRule="exact"/>
        <w:rPr>
          <w:sz w:val="20"/>
          <w:szCs w:val="20"/>
          <w:color w:val="auto"/>
        </w:rPr>
      </w:pPr>
    </w:p>
    <w:p>
      <w:pPr>
        <w:ind w:right="420" w:firstLine="127"/>
        <w:spacing w:after="0" w:line="278" w:lineRule="auto"/>
        <w:rPr>
          <w:sz w:val="20"/>
          <w:szCs w:val="20"/>
          <w:color w:val="auto"/>
        </w:rPr>
      </w:pPr>
      <w:r>
        <w:rPr>
          <w:rFonts w:ascii="Times New Roman" w:cs="Times New Roman" w:eastAsia="Times New Roman" w:hAnsi="Times New Roman"/>
          <w:sz w:val="14"/>
          <w:szCs w:val="14"/>
          <w:color w:val="auto"/>
        </w:rPr>
        <w:t>LivaNova measures all outstanding derivatives each period end at fair value and reports the fair value as either financial assets or liabilities on the condensed consolidated balance sheets. At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56" w:lineRule="exact"/>
        <w:rPr>
          <w:sz w:val="20"/>
          <w:szCs w:val="20"/>
          <w:color w:val="auto"/>
        </w:rPr>
      </w:pPr>
    </w:p>
    <w:p>
      <w:pPr>
        <w:ind w:right="20" w:firstLine="127"/>
        <w:spacing w:after="0" w:line="275" w:lineRule="auto"/>
        <w:rPr>
          <w:sz w:val="20"/>
          <w:szCs w:val="20"/>
          <w:color w:val="auto"/>
        </w:rPr>
      </w:pPr>
      <w:r>
        <w:rPr>
          <w:rFonts w:ascii="Times New Roman" w:cs="Times New Roman" w:eastAsia="Times New Roman" w:hAnsi="Times New Roman"/>
          <w:sz w:val="14"/>
          <w:szCs w:val="14"/>
          <w:color w:val="auto"/>
        </w:rPr>
        <w:t>If the derivative qualifies for hedge accounting, changes in the fair value of the derivative will be recorded in AOCI until the hedged item is recognized in earnings upon settlement/termination. FX derivative gains and losses in AOCI are reclassified to the condensed consolidated statements of income as shown in the tables below, and interest rate swap gains and losses in AOCI are reclassified to interest expense on the condensed consolidated statements of income. The Company evaluates hedge effectiveness at inception. Cash flows from derivative contracts are reported as operating activities on LivaNova’s condensed consolidated statements of cash flows.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Freestanding FX Derivative Contracts</w:t>
      </w:r>
    </w:p>
    <w:p>
      <w:pPr>
        <w:spacing w:after="0" w:line="85" w:lineRule="exact"/>
        <w:rPr>
          <w:sz w:val="20"/>
          <w:szCs w:val="20"/>
          <w:color w:val="auto"/>
        </w:rPr>
      </w:pPr>
    </w:p>
    <w:p>
      <w:pPr>
        <w:ind w:right="140" w:firstLine="127"/>
        <w:spacing w:after="0" w:line="275" w:lineRule="auto"/>
        <w:rPr>
          <w:sz w:val="20"/>
          <w:szCs w:val="20"/>
          <w:color w:val="auto"/>
        </w:rPr>
      </w:pPr>
      <w:r>
        <w:rPr>
          <w:rFonts w:ascii="Times New Roman" w:cs="Times New Roman" w:eastAsia="Times New Roman" w:hAnsi="Times New Roman"/>
          <w:sz w:val="14"/>
          <w:szCs w:val="14"/>
          <w:color w:val="auto"/>
        </w:rPr>
        <w:t>The gross notional amount of FX derivative contracts not designated as hedging instruments outstanding at March 31, 2023 and December 31, 2022 was $128.0 million and $154.5 million, respectively. These derivative contracts are designed to offset the FX effects in earnings of various intercompany loans and trade receivables. For these freestanding derivatives, LivaNova recorded net losses of $1.3 million for the three months ended March 31, 2023 and net gains of $1.0 million for the three months ended March 31, 2022. These gains and losses are included in foreign exchange and other income/(expense) on the condensed consolidated statements of income.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Counterparty Credit Risk</w:t>
      </w:r>
    </w:p>
    <w:p>
      <w:pPr>
        <w:spacing w:after="0" w:line="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LivaNova is exposed to credit risk in the event of non-performance by the counterparties to the Company’s derivatives.</w:t>
      </w:r>
    </w:p>
    <w:p>
      <w:pPr>
        <w:spacing w:after="0" w:line="94" w:lineRule="exact"/>
        <w:rPr>
          <w:sz w:val="20"/>
          <w:szCs w:val="20"/>
          <w:color w:val="auto"/>
        </w:rPr>
      </w:pPr>
    </w:p>
    <w:p>
      <w:pPr>
        <w:ind w:right="120" w:firstLine="127"/>
        <w:spacing w:after="0" w:line="286" w:lineRule="auto"/>
        <w:rPr>
          <w:sz w:val="20"/>
          <w:szCs w:val="20"/>
          <w:color w:val="auto"/>
        </w:rPr>
      </w:pPr>
      <w:r>
        <w:rPr>
          <w:rFonts w:ascii="Times New Roman" w:cs="Times New Roman" w:eastAsia="Times New Roman" w:hAnsi="Times New Roman"/>
          <w:sz w:val="14"/>
          <w:szCs w:val="14"/>
          <w:color w:val="auto"/>
        </w:rPr>
        <w:t>The two counterparties to the capped call transactions are financial institutions. To limit its credit risk, LivaNova selected financial institutions with a minimum long-term investment grade credit rating. LivaNova’s exposure to the credit risk of the counterparties is not secured by any collateral. If a counterparty becomes subject to insolvency proceedings, the Company will become an unsecured creditor in those proceedings, with a claim equal to LivaNova’s exposure at that time under the capped call transactions with that counterparty.</w:t>
      </w:r>
    </w:p>
    <w:p>
      <w:pPr>
        <w:spacing w:after="0" w:line="40" w:lineRule="exact"/>
        <w:rPr>
          <w:sz w:val="20"/>
          <w:szCs w:val="20"/>
          <w:color w:val="auto"/>
        </w:rPr>
      </w:pPr>
    </w:p>
    <w:p>
      <w:pPr>
        <w:ind w:firstLine="127"/>
        <w:spacing w:after="0" w:line="286" w:lineRule="auto"/>
        <w:rPr>
          <w:sz w:val="20"/>
          <w:szCs w:val="20"/>
          <w:color w:val="auto"/>
        </w:rPr>
      </w:pPr>
      <w:r>
        <w:rPr>
          <w:rFonts w:ascii="Times New Roman" w:cs="Times New Roman" w:eastAsia="Times New Roman" w:hAnsi="Times New Roman"/>
          <w:sz w:val="14"/>
          <w:szCs w:val="14"/>
          <w:color w:val="auto"/>
        </w:rPr>
        <w:t>To manage credit risk with respect to its other derivatives, the Company selects and periodically reviews counterparties based on credit ratings, limits its exposure with respect to each counterparty, and monitors the market positions. However, if one or more of these counterparties were in a liability position to the Company and were unable to meet their obligations, any transactions with the counterparty could be subject to early termination, which could result in substantial losses for the Company.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Flow Hedges</w:t>
      </w:r>
    </w:p>
    <w:p>
      <w:pPr>
        <w:spacing w:after="0" w:line="1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i w:val="1"/>
          <w:iCs w:val="1"/>
          <w:color w:val="auto"/>
        </w:rPr>
        <w:t>Foreign Currency Risk</w:t>
      </w:r>
    </w:p>
    <w:p>
      <w:pPr>
        <w:spacing w:after="0" w:line="87" w:lineRule="exact"/>
        <w:rPr>
          <w:sz w:val="20"/>
          <w:szCs w:val="20"/>
          <w:color w:val="auto"/>
        </w:rPr>
      </w:pPr>
    </w:p>
    <w:p>
      <w:pPr>
        <w:ind w:firstLine="127"/>
        <w:spacing w:after="0" w:line="275" w:lineRule="auto"/>
        <w:rPr>
          <w:sz w:val="20"/>
          <w:szCs w:val="20"/>
          <w:color w:val="auto"/>
        </w:rPr>
      </w:pPr>
      <w:r>
        <w:rPr>
          <w:rFonts w:ascii="Times New Roman" w:cs="Times New Roman" w:eastAsia="Times New Roman" w:hAnsi="Times New Roman"/>
          <w:sz w:val="14"/>
          <w:szCs w:val="14"/>
          <w:color w:val="auto"/>
        </w:rPr>
        <w:t>Historically, LivaNova utilized FX derivative contracts, designed as cash flow hedges, to hedge the variability of cash flows associated with LivaNova’s 12-month U.S. dollar forecasts of revenues and costs denominated in British Pound, Japanese Yen and the Euro. The Company transferred to earnings from AOCI the gain or loss realized on the FX derivative contracts at the time of invoicing. Upon the settlement of LivaNova’s foreign currency cash flow hedges in the fourth quarter of 2022 and following an in-depth analysis of the utility of the Company’s cash flow hedging program, LivaNova discontinued its foreign currency cash flow hedging program.</w:t>
      </w:r>
    </w:p>
    <w:p>
      <w:pPr>
        <w:spacing w:after="0" w:line="3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0" w:right="359" w:bottom="1440" w:gutter="0" w:footer="0" w:header="0"/>
        </w:sectPr>
      </w:pPr>
    </w:p>
    <w:bookmarkStart w:id="18" w:name="page19"/>
    <w:bookmarkEnd w:id="18"/>
    <w:p>
      <w:pPr>
        <w:ind w:left="140"/>
        <w:spacing w:after="0"/>
        <w:rPr>
          <w:sz w:val="20"/>
          <w:szCs w:val="20"/>
          <w:color w:val="auto"/>
        </w:rPr>
      </w:pPr>
      <w:r>
        <w:rPr>
          <w:rFonts w:ascii="Times New Roman" w:cs="Times New Roman" w:eastAsia="Times New Roman" w:hAnsi="Times New Roman"/>
          <w:sz w:val="16"/>
          <w:szCs w:val="16"/>
          <w:i w:val="1"/>
          <w:iCs w:val="1"/>
          <w:color w:val="auto"/>
        </w:rPr>
        <w:t>Interest Rate Risk</w:t>
      </w:r>
    </w:p>
    <w:p>
      <w:pPr>
        <w:spacing w:after="0" w:line="87" w:lineRule="exact"/>
        <w:rPr>
          <w:sz w:val="20"/>
          <w:szCs w:val="20"/>
          <w:color w:val="auto"/>
        </w:rPr>
      </w:pPr>
    </w:p>
    <w:p>
      <w:pPr>
        <w:jc w:val="both"/>
        <w:ind w:right="20" w:firstLine="127"/>
        <w:spacing w:after="0" w:line="275" w:lineRule="auto"/>
        <w:rPr>
          <w:sz w:val="20"/>
          <w:szCs w:val="20"/>
          <w:color w:val="auto"/>
        </w:rPr>
      </w:pPr>
      <w:r>
        <w:rPr>
          <w:rFonts w:ascii="Times New Roman" w:cs="Times New Roman" w:eastAsia="Times New Roman" w:hAnsi="Times New Roman"/>
          <w:sz w:val="14"/>
          <w:szCs w:val="14"/>
          <w:color w:val="auto"/>
        </w:rPr>
        <w:t>LivaNova has entered into interest rate swaps, which qualify for and are designated as cash flow hedges, for a notional amount covering a portion of the Initial Term Facility’s outstanding principal in order to minimize the impact of changes in interest rates by swapping a portion of the Initial Term Facility’s floating-rate interest payments for fixed-rate interest payments. The Company’s interest rate swaps expired on April 6, 2023. LivaNova has elected not to renew the interest rate swaps as interest expense associated with the Initial Term Facility is principally offset by holding a significant portion of the Initial Term Facility in a depository account, which earns a floating rate of interest.</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gross notional amounts of open derivative contracts designated as cash flow hedges at March 31, 2023 and December 31, 2022 were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Derivative Contract</w:t>
            </w:r>
          </w:p>
        </w:tc>
        <w:tc>
          <w:tcPr>
            <w:tcW w:w="360" w:type="dxa"/>
            <w:vAlign w:val="bottom"/>
          </w:tcPr>
          <w:p>
            <w:pPr>
              <w:spacing w:after="0"/>
              <w:rPr>
                <w:sz w:val="16"/>
                <w:szCs w:val="16"/>
                <w:color w:val="auto"/>
              </w:rPr>
            </w:pPr>
          </w:p>
        </w:tc>
        <w:tc>
          <w:tcPr>
            <w:tcW w:w="19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320" w:type="dxa"/>
            <w:vAlign w:val="bottom"/>
          </w:tcPr>
          <w:p>
            <w:pPr>
              <w:spacing w:after="0"/>
              <w:rPr>
                <w:sz w:val="16"/>
                <w:szCs w:val="16"/>
                <w:color w:val="auto"/>
              </w:rPr>
            </w:pPr>
          </w:p>
        </w:tc>
        <w:tc>
          <w:tcPr>
            <w:tcW w:w="188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1"/>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contracts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w:t>
            </w:r>
          </w:p>
        </w:tc>
      </w:tr>
    </w:tbl>
    <w:p>
      <w:pPr>
        <w:spacing w:after="0" w:line="1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Pre-tax gains (losses) for derivative contracts designated as cash flow hedges recognized in OCI and the amount reclassified to earnings from AOCI were as follows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in Earnings of Reclassified</w:t>
            </w:r>
          </w:p>
        </w:tc>
        <w:tc>
          <w:tcPr>
            <w:tcW w:w="160" w:type="dxa"/>
            <w:vAlign w:val="bottom"/>
          </w:tcPr>
          <w:p>
            <w:pPr>
              <w:spacing w:after="0"/>
              <w:rPr>
                <w:sz w:val="11"/>
                <w:szCs w:val="11"/>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 Gains</w:t>
            </w:r>
          </w:p>
        </w:tc>
        <w:tc>
          <w:tcPr>
            <w:tcW w:w="17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Gains Reclassified from</w:t>
            </w:r>
          </w:p>
        </w:tc>
        <w:tc>
          <w:tcPr>
            <w:tcW w:w="120" w:type="dxa"/>
            <w:vAlign w:val="bottom"/>
          </w:tcPr>
          <w:p>
            <w:pPr>
              <w:spacing w:after="0"/>
              <w:rPr>
                <w:sz w:val="11"/>
                <w:szCs w:val="11"/>
                <w:color w:val="auto"/>
              </w:rPr>
            </w:pP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Losses Recognized in</w:t>
            </w:r>
          </w:p>
        </w:tc>
        <w:tc>
          <w:tcPr>
            <w:tcW w:w="240" w:type="dxa"/>
            <w:vAlign w:val="bottom"/>
          </w:tcPr>
          <w:p>
            <w:pPr>
              <w:spacing w:after="0"/>
              <w:rPr>
                <w:sz w:val="11"/>
                <w:szCs w:val="11"/>
                <w:color w:val="auto"/>
              </w:rPr>
            </w:pPr>
          </w:p>
        </w:tc>
        <w:tc>
          <w:tcPr>
            <w:tcW w:w="1360" w:type="dxa"/>
            <w:vAlign w:val="bottom"/>
          </w:tcPr>
          <w:p>
            <w:pPr>
              <w:jc w:val="center"/>
              <w:ind w:right="169"/>
              <w:spacing w:after="0" w:line="129" w:lineRule="exact"/>
              <w:rPr>
                <w:sz w:val="20"/>
                <w:szCs w:val="20"/>
                <w:color w:val="auto"/>
              </w:rPr>
            </w:pPr>
            <w:r>
              <w:rPr>
                <w:rFonts w:ascii="Times New Roman" w:cs="Times New Roman" w:eastAsia="Times New Roman" w:hAnsi="Times New Roman"/>
                <w:sz w:val="14"/>
                <w:szCs w:val="14"/>
                <w:b w:val="1"/>
                <w:bCs w:val="1"/>
                <w:color w:val="auto"/>
              </w:rPr>
              <w:t>(Losses) Gains</w:t>
            </w:r>
          </w:p>
        </w:tc>
        <w:tc>
          <w:tcPr>
            <w:tcW w:w="0" w:type="dxa"/>
            <w:vAlign w:val="bottom"/>
          </w:tcPr>
          <w:p>
            <w:pPr>
              <w:spacing w:after="0"/>
              <w:rPr>
                <w:sz w:val="1"/>
                <w:szCs w:val="1"/>
                <w:color w:val="auto"/>
              </w:rPr>
            </w:pPr>
          </w:p>
        </w:tc>
      </w:tr>
      <w:tr>
        <w:trPr>
          <w:trHeight w:val="138"/>
        </w:trPr>
        <w:tc>
          <w:tcPr>
            <w:tcW w:w="2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 of Derivative Contract</w:t>
            </w:r>
          </w:p>
        </w:tc>
        <w:tc>
          <w:tcPr>
            <w:tcW w:w="23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60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Reclassified from AOCI</w:t>
            </w:r>
          </w:p>
        </w:tc>
        <w:tc>
          <w:tcPr>
            <w:tcW w:w="0" w:type="dxa"/>
            <w:vAlign w:val="bottom"/>
          </w:tcPr>
          <w:p>
            <w:pPr>
              <w:spacing w:after="0"/>
              <w:rPr>
                <w:sz w:val="1"/>
                <w:szCs w:val="1"/>
                <w:color w:val="auto"/>
              </w:rPr>
            </w:pPr>
          </w:p>
        </w:tc>
      </w:tr>
      <w:tr>
        <w:trPr>
          <w:trHeight w:val="191"/>
        </w:trPr>
        <w:tc>
          <w:tcPr>
            <w:tcW w:w="2300" w:type="dxa"/>
            <w:vAlign w:val="bottom"/>
            <w:gridSpan w:val="2"/>
            <w:vMerge w:val="continue"/>
          </w:tcPr>
          <w:p>
            <w:pPr>
              <w:spacing w:after="0"/>
              <w:rPr>
                <w:sz w:val="16"/>
                <w:szCs w:val="16"/>
                <w:color w:val="auto"/>
              </w:rPr>
            </w:pPr>
          </w:p>
        </w:tc>
        <w:tc>
          <w:tcPr>
            <w:tcW w:w="232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Gain or Loss</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Recognized in OCI</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AOCI to Earnings</w:t>
            </w:r>
          </w:p>
        </w:tc>
        <w:tc>
          <w:tcPr>
            <w:tcW w:w="120" w:type="dxa"/>
            <w:vAlign w:val="bottom"/>
          </w:tcPr>
          <w:p>
            <w:pPr>
              <w:spacing w:after="0"/>
              <w:rPr>
                <w:sz w:val="16"/>
                <w:szCs w:val="16"/>
                <w:color w:val="auto"/>
              </w:rPr>
            </w:pPr>
          </w:p>
        </w:tc>
        <w:tc>
          <w:tcPr>
            <w:tcW w:w="15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OCI</w:t>
            </w:r>
          </w:p>
        </w:tc>
        <w:tc>
          <w:tcPr>
            <w:tcW w:w="240" w:type="dxa"/>
            <w:vAlign w:val="bottom"/>
          </w:tcPr>
          <w:p>
            <w:pPr>
              <w:spacing w:after="0"/>
              <w:rPr>
                <w:sz w:val="16"/>
                <w:szCs w:val="16"/>
                <w:color w:val="auto"/>
              </w:rPr>
            </w:pPr>
          </w:p>
        </w:tc>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to Earnings</w:t>
            </w:r>
          </w:p>
        </w:tc>
        <w:tc>
          <w:tcPr>
            <w:tcW w:w="0" w:type="dxa"/>
            <w:vAlign w:val="bottom"/>
          </w:tcPr>
          <w:p>
            <w:pPr>
              <w:spacing w:after="0"/>
              <w:rPr>
                <w:sz w:val="1"/>
                <w:szCs w:val="1"/>
                <w:color w:val="auto"/>
              </w:rPr>
            </w:pPr>
          </w:p>
        </w:tc>
      </w:tr>
      <w:tr>
        <w:trPr>
          <w:trHeight w:val="129"/>
        </w:trPr>
        <w:tc>
          <w:tcPr>
            <w:tcW w:w="22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FX derivative contracts</w:t>
            </w:r>
          </w:p>
        </w:tc>
        <w:tc>
          <w:tcPr>
            <w:tcW w:w="80" w:type="dxa"/>
            <w:vAlign w:val="bottom"/>
            <w:tcBorders>
              <w:top w:val="single" w:sz="8" w:color="CCEEFF"/>
            </w:tcBorders>
            <w:shd w:val="clear" w:color="auto" w:fill="CCEEFF"/>
          </w:tcPr>
          <w:p>
            <w:pPr>
              <w:spacing w:after="0"/>
              <w:rPr>
                <w:sz w:val="11"/>
                <w:szCs w:val="11"/>
                <w:color w:val="auto"/>
              </w:rPr>
            </w:pPr>
          </w:p>
        </w:tc>
        <w:tc>
          <w:tcPr>
            <w:tcW w:w="22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Foreign exchange and other gains</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9"/>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9"/>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(642)</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89"/>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191"/>
        </w:trPr>
        <w:tc>
          <w:tcPr>
            <w:tcW w:w="2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w:t>
            </w: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SG&amp;A</w:t>
            </w:r>
          </w:p>
        </w:tc>
        <w:tc>
          <w:tcPr>
            <w:tcW w:w="16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560" w:type="dxa"/>
            <w:vAlign w:val="bottom"/>
            <w:gridSpan w:val="2"/>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180"/>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contracts</w:t>
            </w: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00" w:firstLine="127"/>
        <w:spacing w:after="0" w:line="287" w:lineRule="auto"/>
        <w:rPr>
          <w:sz w:val="20"/>
          <w:szCs w:val="20"/>
          <w:color w:val="auto"/>
        </w:rPr>
      </w:pPr>
      <w:r>
        <w:rPr>
          <w:rFonts w:ascii="Times New Roman" w:cs="Times New Roman" w:eastAsia="Times New Roman" w:hAnsi="Times New Roman"/>
          <w:sz w:val="14"/>
          <w:szCs w:val="14"/>
          <w:color w:val="auto"/>
        </w:rPr>
        <w:t>The Company offsets fair value amounts associated with its derivative instruments on the condensed consolidated balance sheets that are executed with the same counterparty under master netting arrangements. Netting arrangements include a right to set off or net together purchases and sales of similar products in the settlement process.</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tables present the fair value and the location of derivative contracts reported on the condensed consolidated balance sheets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20" w:type="dxa"/>
            <w:vAlign w:val="bottom"/>
          </w:tcPr>
          <w:p>
            <w:pPr>
              <w:spacing w:after="0"/>
              <w:rPr>
                <w:sz w:val="16"/>
                <w:szCs w:val="16"/>
                <w:color w:val="auto"/>
              </w:rPr>
            </w:pPr>
          </w:p>
        </w:tc>
        <w:tc>
          <w:tcPr>
            <w:tcW w:w="25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1"/>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5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c>
          <w:tcPr>
            <w:tcW w:w="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r>
      <w:tr>
        <w:trPr>
          <w:trHeight w:val="171"/>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2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 contracts</w:t>
            </w:r>
          </w:p>
        </w:tc>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29"/>
        </w:trPr>
        <w:tc>
          <w:tcPr>
            <w:tcW w:w="302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Total derivatives designated as hedging</w:t>
            </w:r>
          </w:p>
        </w:tc>
        <w:tc>
          <w:tcPr>
            <w:tcW w:w="25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900</w:t>
            </w:r>
          </w:p>
        </w:tc>
        <w:tc>
          <w:tcPr>
            <w:tcW w:w="80" w:type="dxa"/>
            <w:vAlign w:val="bottom"/>
            <w:tcBorders>
              <w:top w:val="single" w:sz="8" w:color="CCEEFF"/>
            </w:tcBorders>
            <w:shd w:val="clear" w:color="auto" w:fill="CCEEFF"/>
          </w:tcPr>
          <w:p>
            <w:pPr>
              <w:spacing w:after="0"/>
              <w:rPr>
                <w:sz w:val="11"/>
                <w:szCs w:val="11"/>
                <w:color w:val="auto"/>
              </w:rPr>
            </w:pPr>
          </w:p>
        </w:tc>
        <w:tc>
          <w:tcPr>
            <w:tcW w:w="27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CCEEFF"/>
            </w:tcBorders>
            <w:shd w:val="clear" w:color="auto" w:fill="CCEEFF"/>
          </w:tcPr>
          <w:p>
            <w:pPr>
              <w:spacing w:after="0"/>
              <w:rPr>
                <w:sz w:val="11"/>
                <w:szCs w:val="11"/>
                <w:color w:val="auto"/>
              </w:rPr>
            </w:pPr>
          </w:p>
        </w:tc>
      </w:tr>
      <w:tr>
        <w:trPr>
          <w:trHeight w:val="18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instruments</w:t>
            </w:r>
          </w:p>
        </w:tc>
        <w:tc>
          <w:tcPr>
            <w:tcW w:w="2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Capped call derivatives</w:t>
            </w:r>
          </w:p>
        </w:tc>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31,014</w:t>
            </w:r>
          </w:p>
        </w:tc>
        <w:tc>
          <w:tcPr>
            <w:tcW w:w="8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w:t>
            </w:r>
          </w:p>
        </w:tc>
      </w:tr>
      <w:tr>
        <w:trPr>
          <w:trHeight w:val="18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exchange feature</w:t>
            </w:r>
          </w:p>
        </w:tc>
        <w:tc>
          <w:tcPr>
            <w:tcW w:w="2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2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41,285</w:t>
            </w:r>
          </w:p>
        </w:tc>
      </w:tr>
      <w:tr>
        <w:trPr>
          <w:trHeight w:val="129"/>
        </w:trPr>
        <w:tc>
          <w:tcPr>
            <w:tcW w:w="30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Total derivatives not designated as hedging</w:t>
            </w: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31,014</w:t>
            </w:r>
          </w:p>
        </w:tc>
        <w:tc>
          <w:tcPr>
            <w:tcW w:w="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42,521</w:t>
            </w:r>
          </w:p>
        </w:tc>
      </w:tr>
      <w:tr>
        <w:trPr>
          <w:trHeight w:val="180"/>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instruments</w:t>
            </w:r>
          </w:p>
        </w:tc>
        <w:tc>
          <w:tcPr>
            <w:tcW w:w="25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7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96"/>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derivatives</w:t>
            </w:r>
          </w:p>
        </w:tc>
        <w:tc>
          <w:tcPr>
            <w:tcW w:w="2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31,914</w:t>
            </w:r>
          </w:p>
        </w:tc>
        <w:tc>
          <w:tcPr>
            <w:tcW w:w="80" w:type="dxa"/>
            <w:vAlign w:val="bottom"/>
            <w:tcBorders>
              <w:bottom w:val="single" w:sz="8" w:color="CCEEFF"/>
            </w:tcBorders>
            <w:shd w:val="clear" w:color="auto" w:fill="CCEEFF"/>
          </w:tcPr>
          <w:p>
            <w:pPr>
              <w:spacing w:after="0"/>
              <w:rPr>
                <w:sz w:val="16"/>
                <w:szCs w:val="16"/>
                <w:color w:val="auto"/>
              </w:rPr>
            </w:pPr>
          </w:p>
        </w:tc>
        <w:tc>
          <w:tcPr>
            <w:tcW w:w="27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42,521</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630"/>
        </w:trPr>
        <w:tc>
          <w:tcPr>
            <w:tcW w:w="30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0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19</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1"/>
        </w:trPr>
        <w:tc>
          <w:tcPr>
            <w:tcW w:w="3020" w:type="dxa"/>
            <w:vAlign w:val="bottom"/>
            <w:tcBorders>
              <w:bottom w:val="single" w:sz="8" w:color="9A9A9A"/>
            </w:tcBorders>
          </w:tcPr>
          <w:p>
            <w:pPr>
              <w:spacing w:after="0"/>
              <w:rPr>
                <w:sz w:val="14"/>
                <w:szCs w:val="14"/>
                <w:color w:val="auto"/>
              </w:rPr>
            </w:pPr>
          </w:p>
        </w:tc>
        <w:tc>
          <w:tcPr>
            <w:tcW w:w="25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7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6"/>
        </w:trPr>
        <w:tc>
          <w:tcPr>
            <w:tcW w:w="3020" w:type="dxa"/>
            <w:vAlign w:val="bottom"/>
          </w:tcPr>
          <w:p>
            <w:pPr>
              <w:spacing w:after="0"/>
              <w:rPr>
                <w:sz w:val="16"/>
                <w:szCs w:val="16"/>
                <w:color w:val="auto"/>
              </w:rPr>
            </w:pPr>
          </w:p>
        </w:tc>
        <w:tc>
          <w:tcPr>
            <w:tcW w:w="270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1"/>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7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c>
          <w:tcPr>
            <w:tcW w:w="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r>
      <w:tr>
        <w:trPr>
          <w:trHeight w:val="171"/>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2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0"/>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rate swap contracts</w:t>
            </w:r>
          </w:p>
        </w:tc>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tcBorders>
              <w:bottom w:val="single" w:sz="8" w:color="CCEEFF"/>
            </w:tcBorders>
          </w:tcPr>
          <w:p>
            <w:pPr>
              <w:spacing w:after="0"/>
              <w:rPr>
                <w:sz w:val="15"/>
                <w:szCs w:val="15"/>
                <w:color w:val="auto"/>
              </w:rPr>
            </w:pPr>
          </w:p>
        </w:tc>
        <w:tc>
          <w:tcPr>
            <w:tcW w:w="27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r>
      <w:tr>
        <w:trPr>
          <w:trHeight w:val="118"/>
        </w:trPr>
        <w:tc>
          <w:tcPr>
            <w:tcW w:w="302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Total derivatives designated as hedging</w:t>
            </w:r>
          </w:p>
        </w:tc>
        <w:tc>
          <w:tcPr>
            <w:tcW w:w="2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191"/>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instruments</w:t>
            </w:r>
          </w:p>
        </w:tc>
        <w:tc>
          <w:tcPr>
            <w:tcW w:w="2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0"/>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Capped call derivatives</w:t>
            </w: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54,393</w:t>
            </w:r>
          </w:p>
        </w:tc>
        <w:tc>
          <w:tcPr>
            <w:tcW w:w="8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5,886</w:t>
            </w:r>
          </w:p>
        </w:tc>
      </w:tr>
      <w:tr>
        <w:trPr>
          <w:trHeight w:val="18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exchange feature</w:t>
            </w:r>
          </w:p>
        </w:tc>
        <w:tc>
          <w:tcPr>
            <w:tcW w:w="27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2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85,675</w:t>
            </w:r>
          </w:p>
        </w:tc>
      </w:tr>
      <w:tr>
        <w:trPr>
          <w:trHeight w:val="118"/>
        </w:trPr>
        <w:tc>
          <w:tcPr>
            <w:tcW w:w="30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color w:val="auto"/>
              </w:rPr>
              <w:t>Total derivatives not designated as hedging</w:t>
            </w:r>
          </w:p>
        </w:tc>
        <w:tc>
          <w:tcPr>
            <w:tcW w:w="2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91"/>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instruments</w:t>
            </w:r>
          </w:p>
        </w:tc>
        <w:tc>
          <w:tcPr>
            <w:tcW w:w="27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54,393</w:t>
            </w:r>
          </w:p>
        </w:tc>
        <w:tc>
          <w:tcPr>
            <w:tcW w:w="80" w:type="dxa"/>
            <w:vAlign w:val="bottom"/>
            <w:tcBorders>
              <w:bottom w:val="single" w:sz="8" w:color="CCEEFF"/>
            </w:tcBorders>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91,561</w:t>
            </w:r>
          </w:p>
        </w:tc>
      </w:tr>
      <w:tr>
        <w:trPr>
          <w:trHeight w:val="196"/>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derivatives</w:t>
            </w:r>
          </w:p>
        </w:tc>
        <w:tc>
          <w:tcPr>
            <w:tcW w:w="27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55,726</w:t>
            </w:r>
          </w:p>
        </w:tc>
        <w:tc>
          <w:tcPr>
            <w:tcW w:w="80" w:type="dxa"/>
            <w:vAlign w:val="bottom"/>
            <w:tcBorders>
              <w:bottom w:val="single" w:sz="8" w:color="CCEEFF"/>
            </w:tcBorders>
            <w:shd w:val="clear" w:color="auto" w:fill="CCEEFF"/>
          </w:tcPr>
          <w:p>
            <w:pPr>
              <w:spacing w:after="0"/>
              <w:rPr>
                <w:sz w:val="16"/>
                <w:szCs w:val="16"/>
                <w:color w:val="auto"/>
              </w:rPr>
            </w:pPr>
          </w:p>
        </w:tc>
        <w:tc>
          <w:tcPr>
            <w:tcW w:w="27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91,561</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For the classification of inputs used to evaluate the fair value of derivatives, refer to “Note 3. Fair Value Measurements.”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Commitments and Contingencies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Saluggia Site Hazardous Substances</w:t>
      </w:r>
    </w:p>
    <w:p>
      <w:pPr>
        <w:spacing w:after="0" w:line="85" w:lineRule="exact"/>
        <w:rPr>
          <w:sz w:val="20"/>
          <w:szCs w:val="20"/>
          <w:color w:val="auto"/>
        </w:rPr>
      </w:pPr>
    </w:p>
    <w:p>
      <w:pPr>
        <w:ind w:right="20" w:firstLine="127"/>
        <w:spacing w:after="0" w:line="275" w:lineRule="auto"/>
        <w:rPr>
          <w:sz w:val="20"/>
          <w:szCs w:val="20"/>
          <w:color w:val="auto"/>
        </w:rPr>
      </w:pPr>
      <w:r>
        <w:rPr>
          <w:rFonts w:ascii="Times New Roman" w:cs="Times New Roman" w:eastAsia="Times New Roman" w:hAnsi="Times New Roman"/>
          <w:sz w:val="14"/>
          <w:szCs w:val="14"/>
          <w:color w:val="auto"/>
        </w:rPr>
        <w:t>LSM, formerly a subsidiary of Sorin, one of the companies that merged into LivaNova PLC in 2015, manages site services for the campus in Saluggia, Italy. In addition to being a former LivaNova manufacturing facility, the Saluggia campus is also the location of manufacturing facilities of third parties, a cafeteria for workers, and storage facilities for hazardous substances and equipment previously used in a nuclear research center, later turned nuclear medicine business, between the 1960s and the late 1990s. Pursuant to authorization from the Italian government, LSM has, and continues to, perform ordinary maintenance, secure the facilities, monitor air and water quality and file applicable reports with the competent environmental authorities.</w:t>
      </w:r>
    </w:p>
    <w:p>
      <w:pPr>
        <w:spacing w:after="0" w:line="58" w:lineRule="exact"/>
        <w:rPr>
          <w:sz w:val="20"/>
          <w:szCs w:val="20"/>
          <w:color w:val="auto"/>
        </w:rPr>
      </w:pPr>
    </w:p>
    <w:p>
      <w:pPr>
        <w:ind w:right="40" w:firstLine="127"/>
        <w:spacing w:after="0" w:line="273" w:lineRule="auto"/>
        <w:rPr>
          <w:sz w:val="20"/>
          <w:szCs w:val="20"/>
          <w:color w:val="auto"/>
        </w:rPr>
      </w:pPr>
      <w:r>
        <w:rPr>
          <w:rFonts w:ascii="Times New Roman" w:cs="Times New Roman" w:eastAsia="Times New Roman" w:hAnsi="Times New Roman"/>
          <w:sz w:val="14"/>
          <w:szCs w:val="14"/>
          <w:color w:val="auto"/>
        </w:rPr>
        <w:t>In 2020, LSM received correspondence from ISIN (a sub-body of the Italian Ministry of Economic Development) requesting that within five years, LSM demonstrate the financial capacity to meet its obligations under Italian law to clean and dismantle any contaminated buildings and equipment as well as to deliver hazardous substances to a national repository. This repository will be built by the Italian government at a location and time yet to be determined. ISIN subsequently published Technical Guide n. 30, which identifies the technical criteria, and general safety and protection requirements for the design, construction, operation and dismantling of temporary storage facilities for the hazardous substances. In January 2021, a list of 67 potential sites for the national repository was published.</w:t>
      </w:r>
    </w:p>
    <w:p>
      <w:pPr>
        <w:spacing w:after="0" w:line="50" w:lineRule="exact"/>
        <w:rPr>
          <w:sz w:val="20"/>
          <w:szCs w:val="20"/>
          <w:color w:val="auto"/>
        </w:rPr>
      </w:pPr>
    </w:p>
    <w:p>
      <w:pPr>
        <w:ind w:right="140" w:firstLine="127"/>
        <w:spacing w:after="0" w:line="275" w:lineRule="auto"/>
        <w:rPr>
          <w:sz w:val="20"/>
          <w:szCs w:val="20"/>
          <w:color w:val="auto"/>
        </w:rPr>
      </w:pPr>
      <w:r>
        <w:rPr>
          <w:rFonts w:ascii="Times New Roman" w:cs="Times New Roman" w:eastAsia="Times New Roman" w:hAnsi="Times New Roman"/>
          <w:sz w:val="14"/>
          <w:szCs w:val="14"/>
          <w:color w:val="auto"/>
        </w:rPr>
        <w:t>Although there is no legal obligation to begin any work or deliver the hazardous substances, as the performance of these obligations is contingent on the construction of the as-yet unbuilt national repository, based on the aforementioned factors, the Company concluded its obligation to clean, dismantle, and deliver any hazardous substances to a national repository is probable and reasonably estimable. The estimated liability as of March 31, 2023 was €34.1 million ($37.1 million), which represented the low end of the estimated range of loss of €34.1 million ($37.1 million) to €43.5 million ($47.3 million) as of March 31, 2023. The estimated liability as of December 31, 2022 was €34.2 million ($36.6 million).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 Liability Litigation</w:t>
      </w:r>
    </w:p>
    <w:p>
      <w:pPr>
        <w:spacing w:after="0" w:line="85" w:lineRule="exact"/>
        <w:rPr>
          <w:sz w:val="20"/>
          <w:szCs w:val="20"/>
          <w:color w:val="auto"/>
        </w:rPr>
      </w:pPr>
    </w:p>
    <w:p>
      <w:pPr>
        <w:ind w:right="40" w:firstLine="127"/>
        <w:spacing w:after="0" w:line="273" w:lineRule="auto"/>
        <w:rPr>
          <w:sz w:val="20"/>
          <w:szCs w:val="20"/>
          <w:color w:val="auto"/>
        </w:rPr>
      </w:pPr>
      <w:r>
        <w:rPr>
          <w:rFonts w:ascii="Times New Roman" w:cs="Times New Roman" w:eastAsia="Times New Roman" w:hAnsi="Times New Roman"/>
          <w:sz w:val="14"/>
          <w:szCs w:val="14"/>
          <w:color w:val="auto"/>
        </w:rPr>
        <w:t>The Company is currently involved in litigation involving LivaNova’s 3T device. The litigation includes federal multi-district litigation in the U.S. District Court for the Middle District of Pennsylvania, various U.S. state court cases and cases in jurisdictions outside the U.S. On March 29, 2019, LivaNova announced a settlement framework that provides for a comprehensive resolution of the personal injury cases pending in the multi-district litigation in U.S. federal court, the related class action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Per the agreed-upon terms, the second and final payment of $90 million was paid into a qualified settlement fund in January 2020.</w:t>
      </w:r>
    </w:p>
    <w:p>
      <w:pPr>
        <w:spacing w:after="0" w:line="50" w:lineRule="exact"/>
        <w:rPr>
          <w:sz w:val="20"/>
          <w:szCs w:val="20"/>
          <w:color w:val="auto"/>
        </w:rPr>
      </w:pPr>
    </w:p>
    <w:p>
      <w:pPr>
        <w:ind w:right="80" w:firstLine="127"/>
        <w:spacing w:after="0" w:line="286" w:lineRule="auto"/>
        <w:rPr>
          <w:sz w:val="20"/>
          <w:szCs w:val="20"/>
          <w:color w:val="auto"/>
        </w:rPr>
      </w:pPr>
      <w:r>
        <w:rPr>
          <w:rFonts w:ascii="Times New Roman" w:cs="Times New Roman" w:eastAsia="Times New Roman" w:hAnsi="Times New Roman"/>
          <w:sz w:val="14"/>
          <w:szCs w:val="14"/>
          <w:color w:val="auto"/>
        </w:rPr>
        <w:t>Cases in state courts in the U.S. and in jurisdictions outside the U.S. continue to progress. As of May 3, 2023, including the cases encompassed in the settlement framework described above that have not yet been dismissed, the Company was aware of approximately 85 filed and unfiled claims worldwide, with the majority of the claims in various federal or state courts throughout the United States. This number includes four cases in the process of settling. The complaints generally seek</w:t>
      </w:r>
    </w:p>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0" w:name="page21"/>
    <w:bookmarkEnd w:id="20"/>
    <w:p>
      <w:pPr>
        <w:ind w:right="580"/>
        <w:spacing w:after="0" w:line="303" w:lineRule="auto"/>
        <w:rPr>
          <w:sz w:val="20"/>
          <w:szCs w:val="20"/>
          <w:color w:val="auto"/>
        </w:rPr>
      </w:pPr>
      <w:r>
        <w:rPr>
          <w:rFonts w:ascii="Times New Roman" w:cs="Times New Roman" w:eastAsia="Times New Roman" w:hAnsi="Times New Roman"/>
          <w:sz w:val="14"/>
          <w:szCs w:val="14"/>
          <w:color w:val="auto"/>
        </w:rPr>
        <w:t>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29" w:lineRule="exact"/>
        <w:rPr>
          <w:sz w:val="20"/>
          <w:szCs w:val="20"/>
          <w:color w:val="auto"/>
        </w:rPr>
      </w:pPr>
    </w:p>
    <w:p>
      <w:pPr>
        <w:ind w:right="20" w:firstLine="127"/>
        <w:spacing w:after="0" w:line="275" w:lineRule="auto"/>
        <w:rPr>
          <w:sz w:val="20"/>
          <w:szCs w:val="20"/>
          <w:color w:val="auto"/>
        </w:rPr>
      </w:pPr>
      <w:r>
        <w:rPr>
          <w:rFonts w:ascii="Times New Roman" w:cs="Times New Roman" w:eastAsia="Times New Roman" w:hAnsi="Times New Roman"/>
          <w:sz w:val="14"/>
          <w:szCs w:val="14"/>
          <w:color w:val="auto"/>
        </w:rPr>
        <w:t>At March 31, 2023 and December 31, 2022, the provision for these matters was $22.4 million and $32.5 million, respectively. While the amount accrued represents the Company’s best estimate for those filed and unfiled claims that the Company believes are both probable and estimable at this time, and which are a subset of the filed and unfiled claims worldwide of which LivaNova is currently aware, the actual liability for resolution of these matters may vary from the Company’s estimate. The remaining claims for which a provision has not been recorded are remote or the potential loss is not estimable at this time.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the carrying amount of the litigation provision liability are as follows (in thousands):</w:t>
            </w:r>
          </w:p>
        </w:tc>
        <w:tc>
          <w:tcPr>
            <w:tcW w:w="10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2"/>
        </w:trPr>
        <w:tc>
          <w:tcPr>
            <w:tcW w:w="8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litigation provision liability at December 31, 2022</w:t>
            </w: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32,487</w:t>
            </w:r>
          </w:p>
        </w:tc>
      </w:tr>
      <w:tr>
        <w:trPr>
          <w:trHeight w:val="180"/>
        </w:trPr>
        <w:tc>
          <w:tcPr>
            <w:tcW w:w="8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w:t>
            </w:r>
          </w:p>
        </w:tc>
        <w:tc>
          <w:tcPr>
            <w:tcW w:w="10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(11,568)</w:t>
            </w:r>
          </w:p>
        </w:tc>
      </w:tr>
      <w:tr>
        <w:trPr>
          <w:trHeight w:val="180"/>
        </w:trPr>
        <w:tc>
          <w:tcPr>
            <w:tcW w:w="88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Adjustments </w:t>
            </w:r>
            <w:r>
              <w:rPr>
                <w:rFonts w:ascii="Times New Roman" w:cs="Times New Roman" w:eastAsia="Times New Roman" w:hAnsi="Times New Roman"/>
                <w:sz w:val="18"/>
                <w:szCs w:val="18"/>
                <w:color w:val="auto"/>
                <w:vertAlign w:val="superscript"/>
              </w:rPr>
              <w:t>(1)</w:t>
            </w:r>
          </w:p>
        </w:tc>
        <w:tc>
          <w:tcPr>
            <w:tcW w:w="10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r>
      <w:tr>
        <w:trPr>
          <w:trHeight w:val="180"/>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FX and other</w:t>
            </w:r>
          </w:p>
        </w:tc>
        <w:tc>
          <w:tcPr>
            <w:tcW w:w="10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171"/>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litigation provision liability at March 31, 2023</w:t>
            </w:r>
          </w:p>
        </w:tc>
        <w:tc>
          <w:tcPr>
            <w:tcW w:w="10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22,370</w:t>
            </w:r>
          </w:p>
        </w:tc>
      </w:tr>
      <w:tr>
        <w:trPr>
          <w:trHeight w:val="180"/>
        </w:trPr>
        <w:tc>
          <w:tcPr>
            <w:tcW w:w="8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Less current portion of litigation provision liability at March 31, 2023</w:t>
            </w:r>
          </w:p>
        </w:tc>
        <w:tc>
          <w:tcPr>
            <w:tcW w:w="10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19,311</w:t>
            </w:r>
          </w:p>
        </w:tc>
      </w:tr>
      <w:tr>
        <w:trPr>
          <w:trHeight w:val="196"/>
        </w:trPr>
        <w:tc>
          <w:tcPr>
            <w:tcW w:w="8860" w:type="dxa"/>
            <w:vAlign w:val="bottom"/>
            <w:tcBorders>
              <w:bottom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Long-term portion of litigation provision liability at March 31, 2023 </w:t>
            </w:r>
            <w:r>
              <w:rPr>
                <w:rFonts w:ascii="Times New Roman" w:cs="Times New Roman" w:eastAsia="Times New Roman" w:hAnsi="Times New Roman"/>
                <w:sz w:val="18"/>
                <w:szCs w:val="18"/>
                <w:color w:val="auto"/>
                <w:vertAlign w:val="superscript"/>
              </w:rPr>
              <w:t>(2)</w:t>
            </w: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Adjustments to the litigation provision are included within other operating expense on the condensed consolidated statements of income.</w:t>
      </w:r>
    </w:p>
    <w:p>
      <w:pPr>
        <w:spacing w:after="0" w:line="41"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within other long-term liabilities on the condensed consolidated balance sheet.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SNIA Environmental Liability</w:t>
      </w:r>
    </w:p>
    <w:p>
      <w:pPr>
        <w:spacing w:after="0" w:line="85" w:lineRule="exact"/>
        <w:rPr>
          <w:sz w:val="20"/>
          <w:szCs w:val="20"/>
          <w:color w:val="auto"/>
        </w:rPr>
      </w:pPr>
    </w:p>
    <w:p>
      <w:pPr>
        <w:ind w:right="320" w:firstLine="127"/>
        <w:spacing w:after="0" w:line="286" w:lineRule="auto"/>
        <w:rPr>
          <w:sz w:val="20"/>
          <w:szCs w:val="20"/>
          <w:color w:val="auto"/>
        </w:rPr>
      </w:pPr>
      <w:r>
        <w:rPr>
          <w:rFonts w:ascii="Times New Roman" w:cs="Times New Roman" w:eastAsia="Times New Roman" w:hAnsi="Times New Roman"/>
          <w:sz w:val="14"/>
          <w:szCs w:val="14"/>
          <w:color w:val="auto"/>
        </w:rPr>
        <w:t>Sorin was created as a result of a spin-off from SNIA in 2004, and in 2015, Sorin was merged into LivaNova. SNIA subsequently became insolvent, and the Public Administrations sought compensation from SNIA in an aggregate amount of approximately $3.7 billion for remediation costs relating to the environmental damage at chemical sites previously operated by SNIA’s other subsidiaries.</w:t>
      </w:r>
    </w:p>
    <w:p>
      <w:pPr>
        <w:spacing w:after="0" w:line="40" w:lineRule="exact"/>
        <w:rPr>
          <w:sz w:val="20"/>
          <w:szCs w:val="20"/>
          <w:color w:val="auto"/>
        </w:rPr>
      </w:pPr>
    </w:p>
    <w:p>
      <w:pPr>
        <w:ind w:firstLine="127"/>
        <w:spacing w:after="0" w:line="273" w:lineRule="auto"/>
        <w:rPr>
          <w:sz w:val="20"/>
          <w:szCs w:val="20"/>
          <w:color w:val="auto"/>
        </w:rPr>
      </w:pPr>
      <w:r>
        <w:rPr>
          <w:rFonts w:ascii="Times New Roman" w:cs="Times New Roman" w:eastAsia="Times New Roman" w:hAnsi="Times New Roman"/>
          <w:sz w:val="14"/>
          <w:szCs w:val="14"/>
          <w:color w:val="auto"/>
        </w:rPr>
        <w:t>There are proceedings relating to the SNIA bankruptcy to which LivaNova is not a party in the Bankruptcy Court of Udine and the Bankruptcy Court of Milan. In 2011, the Bankruptcy Court of Udine held that the Public Administrations were not creditors of either SNIA or its subsidiaries in connection with their claims in the Italian insolvency proceedings. The Public Administrations appealed. In 2016, the Court of Udine rejected the appeal, and the Public Administrations appealed to the Supreme Court. Similarly, in 2014, the Bankruptcy Court of Milan held that the Public Administrations were not creditors of either SNIA or its subsidiaries. The Public Administrations appealed. In April 2022, Bankruptcy Court of Milan declared the Public Administrations to be a non-privileged creditor of SNIA for up to €454 million, and the Public Administrations appealed to the Supreme Court.</w:t>
      </w:r>
    </w:p>
    <w:p>
      <w:pPr>
        <w:spacing w:after="0" w:line="50" w:lineRule="exact"/>
        <w:rPr>
          <w:sz w:val="20"/>
          <w:szCs w:val="20"/>
          <w:color w:val="auto"/>
        </w:rPr>
      </w:pPr>
    </w:p>
    <w:p>
      <w:pPr>
        <w:ind w:right="40" w:firstLine="127"/>
        <w:spacing w:after="0" w:line="272" w:lineRule="auto"/>
        <w:rPr>
          <w:sz w:val="20"/>
          <w:szCs w:val="20"/>
          <w:color w:val="auto"/>
        </w:rPr>
      </w:pPr>
      <w:r>
        <w:rPr>
          <w:rFonts w:ascii="Times New Roman" w:cs="Times New Roman" w:eastAsia="Times New Roman" w:hAnsi="Times New Roman"/>
          <w:sz w:val="14"/>
          <w:szCs w:val="14"/>
          <w:color w:val="auto"/>
        </w:rPr>
        <w:t>In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In 2016, the Court of Milan dismissed all legal actions of SNIA and of the Public Administrations further requiring the Public Administrations to pay Sorin approximately €292,000 (approximately $318,062 as of March 31, 2023) for legal fees. The Public Administrations appealed the 2016 Decision to the Court of Appeal. On March 5, 2019, the Court of Appeal issued a partial decision on the merits declaring Sorin/LivaNova jointly liable with SNIA for SNIA’s environmental liabilities in an amount up to the fair value of the net worth received by Sorin because of the Sorin spin-off, an estimated €572.1 million (approximately $623.2 million as of March 31, 2023). LivaNova appealed the partial decision on liability to the Italian Supreme Court in August 2019.</w:t>
      </w:r>
    </w:p>
    <w:p>
      <w:pPr>
        <w:spacing w:after="0" w:line="51" w:lineRule="exact"/>
        <w:rPr>
          <w:sz w:val="20"/>
          <w:szCs w:val="20"/>
          <w:color w:val="auto"/>
        </w:rPr>
      </w:pPr>
    </w:p>
    <w:p>
      <w:pPr>
        <w:ind w:firstLine="127"/>
        <w:spacing w:after="0" w:line="273" w:lineRule="auto"/>
        <w:rPr>
          <w:sz w:val="20"/>
          <w:szCs w:val="20"/>
          <w:color w:val="auto"/>
        </w:rPr>
      </w:pPr>
      <w:r>
        <w:rPr>
          <w:rFonts w:ascii="Times New Roman" w:cs="Times New Roman" w:eastAsia="Times New Roman" w:hAnsi="Times New Roman"/>
          <w:sz w:val="14"/>
          <w:szCs w:val="14"/>
          <w:color w:val="auto"/>
        </w:rPr>
        <w:t>In 2021, the Court of Appeal delivered the remainder of its decision, ordering LivaNova to pay damages of approximately €453.6 million (approximately $494.1 million as of March 31, 2023). LivaNova appealed the decision on damages in December 2021. On February 21, 2022, the Court of Appeal notified the Company that it granted the Company a suspension with respect to the payment of damages until a decision has been reached on the appeal to the Italian Supreme Court. This suspension was subject to LivaNova providing a first demand bank guarantee of €270.0 million (approximately $294.1 million as of March 31, 2023) within 30 calendar days, and on March 21, 2022, LivaNova delivered the guarantee, thereby satisfying the condition. Refer to “Note 4. Financing Arrangements” for information on the financing of the guarantee.</w:t>
      </w:r>
    </w:p>
    <w:p>
      <w:pPr>
        <w:spacing w:after="0" w:line="60" w:lineRule="exact"/>
        <w:rPr>
          <w:sz w:val="20"/>
          <w:szCs w:val="20"/>
          <w:color w:val="auto"/>
        </w:rPr>
      </w:pPr>
    </w:p>
    <w:p>
      <w:pPr>
        <w:ind w:right="480" w:firstLine="127"/>
        <w:spacing w:after="0" w:line="287" w:lineRule="auto"/>
        <w:rPr>
          <w:sz w:val="20"/>
          <w:szCs w:val="20"/>
          <w:color w:val="auto"/>
        </w:rPr>
      </w:pPr>
      <w:r>
        <w:rPr>
          <w:rFonts w:ascii="Times New Roman" w:cs="Times New Roman" w:eastAsia="Times New Roman" w:hAnsi="Times New Roman"/>
          <w:sz w:val="14"/>
          <w:szCs w:val="14"/>
          <w:color w:val="auto"/>
        </w:rPr>
        <w:t>In November 2022, in response to one of a number of appeals asserted by LivaNova, the Supreme Court issued an ordinance, a procedural document, whereby the Supreme Court referred a question on interpretation of a European directive on demergers</w:t>
      </w: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1" w:name="page22"/>
    <w:bookmarkEnd w:id="21"/>
    <w:p>
      <w:pPr>
        <w:spacing w:after="0" w:line="273" w:lineRule="auto"/>
        <w:rPr>
          <w:sz w:val="20"/>
          <w:szCs w:val="20"/>
          <w:color w:val="auto"/>
        </w:rPr>
      </w:pPr>
      <w:r>
        <w:rPr>
          <w:rFonts w:ascii="Times New Roman" w:cs="Times New Roman" w:eastAsia="Times New Roman" w:hAnsi="Times New Roman"/>
          <w:sz w:val="14"/>
          <w:szCs w:val="14"/>
          <w:color w:val="auto"/>
        </w:rPr>
        <w:t>to the ECJ. Specifically, the ordinance asks the ECJ to provide a binding decision as to whether a company resulting from a demerger can be held jointly and severally liable not only for the established liabilities of the demerged company that were articulated at the time of demerger, but also for the environmental liabilities of the demerged company that materialized after the demerger which are derived from actions performed prior to the demerger. Following receipt of the binding decision from the ECJ, the Supreme Court is expected to incorporate and issue a decision in response to all of the appeals of LivaNova and counter-appeals submitted by the Public Administrations. While the timing of the decisions by the ECJ and, subsequently, the Supreme Court are uncertain, the Company believes that the effect of the ordinance will result in a delay of any final decision until at least 2024.</w:t>
      </w:r>
    </w:p>
    <w:p>
      <w:pPr>
        <w:spacing w:after="0" w:line="50" w:lineRule="exact"/>
        <w:rPr>
          <w:sz w:val="20"/>
          <w:szCs w:val="20"/>
          <w:color w:val="auto"/>
        </w:rPr>
      </w:pPr>
    </w:p>
    <w:p>
      <w:pPr>
        <w:ind w:right="160" w:firstLine="127"/>
        <w:spacing w:after="0" w:line="272" w:lineRule="auto"/>
        <w:rPr>
          <w:sz w:val="20"/>
          <w:szCs w:val="20"/>
          <w:color w:val="auto"/>
        </w:rPr>
      </w:pPr>
      <w:r>
        <w:rPr>
          <w:rFonts w:ascii="Times New Roman" w:cs="Times New Roman" w:eastAsia="Times New Roman" w:hAnsi="Times New Roman"/>
          <w:sz w:val="14"/>
          <w:szCs w:val="14"/>
          <w:color w:val="auto"/>
        </w:rPr>
        <w:t>In 2011, Caffaro, a SNIA subsidiary, sold its Brescia chemical business to Caffaro Brescia, a third party belonging to the Todisco group, and as part of the acquisition, Caffaro Brescia agreed to secure hydraulic barriers at the site and maintain existing environmental security measures. In 2020, Caffaro Brescia declared it was withdrawing from its agreement to maintain the environmental measures. In 2021, LivaNova (in addition to Caffaro Brescia, and other non-LivaNova entities) received an Order from the Italian Ministry of the Environment requiring the Company to ensure the maintenance of the environmental measures and to guarantee that such works remain fully operational, the annual management and maintenance for which is estimated at approximately €1 million per year. LivaNova’s receipt of the Order appears to be based on the aforementioned Court of Appeal decision regarding LivaNova’s alleged joint liability with SNIA for SNIA’s environmental liabilities. LivaNova’s response, dated February 16, 2021, disputes the grounds upon which the Order is based. LivaNova also appealed the Order in the Administrative Court in Brescia.</w:t>
      </w:r>
    </w:p>
    <w:p>
      <w:pPr>
        <w:spacing w:after="0" w:line="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LivaNova has not recognized a liability in connection with these related matters because any potential loss is not currently probable.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Caisson Contract Litigation</w:t>
      </w:r>
    </w:p>
    <w:p>
      <w:pPr>
        <w:spacing w:after="0" w:line="85" w:lineRule="exact"/>
        <w:rPr>
          <w:sz w:val="20"/>
          <w:szCs w:val="20"/>
          <w:color w:val="auto"/>
        </w:rPr>
      </w:pPr>
    </w:p>
    <w:p>
      <w:pPr>
        <w:ind w:right="200" w:firstLine="127"/>
        <w:spacing w:after="0" w:line="269" w:lineRule="auto"/>
        <w:rPr>
          <w:sz w:val="20"/>
          <w:szCs w:val="20"/>
          <w:color w:val="auto"/>
        </w:rPr>
      </w:pPr>
      <w:r>
        <w:rPr>
          <w:rFonts w:ascii="Times New Roman" w:cs="Times New Roman" w:eastAsia="Times New Roman" w:hAnsi="Times New Roman"/>
          <w:sz w:val="14"/>
          <w:szCs w:val="14"/>
          <w:color w:val="auto"/>
        </w:rPr>
        <w:t>On November 25, 2019, LivaNova received notice of a lawsuit initiated by former members of Caisson, a subsidiary of the Company acquired in 2017. The lawsuit, Todd J. Mortier, as Member Representative of the former Members of Caisson Interventional, LLC v. LivaNova USA, Inc., was filed in the United States District Court for the District of Minnesota. The complaint alleged (i) breach of contract, (ii) breach of the covenant of good faith and fair dealing and (iii) unjust enrichment in connection with the Company’s operation of Caisson’s transcatheter mitral valve replacement program and the Company’s November 20, 2019 announcement that it was ending the program at the end of 2019. The lawsuit sought damages arising out of the 2017 acquisition agreement, including various regulatory milestone payments. In May 2022, the District Court granted LivaNova’s motion for summary judgment; in response, Caisson filed an appeal to the Eighth Circuit Court of Appeal. LivaNova intends to vigorously defend this claim. The Company has not recognized a liability related to this matter because any potential loss is not currently probable or reasonably estimable.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Mitral Litigation</w:t>
      </w:r>
    </w:p>
    <w:p>
      <w:pPr>
        <w:spacing w:after="0" w:line="85" w:lineRule="exact"/>
        <w:rPr>
          <w:sz w:val="20"/>
          <w:szCs w:val="20"/>
          <w:color w:val="auto"/>
        </w:rPr>
      </w:pPr>
    </w:p>
    <w:p>
      <w:pPr>
        <w:ind w:right="280" w:firstLine="127"/>
        <w:spacing w:after="0" w:line="269" w:lineRule="auto"/>
        <w:rPr>
          <w:sz w:val="20"/>
          <w:szCs w:val="20"/>
          <w:color w:val="auto"/>
        </w:rPr>
      </w:pPr>
      <w:r>
        <w:rPr>
          <w:rFonts w:ascii="Times New Roman" w:cs="Times New Roman" w:eastAsia="Times New Roman" w:hAnsi="Times New Roman"/>
          <w:sz w:val="14"/>
          <w:szCs w:val="14"/>
          <w:color w:val="auto"/>
        </w:rPr>
        <w:t>On July 29, 2022, LivaNova received a demand letter from Mitral for approximately €20.8 million ($22.7 million as of March 31, 2023) for breach of warranty claims under the A&amp;R Purchase Agreement. Specifically, the claims allege failure to disclose certain information relating to a supplier, thereby allegedly impacting the profitability of Mitral’s business in China and Japan. The Company does not believe that Mitral’s claims will be sustained or that LivaNova is responsible for any alleged breach of warranty. Subject to certain exceptions, warranty claims of this type are contractually capped at €8.0 million ($8.7 million as of March 31, 2023). On March 22, 2023, Mitral served a formal claim on LivaNova in the High Court of Justice Commercial Court (King’s Bench Division) alleging damages flowing from the aforementioned asserted breaches of warranties in the A&amp;R Purchase Agreement. Although the claim is in excess of €20.8 million, Mitral acknowledges the €8.0 million cap. The Company has not recognized a liability related to this matter because any potential loss is not currently probable.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Italian MedTech Payback Measure</w:t>
      </w:r>
    </w:p>
    <w:p>
      <w:pPr>
        <w:spacing w:after="0" w:line="85" w:lineRule="exact"/>
        <w:rPr>
          <w:sz w:val="20"/>
          <w:szCs w:val="20"/>
          <w:color w:val="auto"/>
        </w:rPr>
      </w:pPr>
    </w:p>
    <w:p>
      <w:pPr>
        <w:ind w:right="80" w:firstLine="127"/>
        <w:spacing w:after="0" w:line="272" w:lineRule="auto"/>
        <w:rPr>
          <w:sz w:val="20"/>
          <w:szCs w:val="20"/>
          <w:color w:val="auto"/>
        </w:rPr>
      </w:pPr>
      <w:r>
        <w:rPr>
          <w:rFonts w:ascii="Times New Roman" w:cs="Times New Roman" w:eastAsia="Times New Roman" w:hAnsi="Times New Roman"/>
          <w:sz w:val="14"/>
          <w:szCs w:val="14"/>
          <w:color w:val="auto"/>
        </w:rPr>
        <w:t>As previously disclosed, in 2015, the Italian Parliament introduced rules regarding public contracts with the National Healthcare System for the supply of goods and services. In particular, the law introduced a “payback” measure requiring companies selling medical devices in Italy to repay a percentage of the healthcare expenditures exceeding the regional maximum caps for medical devices. In the intervening years since the rules were first issued, there has been considerable uncertainty about how the law will operate and what the exact timeline is for finalization. In August 2022, a decree was published which provided guidance and timetables for the rule, and in March 2023, the Italian government published a decree whereby a company’s obligation to execute payback payments is suspended until June 30, 2023. LivaNova filed an appeal at the Administrative Court against the Decree of the Ministry of Health assessing the amount payable and against the MedTech Payback Guidelines. LivaNova also filed appeals against the regions requesting payments. The Company has accrued for the</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2" w:name="page23"/>
    <w:bookmarkEnd w:id="22"/>
    <w:p>
      <w:pPr>
        <w:ind w:right="280"/>
        <w:spacing w:after="0" w:line="303" w:lineRule="auto"/>
        <w:rPr>
          <w:sz w:val="20"/>
          <w:szCs w:val="20"/>
          <w:color w:val="auto"/>
        </w:rPr>
      </w:pPr>
      <w:r>
        <w:rPr>
          <w:rFonts w:ascii="Times New Roman" w:cs="Times New Roman" w:eastAsia="Times New Roman" w:hAnsi="Times New Roman"/>
          <w:sz w:val="14"/>
          <w:szCs w:val="14"/>
          <w:color w:val="auto"/>
        </w:rPr>
        <w:t>law since 2015 based on market and product information. As of March 31, 2023 and December 31, 2022, the total amount reserved for this matter was $7.0 million and $6.4 million, respectively; however, the actual liability could vary.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Matters</w:t>
      </w:r>
    </w:p>
    <w:p>
      <w:pPr>
        <w:spacing w:after="0" w:line="96" w:lineRule="exact"/>
        <w:rPr>
          <w:sz w:val="20"/>
          <w:szCs w:val="20"/>
          <w:color w:val="auto"/>
        </w:rPr>
      </w:pPr>
    </w:p>
    <w:p>
      <w:pPr>
        <w:ind w:right="20" w:firstLine="127"/>
        <w:spacing w:after="0" w:line="278" w:lineRule="auto"/>
        <w:rPr>
          <w:sz w:val="20"/>
          <w:szCs w:val="20"/>
          <w:color w:val="auto"/>
        </w:rPr>
      </w:pPr>
      <w:r>
        <w:rPr>
          <w:rFonts w:ascii="Times New Roman" w:cs="Times New Roman" w:eastAsia="Times New Roman" w:hAnsi="Times New Roman"/>
          <w:sz w:val="14"/>
          <w:szCs w:val="14"/>
          <w:color w:val="auto"/>
        </w:rPr>
        <w:t>Additionally, LivaNova is the subject of various pending or threatened legal actions and proceedings that arise in the ordinary course of LivaNova’s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LivaNova’s consolidated net income, financial position or liquidity.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Stockholders' Equity</w:t>
      </w:r>
    </w:p>
    <w:p>
      <w:pPr>
        <w:spacing w:after="0" w:line="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tables below present the condensed consolidated statements of stockholders’ equity as of and for the three months ended March 31, 2023 and 2022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Ordinary Shares -</w:t>
            </w:r>
          </w:p>
        </w:tc>
        <w:tc>
          <w:tcPr>
            <w:tcW w:w="80" w:type="dxa"/>
            <w:vAlign w:val="bottom"/>
          </w:tcPr>
          <w:p>
            <w:pPr>
              <w:spacing w:after="0"/>
              <w:rPr>
                <w:sz w:val="11"/>
                <w:szCs w:val="11"/>
                <w:color w:val="auto"/>
              </w:rPr>
            </w:pP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9"/>
              </w:rPr>
              <w:t>Total Stockholders'</w:t>
            </w: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0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00" w:type="dxa"/>
            <w:vAlign w:val="bottom"/>
          </w:tcPr>
          <w:p>
            <w:pPr>
              <w:spacing w:after="0"/>
              <w:rPr>
                <w:sz w:val="10"/>
                <w:szCs w:val="10"/>
                <w:color w:val="auto"/>
              </w:rPr>
            </w:pPr>
          </w:p>
        </w:tc>
        <w:tc>
          <w:tcPr>
            <w:tcW w:w="132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Comprehensive (Loss)</w:t>
            </w:r>
          </w:p>
        </w:tc>
        <w:tc>
          <w:tcPr>
            <w:tcW w:w="8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2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 xml:space="preserve">Equity </w:t>
            </w:r>
            <w:r>
              <w:rPr>
                <w:rFonts w:ascii="Times New Roman" w:cs="Times New Roman" w:eastAsia="Times New Roman" w:hAnsi="Times New Roman"/>
                <w:sz w:val="7"/>
                <w:szCs w:val="7"/>
                <w:b w:val="1"/>
                <w:bCs w:val="1"/>
                <w:color w:val="auto"/>
              </w:rPr>
              <w:t>(1)</w:t>
            </w:r>
          </w:p>
        </w:tc>
        <w:tc>
          <w:tcPr>
            <w:tcW w:w="0" w:type="dxa"/>
            <w:vAlign w:val="bottom"/>
          </w:tcPr>
          <w:p>
            <w:pPr>
              <w:spacing w:after="0"/>
              <w:rPr>
                <w:sz w:val="1"/>
                <w:szCs w:val="1"/>
                <w:color w:val="auto"/>
              </w:rPr>
            </w:pPr>
          </w:p>
        </w:tc>
      </w:tr>
      <w:tr>
        <w:trPr>
          <w:trHeight w:val="176"/>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53,852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82,424</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2,157,724</w:t>
            </w: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(48,119)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(984,030)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1,207,624</w:t>
            </w: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5,260</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7,370</w:t>
            </w: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7,087</w:t>
            </w:r>
          </w:p>
        </w:tc>
        <w:tc>
          <w:tcPr>
            <w:tcW w:w="0" w:type="dxa"/>
            <w:vAlign w:val="bottom"/>
          </w:tcPr>
          <w:p>
            <w:pPr>
              <w:spacing w:after="0"/>
              <w:rPr>
                <w:sz w:val="1"/>
                <w:szCs w:val="1"/>
                <w:color w:val="auto"/>
              </w:rPr>
            </w:pPr>
          </w:p>
        </w:tc>
      </w:tr>
      <w:tr>
        <w:trPr>
          <w:trHeight w:val="196"/>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2023</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53,854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82,424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2,162,928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(976,660)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1,227,341</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Ordinary Shares -</w:t>
            </w:r>
          </w:p>
        </w:tc>
        <w:tc>
          <w:tcPr>
            <w:tcW w:w="80" w:type="dxa"/>
            <w:vAlign w:val="bottom"/>
          </w:tcPr>
          <w:p>
            <w:pPr>
              <w:spacing w:after="0"/>
              <w:rPr>
                <w:sz w:val="20"/>
                <w:szCs w:val="20"/>
                <w:color w:val="auto"/>
              </w:rPr>
            </w:pP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9"/>
              </w:rPr>
              <w:t>Total Stockholders'</w:t>
            </w:r>
          </w:p>
        </w:tc>
        <w:tc>
          <w:tcPr>
            <w:tcW w:w="0" w:type="dxa"/>
            <w:vAlign w:val="bottom"/>
          </w:tcPr>
          <w:p>
            <w:pPr>
              <w:spacing w:after="0"/>
              <w:rPr>
                <w:sz w:val="1"/>
                <w:szCs w:val="1"/>
                <w:color w:val="auto"/>
              </w:rPr>
            </w:pPr>
          </w:p>
        </w:tc>
      </w:tr>
      <w:tr>
        <w:trPr>
          <w:trHeight w:val="116"/>
        </w:trPr>
        <w:tc>
          <w:tcPr>
            <w:tcW w:w="320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0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00" w:type="dxa"/>
            <w:vAlign w:val="bottom"/>
          </w:tcPr>
          <w:p>
            <w:pPr>
              <w:spacing w:after="0"/>
              <w:rPr>
                <w:sz w:val="10"/>
                <w:szCs w:val="10"/>
                <w:color w:val="auto"/>
              </w:rPr>
            </w:pPr>
          </w:p>
        </w:tc>
        <w:tc>
          <w:tcPr>
            <w:tcW w:w="132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Comprehensive (Loss)</w:t>
            </w:r>
          </w:p>
        </w:tc>
        <w:tc>
          <w:tcPr>
            <w:tcW w:w="8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33"/>
              <w:spacing w:after="0" w:line="159" w:lineRule="exact"/>
              <w:rPr>
                <w:sz w:val="20"/>
                <w:szCs w:val="20"/>
                <w:color w:val="auto"/>
              </w:rPr>
            </w:pPr>
            <w:r>
              <w:rPr>
                <w:rFonts w:ascii="Times New Roman" w:cs="Times New Roman" w:eastAsia="Times New Roman" w:hAnsi="Times New Roman"/>
                <w:sz w:val="11"/>
                <w:szCs w:val="11"/>
                <w:b w:val="1"/>
                <w:bCs w:val="1"/>
                <w:color w:val="auto"/>
                <w:w w:val="96"/>
              </w:rPr>
              <w:t xml:space="preserve">Equity </w:t>
            </w:r>
            <w:r>
              <w:rPr>
                <w:rFonts w:ascii="Times New Roman" w:cs="Times New Roman" w:eastAsia="Times New Roman" w:hAnsi="Times New Roman"/>
                <w:sz w:val="14"/>
                <w:szCs w:val="14"/>
                <w:b w:val="1"/>
                <w:bCs w:val="1"/>
                <w:color w:val="auto"/>
                <w:w w:val="96"/>
                <w:vertAlign w:val="superscript"/>
              </w:rPr>
              <w:t>(1)</w:t>
            </w:r>
          </w:p>
        </w:tc>
        <w:tc>
          <w:tcPr>
            <w:tcW w:w="0" w:type="dxa"/>
            <w:vAlign w:val="bottom"/>
          </w:tcPr>
          <w:p>
            <w:pPr>
              <w:spacing w:after="0"/>
              <w:rPr>
                <w:sz w:val="1"/>
                <w:szCs w:val="1"/>
                <w:color w:val="auto"/>
              </w:rPr>
            </w:pPr>
          </w:p>
        </w:tc>
      </w:tr>
      <w:tr>
        <w:trPr>
          <w:trHeight w:val="171"/>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53,762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82,295</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2,117,961</w:t>
            </w: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(897,784)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1,294,645</w:t>
            </w: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3,171</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w:t>
            </w: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(8,955)</w:t>
            </w:r>
          </w:p>
        </w:tc>
        <w:tc>
          <w:tcPr>
            <w:tcW w:w="0" w:type="dxa"/>
            <w:vAlign w:val="bottom"/>
          </w:tcPr>
          <w:p>
            <w:pPr>
              <w:spacing w:after="0"/>
              <w:rPr>
                <w:sz w:val="1"/>
                <w:szCs w:val="1"/>
                <w:color w:val="auto"/>
              </w:rPr>
            </w:pPr>
          </w:p>
        </w:tc>
      </w:tr>
      <w:tr>
        <w:trPr>
          <w:trHeight w:val="196"/>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82,298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2,121,098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(894,791)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1,291,854</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3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ind w:right="473"/>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3" w:name="page24"/>
    <w:bookmarkEnd w:id="23"/>
    <w:p>
      <w:pPr>
        <w:ind w:right="680" w:firstLine="127"/>
        <w:spacing w:after="0" w:line="283" w:lineRule="auto"/>
        <w:rPr>
          <w:sz w:val="20"/>
          <w:szCs w:val="20"/>
          <w:color w:val="auto"/>
        </w:rPr>
      </w:pPr>
      <w:r>
        <w:rPr>
          <w:rFonts w:ascii="Times New Roman" w:cs="Times New Roman" w:eastAsia="Times New Roman" w:hAnsi="Times New Roman"/>
          <w:sz w:val="14"/>
          <w:szCs w:val="14"/>
          <w:color w:val="auto"/>
        </w:rPr>
        <w:t>The table below presents the change in each component of AOCI, net of tax, and the reclassifications out of AOCI into net income (loss) for the three months ended March 31, 2023 and 2022 (in thousands):</w:t>
      </w:r>
    </w:p>
    <w:tbl>
      <w:tblPr>
        <w:tblLayout w:type="fixed"/>
        <w:tblInd w:w="0" w:type="dxa"/>
        <w:tblCellMar>
          <w:top w:w="0" w:type="dxa"/>
          <w:left w:w="0" w:type="dxa"/>
          <w:bottom w:w="0" w:type="dxa"/>
          <w:right w:w="0" w:type="dxa"/>
        </w:tblCellMar>
      </w:tblPr>
      <w:tr>
        <w:trPr>
          <w:trHeight w:val="149"/>
        </w:trPr>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Change in Unrealized</w:t>
            </w:r>
          </w:p>
        </w:tc>
        <w:tc>
          <w:tcPr>
            <w:tcW w:w="160" w:type="dxa"/>
            <w:vAlign w:val="bottom"/>
          </w:tcPr>
          <w:p>
            <w:pPr>
              <w:spacing w:after="0"/>
              <w:rPr>
                <w:sz w:val="12"/>
                <w:szCs w:val="12"/>
                <w:color w:val="auto"/>
              </w:rPr>
            </w:pPr>
          </w:p>
        </w:tc>
        <w:tc>
          <w:tcPr>
            <w:tcW w:w="15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Gain (Loss) on</w:t>
            </w:r>
          </w:p>
        </w:tc>
        <w:tc>
          <w:tcPr>
            <w:tcW w:w="166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Translation Adjustments</w:t>
            </w:r>
          </w:p>
        </w:tc>
        <w:tc>
          <w:tcPr>
            <w:tcW w:w="340" w:type="dxa"/>
            <w:vAlign w:val="bottom"/>
          </w:tcPr>
          <w:p>
            <w:pPr>
              <w:spacing w:after="0"/>
              <w:rPr>
                <w:sz w:val="12"/>
                <w:szCs w:val="12"/>
                <w:color w:val="auto"/>
              </w:rPr>
            </w:pPr>
          </w:p>
        </w:tc>
        <w:tc>
          <w:tcPr>
            <w:tcW w:w="1200" w:type="dxa"/>
            <w:vAlign w:val="bottom"/>
            <w:vMerge w:val="restart"/>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6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tcPr>
          <w:p>
            <w:pPr>
              <w:spacing w:after="0"/>
              <w:rPr>
                <w:sz w:val="15"/>
                <w:szCs w:val="15"/>
                <w:color w:val="auto"/>
              </w:rPr>
            </w:pPr>
          </w:p>
        </w:tc>
        <w:tc>
          <w:tcPr>
            <w:tcW w:w="150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4"/>
                <w:szCs w:val="14"/>
                <w:b w:val="1"/>
                <w:bCs w:val="1"/>
                <w:color w:val="auto"/>
                <w:w w:val="96"/>
              </w:rPr>
              <w:t xml:space="preserve">Gain (Loss) </w:t>
            </w:r>
            <w:r>
              <w:rPr>
                <w:rFonts w:ascii="Times New Roman" w:cs="Times New Roman" w:eastAsia="Times New Roman" w:hAnsi="Times New Roman"/>
                <w:sz w:val="18"/>
                <w:szCs w:val="18"/>
                <w:b w:val="1"/>
                <w:bCs w:val="1"/>
                <w:color w:val="auto"/>
                <w:w w:val="96"/>
                <w:vertAlign w:val="superscript"/>
              </w:rPr>
              <w:t>(1)</w:t>
            </w:r>
          </w:p>
        </w:tc>
        <w:tc>
          <w:tcPr>
            <w:tcW w:w="3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(49,085)</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(48,119)</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before reclassifications, before tax</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7,620</w:t>
            </w:r>
          </w:p>
        </w:tc>
        <w:tc>
          <w:tcPr>
            <w:tcW w:w="0" w:type="dxa"/>
            <w:vAlign w:val="bottom"/>
          </w:tcPr>
          <w:p>
            <w:pPr>
              <w:spacing w:after="0"/>
              <w:rPr>
                <w:sz w:val="1"/>
                <w:szCs w:val="1"/>
                <w:color w:val="auto"/>
              </w:rPr>
            </w:pP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benefit</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before reclassifications, net of tax</w:t>
            </w:r>
          </w:p>
        </w:tc>
        <w:tc>
          <w:tcPr>
            <w:tcW w:w="1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8,053</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7,620</w:t>
            </w:r>
          </w:p>
        </w:tc>
        <w:tc>
          <w:tcPr>
            <w:tcW w:w="0" w:type="dxa"/>
            <w:vAlign w:val="bottom"/>
          </w:tcPr>
          <w:p>
            <w:pPr>
              <w:spacing w:after="0"/>
              <w:rPr>
                <w:sz w:val="1"/>
                <w:szCs w:val="1"/>
                <w:color w:val="auto"/>
              </w:rPr>
            </w:pP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gain from accumulated other comprehensive loss, before tax</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of tax benefit</w:t>
            </w:r>
          </w:p>
        </w:tc>
        <w:tc>
          <w:tcPr>
            <w:tcW w:w="10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gain from accumulated other comprehensive loss, after tax</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71"/>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current-period other comprehensive loss, net of tax</w:t>
            </w: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7,087</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(41,032)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(41,032)</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(7,177)</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before reclassifications, before tax</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(8,902)</w:t>
            </w:r>
          </w:p>
        </w:tc>
        <w:tc>
          <w:tcPr>
            <w:tcW w:w="0" w:type="dxa"/>
            <w:vAlign w:val="bottom"/>
          </w:tcPr>
          <w:p>
            <w:pPr>
              <w:spacing w:after="0"/>
              <w:rPr>
                <w:sz w:val="1"/>
                <w:szCs w:val="1"/>
                <w:color w:val="auto"/>
              </w:rPr>
            </w:pP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benefit</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before reclassifications, net of tax</w:t>
            </w:r>
          </w:p>
        </w:tc>
        <w:tc>
          <w:tcPr>
            <w:tcW w:w="1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(8,260)</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(8,902)</w:t>
            </w:r>
          </w:p>
        </w:tc>
        <w:tc>
          <w:tcPr>
            <w:tcW w:w="0" w:type="dxa"/>
            <w:vAlign w:val="bottom"/>
          </w:tcPr>
          <w:p>
            <w:pPr>
              <w:spacing w:after="0"/>
              <w:rPr>
                <w:sz w:val="1"/>
                <w:szCs w:val="1"/>
                <w:color w:val="auto"/>
              </w:rPr>
            </w:pP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loss from accumulated other comprehensive income, before tax</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of tax benefit</w:t>
            </w:r>
          </w:p>
        </w:tc>
        <w:tc>
          <w:tcPr>
            <w:tcW w:w="10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loss from accumulated other comprehensive income, after tax</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71"/>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current-period other comprehensive loss, net of tax</w:t>
            </w: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(8,955)</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(16,132)</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Taxes are not provided for foreign currency translation adjustments as translation adjustments are related to earnings that are intended to be reinvested in the countries where earned.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Stock-Based Incentive Plans</w:t>
      </w:r>
    </w:p>
    <w:p>
      <w:pPr>
        <w:spacing w:after="0" w:line="87" w:lineRule="exact"/>
        <w:rPr>
          <w:sz w:val="20"/>
          <w:szCs w:val="20"/>
          <w:color w:val="auto"/>
        </w:rPr>
      </w:pPr>
    </w:p>
    <w:p>
      <w:pPr>
        <w:ind w:right="100" w:firstLine="127"/>
        <w:spacing w:after="0" w:line="273" w:lineRule="auto"/>
        <w:rPr>
          <w:sz w:val="20"/>
          <w:szCs w:val="20"/>
          <w:color w:val="auto"/>
        </w:rPr>
      </w:pPr>
      <w:r>
        <w:rPr>
          <w:rFonts w:ascii="Times New Roman" w:cs="Times New Roman" w:eastAsia="Times New Roman" w:hAnsi="Times New Roman"/>
          <w:sz w:val="14"/>
          <w:szCs w:val="14"/>
          <w:color w:val="auto"/>
        </w:rPr>
        <w:t>During the three months ended March 31, 2023, LivaNova issued stock-based compensatory awards with terms approved by the Compensation Committee of LivaNova’s Board of Directors. The awards with service conditions generally vest ratably over four years and are subject to forfeiture unless service conditions are met. The market performance-based awards that were issued, cliff vest after three years subject to the rank of LivaNova’s total shareholder return for the three-year period ending December 31, 2025 relative to the total shareholder returns for a peer group of companies. The adjusted free cash flow and return on invested capital operating performance-based awards that were issued, cliff vest after three years subject to the achievement of certain thresholds of cumulative results for the three-year period ending December 31, 2025. Compensation expense related to awards granted during 2023 for the three months ended March 31, 2023 was $0.1 million.</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incentive plans compensation expense is as follows (in thousands):</w:t>
            </w:r>
          </w:p>
        </w:tc>
        <w:tc>
          <w:tcPr>
            <w:tcW w:w="2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1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380" w:type="dxa"/>
            <w:vAlign w:val="bottom"/>
            <w:tcBorders>
              <w:bottom w:val="single" w:sz="8" w:color="auto"/>
            </w:tcBorders>
            <w:gridSpan w:val="4"/>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140" w:type="dxa"/>
            <w:vAlign w:val="bottom"/>
            <w:tcBorders>
              <w:bottom w:val="single" w:sz="8" w:color="CCEEFF"/>
            </w:tcBorders>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2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5,717</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5,344</w:t>
            </w:r>
          </w:p>
        </w:tc>
        <w:tc>
          <w:tcPr>
            <w:tcW w:w="0" w:type="dxa"/>
            <w:vAlign w:val="bottom"/>
          </w:tcPr>
          <w:p>
            <w:pPr>
              <w:spacing w:after="0"/>
              <w:rPr>
                <w:sz w:val="1"/>
                <w:szCs w:val="1"/>
                <w:color w:val="auto"/>
              </w:rPr>
            </w:pP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SARs</w:t>
            </w:r>
          </w:p>
        </w:tc>
        <w:tc>
          <w:tcPr>
            <w:tcW w:w="2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3,121</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2,938</w:t>
            </w:r>
          </w:p>
        </w:tc>
        <w:tc>
          <w:tcPr>
            <w:tcW w:w="0" w:type="dxa"/>
            <w:vAlign w:val="bottom"/>
          </w:tcPr>
          <w:p>
            <w:pPr>
              <w:spacing w:after="0"/>
              <w:rPr>
                <w:sz w:val="1"/>
                <w:szCs w:val="1"/>
                <w:color w:val="auto"/>
              </w:rPr>
            </w:pP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performance-based restricted stock units</w:t>
            </w:r>
          </w:p>
        </w:tc>
        <w:tc>
          <w:tcPr>
            <w:tcW w:w="2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0" w:type="dxa"/>
            <w:vAlign w:val="bottom"/>
          </w:tcPr>
          <w:p>
            <w:pPr>
              <w:spacing w:after="0"/>
              <w:rPr>
                <w:sz w:val="1"/>
                <w:szCs w:val="1"/>
                <w:color w:val="auto"/>
              </w:rPr>
            </w:pP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performance-based restricted stock units</w:t>
            </w:r>
          </w:p>
        </w:tc>
        <w:tc>
          <w:tcPr>
            <w:tcW w:w="2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share purchase plan</w:t>
            </w:r>
          </w:p>
        </w:tc>
        <w:tc>
          <w:tcPr>
            <w:tcW w:w="212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17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2120" w:type="dxa"/>
            <w:vAlign w:val="bottom"/>
          </w:tcPr>
          <w:p>
            <w:pPr>
              <w:spacing w:after="0"/>
              <w:rPr>
                <w:sz w:val="14"/>
                <w:szCs w:val="14"/>
                <w:color w:val="auto"/>
              </w:rPr>
            </w:pPr>
          </w:p>
        </w:tc>
        <w:tc>
          <w:tcPr>
            <w:tcW w:w="132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10,579</w:t>
            </w: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120" w:type="dxa"/>
            <w:vAlign w:val="bottom"/>
            <w:vMerge w:val="restart"/>
          </w:tcPr>
          <w:p>
            <w:pPr>
              <w:jc w:val="right"/>
              <w:ind w:right="1409"/>
              <w:spacing w:after="0"/>
              <w:rPr>
                <w:sz w:val="20"/>
                <w:szCs w:val="20"/>
                <w:color w:val="auto"/>
              </w:rPr>
            </w:pPr>
            <w:r>
              <w:rPr>
                <w:rFonts w:ascii="Times New Roman" w:cs="Times New Roman" w:eastAsia="Times New Roman" w:hAnsi="Times New Roman"/>
                <w:sz w:val="14"/>
                <w:szCs w:val="14"/>
                <w:color w:val="auto"/>
              </w:rPr>
              <w:t>24</w:t>
            </w: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514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140" w:type="dxa"/>
            <w:vAlign w:val="bottom"/>
            <w:tcBorders>
              <w:bottom w:val="single" w:sz="8" w:color="9A9A9A"/>
            </w:tcBorders>
          </w:tcPr>
          <w:p>
            <w:pPr>
              <w:spacing w:after="0"/>
              <w:rPr>
                <w:sz w:val="15"/>
                <w:szCs w:val="15"/>
                <w:color w:val="auto"/>
              </w:rPr>
            </w:pPr>
          </w:p>
        </w:tc>
        <w:tc>
          <w:tcPr>
            <w:tcW w:w="21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4" w:name="page25"/>
    <w:bookmarkEnd w:id="24"/>
    <w:p>
      <w:pPr>
        <w:jc w:val="both"/>
        <w:ind w:right="200" w:firstLine="127"/>
        <w:spacing w:after="0" w:line="283" w:lineRule="auto"/>
        <w:rPr>
          <w:sz w:val="20"/>
          <w:szCs w:val="20"/>
          <w:color w:val="auto"/>
        </w:rPr>
      </w:pPr>
      <w:r>
        <w:rPr>
          <w:rFonts w:ascii="Times New Roman" w:cs="Times New Roman" w:eastAsia="Times New Roman" w:hAnsi="Times New Roman"/>
          <w:sz w:val="14"/>
          <w:szCs w:val="14"/>
          <w:color w:val="auto"/>
        </w:rPr>
        <w:t>Stock-based compensation agreements issued during the three months ended March 31, 2023, representing potential shares and their weighted average grant date fair values by type is as follows (shares in thousands, fair value in dollars):</w:t>
      </w:r>
    </w:p>
    <w:p>
      <w:pPr>
        <w:ind w:left="80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000" w:type="dxa"/>
            <w:vAlign w:val="bottom"/>
          </w:tcPr>
          <w:p>
            <w:pPr>
              <w:spacing w:after="0"/>
              <w:rPr>
                <w:sz w:val="11"/>
                <w:szCs w:val="11"/>
                <w:color w:val="auto"/>
              </w:rPr>
            </w:pPr>
          </w:p>
        </w:tc>
        <w:tc>
          <w:tcPr>
            <w:tcW w:w="1420" w:type="dxa"/>
            <w:vAlign w:val="bottom"/>
            <w:tcBorders>
              <w:top w:val="single" w:sz="8" w:color="auto"/>
            </w:tcBorders>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980" w:type="dxa"/>
            <w:vAlign w:val="bottom"/>
            <w:tcBorders>
              <w:top w:val="single" w:sz="8" w:color="auto"/>
            </w:tcBorders>
          </w:tcPr>
          <w:p>
            <w:pPr>
              <w:jc w:val="right"/>
              <w:ind w:right="69"/>
              <w:spacing w:after="0" w:line="134" w:lineRule="exact"/>
              <w:rPr>
                <w:sz w:val="20"/>
                <w:szCs w:val="20"/>
                <w:color w:val="auto"/>
              </w:rPr>
            </w:pPr>
            <w:r>
              <w:rPr>
                <w:rFonts w:ascii="Times New Roman" w:cs="Times New Roman" w:eastAsia="Times New Roman" w:hAnsi="Times New Roman"/>
                <w:sz w:val="14"/>
                <w:szCs w:val="14"/>
                <w:b w:val="1"/>
                <w:bCs w:val="1"/>
                <w:color w:val="auto"/>
                <w:w w:val="99"/>
              </w:rPr>
              <w:t>Weighted Average Grant Date</w:t>
            </w:r>
          </w:p>
        </w:tc>
        <w:tc>
          <w:tcPr>
            <w:tcW w:w="0" w:type="dxa"/>
            <w:vAlign w:val="bottom"/>
          </w:tcPr>
          <w:p>
            <w:pPr>
              <w:spacing w:after="0"/>
              <w:rPr>
                <w:sz w:val="1"/>
                <w:szCs w:val="1"/>
                <w:color w:val="auto"/>
              </w:rPr>
            </w:pPr>
          </w:p>
        </w:tc>
      </w:tr>
      <w:tr>
        <w:trPr>
          <w:trHeight w:val="186"/>
        </w:trPr>
        <w:tc>
          <w:tcPr>
            <w:tcW w:w="70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Service-based SARs</w:t>
            </w:r>
          </w:p>
        </w:tc>
        <w:tc>
          <w:tcPr>
            <w:tcW w:w="1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974,204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w:t>
            </w:r>
          </w:p>
        </w:tc>
        <w:tc>
          <w:tcPr>
            <w:tcW w:w="0" w:type="dxa"/>
            <w:vAlign w:val="bottom"/>
          </w:tcPr>
          <w:p>
            <w:pPr>
              <w:spacing w:after="0"/>
              <w:rPr>
                <w:sz w:val="1"/>
                <w:szCs w:val="1"/>
                <w:color w:val="auto"/>
              </w:rPr>
            </w:pPr>
          </w:p>
        </w:tc>
      </w:tr>
      <w:tr>
        <w:trPr>
          <w:trHeight w:val="18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Service-based RSUs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459,818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42.30</w:t>
            </w:r>
          </w:p>
        </w:tc>
        <w:tc>
          <w:tcPr>
            <w:tcW w:w="0" w:type="dxa"/>
            <w:vAlign w:val="bottom"/>
          </w:tcPr>
          <w:p>
            <w:pPr>
              <w:spacing w:after="0"/>
              <w:rPr>
                <w:sz w:val="1"/>
                <w:szCs w:val="1"/>
                <w:color w:val="auto"/>
              </w:rPr>
            </w:pPr>
          </w:p>
        </w:tc>
      </w:tr>
      <w:tr>
        <w:trPr>
          <w:trHeight w:val="180"/>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performance-based RSUs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38.95</w:t>
            </w:r>
          </w:p>
        </w:tc>
        <w:tc>
          <w:tcPr>
            <w:tcW w:w="0" w:type="dxa"/>
            <w:vAlign w:val="bottom"/>
          </w:tcPr>
          <w:p>
            <w:pPr>
              <w:spacing w:after="0"/>
              <w:rPr>
                <w:sz w:val="1"/>
                <w:szCs w:val="1"/>
                <w:color w:val="auto"/>
              </w:rPr>
            </w:pPr>
          </w:p>
        </w:tc>
      </w:tr>
      <w:tr>
        <w:trPr>
          <w:trHeight w:val="184"/>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performance-based RSUs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94,556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42.30</w:t>
            </w: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Income Taxes</w:t>
      </w:r>
    </w:p>
    <w:p>
      <w:pPr>
        <w:spacing w:after="0" w:line="87" w:lineRule="exact"/>
        <w:rPr>
          <w:sz w:val="20"/>
          <w:szCs w:val="20"/>
          <w:color w:val="auto"/>
        </w:rPr>
      </w:pPr>
    </w:p>
    <w:p>
      <w:pPr>
        <w:jc w:val="both"/>
        <w:ind w:right="200" w:firstLine="127"/>
        <w:spacing w:after="0" w:line="286" w:lineRule="auto"/>
        <w:rPr>
          <w:sz w:val="20"/>
          <w:szCs w:val="20"/>
          <w:color w:val="auto"/>
        </w:rPr>
      </w:pPr>
      <w:r>
        <w:rPr>
          <w:rFonts w:ascii="Times New Roman" w:cs="Times New Roman" w:eastAsia="Times New Roman" w:hAnsi="Times New Roman"/>
          <w:sz w:val="14"/>
          <w:szCs w:val="14"/>
          <w:color w:val="auto"/>
        </w:rPr>
        <w:t>LivaNova’s effective income tax rate for the three months ended March 31, 2023 was 24.3% compared with 45.6% for the three months ended March 31, 2022. LivaNova’s effective income tax rate fluctuates based on, among other factors, changes in pretax income in countries with varying statutory tax rates, valuation allowances, tax credits and incentives, and unrecognized tax benefits associated with uncertain tax positions.</w:t>
      </w:r>
    </w:p>
    <w:p>
      <w:pPr>
        <w:spacing w:after="0" w:line="40" w:lineRule="exact"/>
        <w:rPr>
          <w:sz w:val="20"/>
          <w:szCs w:val="20"/>
          <w:color w:val="auto"/>
        </w:rPr>
      </w:pPr>
    </w:p>
    <w:p>
      <w:pPr>
        <w:ind w:right="400" w:firstLine="127"/>
        <w:spacing w:after="0" w:line="303" w:lineRule="auto"/>
        <w:rPr>
          <w:sz w:val="20"/>
          <w:szCs w:val="20"/>
          <w:color w:val="auto"/>
        </w:rPr>
      </w:pPr>
      <w:r>
        <w:rPr>
          <w:rFonts w:ascii="Times New Roman" w:cs="Times New Roman" w:eastAsia="Times New Roman" w:hAnsi="Times New Roman"/>
          <w:sz w:val="14"/>
          <w:szCs w:val="14"/>
          <w:color w:val="auto"/>
        </w:rPr>
        <w:t>LivaNova continually assesses the realizability of its worldwide deferred tax asset and valuation allowance positions, and when the need arises, the Company establishes or releases valuation allowances accordingly.</w:t>
      </w:r>
    </w:p>
    <w:p>
      <w:pPr>
        <w:spacing w:after="0" w:line="39" w:lineRule="exact"/>
        <w:rPr>
          <w:sz w:val="20"/>
          <w:szCs w:val="20"/>
          <w:color w:val="auto"/>
        </w:rPr>
      </w:pPr>
    </w:p>
    <w:p>
      <w:pPr>
        <w:ind w:right="100" w:firstLine="127"/>
        <w:spacing w:after="0" w:line="287" w:lineRule="auto"/>
        <w:rPr>
          <w:sz w:val="20"/>
          <w:szCs w:val="20"/>
          <w:color w:val="auto"/>
        </w:rPr>
      </w:pPr>
      <w:r>
        <w:rPr>
          <w:rFonts w:ascii="Times New Roman" w:cs="Times New Roman" w:eastAsia="Times New Roman" w:hAnsi="Times New Roman"/>
          <w:sz w:val="14"/>
          <w:szCs w:val="14"/>
          <w:color w:val="auto"/>
        </w:rPr>
        <w:t>The decrease in the effective tax rate for the three months ended March 31, 2023 as compared to the same prior year period was primarily attributable to changes in valuation allowances and year-over-year changes in income before tax in countries with varying statutory tax rates.</w:t>
      </w:r>
    </w:p>
    <w:p>
      <w:pPr>
        <w:spacing w:after="0" w:line="50" w:lineRule="exact"/>
        <w:rPr>
          <w:sz w:val="20"/>
          <w:szCs w:val="20"/>
          <w:color w:val="auto"/>
        </w:rPr>
      </w:pPr>
    </w:p>
    <w:p>
      <w:pPr>
        <w:ind w:right="100" w:firstLine="127"/>
        <w:spacing w:after="0" w:line="275" w:lineRule="auto"/>
        <w:rPr>
          <w:sz w:val="20"/>
          <w:szCs w:val="20"/>
          <w:color w:val="auto"/>
        </w:rPr>
      </w:pPr>
      <w:r>
        <w:rPr>
          <w:rFonts w:ascii="Times New Roman" w:cs="Times New Roman" w:eastAsia="Times New Roman" w:hAnsi="Times New Roman"/>
          <w:sz w:val="14"/>
          <w:szCs w:val="14"/>
          <w:color w:val="auto"/>
        </w:rPr>
        <w:t>LivaNova operates in multiple jurisdictions throughout the world, and its tax returns are periodically audited or subjected to review by tax authorities. As a result, there is an uncertainty in income taxes recognized in LivaNova’s financial statements. Tax benefits totaling $1.7 million and $1.6 million were unrecognized as of March 31, 2023 and December 31, 2022, respectively. It is reasonably possible that, within the next twelve months, due to the settlement of uncertain tax positions with various tax authorities and the expiration of statutes of limitations, unrecognized tax benefits could decrease by up to approximately $1.0 million.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Earnings Per Share</w:t>
      </w:r>
    </w:p>
    <w:p>
      <w:pPr>
        <w:spacing w:after="0" w:line="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Reconciliation of the shares used in the basic and diluted earnings per share computations for the three months ended March 31, 2023 and 2022 are as follows (in thousands):</w:t>
      </w:r>
    </w:p>
    <w:p>
      <w:pPr>
        <w:spacing w:after="0" w:line="49"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Borders>
              <w:bottom w:val="single" w:sz="8" w:color="CCEEFF"/>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96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weighted average shares outstanding</w:t>
            </w:r>
          </w:p>
        </w:tc>
        <w:tc>
          <w:tcPr>
            <w:tcW w:w="1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53,617</w:t>
            </w:r>
          </w:p>
        </w:tc>
        <w:tc>
          <w:tcPr>
            <w:tcW w:w="100" w:type="dxa"/>
            <w:vAlign w:val="bottom"/>
            <w:shd w:val="clear" w:color="auto" w:fill="CCEEFF"/>
          </w:tcPr>
          <w:p>
            <w:pPr>
              <w:spacing w:after="0"/>
              <w:rPr>
                <w:sz w:val="14"/>
                <w:szCs w:val="14"/>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53,300</w:t>
            </w:r>
          </w:p>
        </w:tc>
      </w:tr>
      <w:tr>
        <w:trPr>
          <w:trHeight w:val="180"/>
        </w:trPr>
        <w:tc>
          <w:tcPr>
            <w:tcW w:w="85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Add effects of share-based compensation instruments </w:t>
            </w:r>
            <w:r>
              <w:rPr>
                <w:rFonts w:ascii="Times New Roman" w:cs="Times New Roman" w:eastAsia="Times New Roman" w:hAnsi="Times New Roman"/>
                <w:sz w:val="18"/>
                <w:szCs w:val="18"/>
                <w:color w:val="auto"/>
                <w:vertAlign w:val="superscript"/>
              </w:rPr>
              <w:t>(1)</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w:t>
            </w:r>
          </w:p>
        </w:tc>
      </w:tr>
      <w:tr>
        <w:trPr>
          <w:trHeight w:val="196"/>
        </w:trPr>
        <w:tc>
          <w:tcPr>
            <w:tcW w:w="7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weighted average shares outstanding</w:t>
            </w:r>
          </w:p>
        </w:tc>
        <w:tc>
          <w:tcPr>
            <w:tcW w:w="132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54,176</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520" w:right="420" w:hanging="260"/>
        <w:spacing w:after="0" w:line="281" w:lineRule="auto"/>
        <w:tabs>
          <w:tab w:leader="none" w:pos="5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Excluded from the computation of diluted earnings per share were stock options, SARs and restricted share units totaling 3.2 million and 2.2 million for the three months ended March 31, 2023 and 2022, respectively, because to include them would have been anti-dilutive under the treasury stock method.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Geographic and Segment Information</w:t>
      </w:r>
    </w:p>
    <w:p>
      <w:pPr>
        <w:spacing w:after="0" w:line="87" w:lineRule="exact"/>
        <w:rPr>
          <w:sz w:val="20"/>
          <w:szCs w:val="20"/>
          <w:color w:val="auto"/>
        </w:rPr>
      </w:pPr>
    </w:p>
    <w:p>
      <w:pPr>
        <w:ind w:right="420" w:firstLine="127"/>
        <w:spacing w:after="0" w:line="303" w:lineRule="auto"/>
        <w:rPr>
          <w:sz w:val="20"/>
          <w:szCs w:val="20"/>
          <w:color w:val="auto"/>
        </w:rPr>
      </w:pPr>
      <w:r>
        <w:rPr>
          <w:rFonts w:ascii="Times New Roman" w:cs="Times New Roman" w:eastAsia="Times New Roman" w:hAnsi="Times New Roman"/>
          <w:sz w:val="14"/>
          <w:szCs w:val="14"/>
          <w:color w:val="auto"/>
        </w:rPr>
        <w:t>LivaNova identifies operating segments based on the way it manages, evaluates and internally reports its business activities for purposes of allocating resources, developing and executing its strategy, and assessing performance. LivaNova has three reportable segments: Cardiopulmonary, Neuromodulation and ACS.</w:t>
      </w:r>
    </w:p>
    <w:p>
      <w:pPr>
        <w:spacing w:after="0" w:line="39" w:lineRule="exact"/>
        <w:rPr>
          <w:sz w:val="20"/>
          <w:szCs w:val="20"/>
          <w:color w:val="auto"/>
        </w:rPr>
      </w:pPr>
    </w:p>
    <w:p>
      <w:pPr>
        <w:ind w:right="320" w:firstLine="127"/>
        <w:spacing w:after="0" w:line="287" w:lineRule="auto"/>
        <w:rPr>
          <w:sz w:val="20"/>
          <w:szCs w:val="20"/>
          <w:color w:val="auto"/>
        </w:rPr>
      </w:pPr>
      <w:r>
        <w:rPr>
          <w:rFonts w:ascii="Times New Roman" w:cs="Times New Roman" w:eastAsia="Times New Roman" w:hAnsi="Times New Roman"/>
          <w:sz w:val="14"/>
          <w:szCs w:val="14"/>
          <w:color w:val="auto"/>
        </w:rPr>
        <w:t>LivaNova’s Cardiopulmonary segment is engaged in the development, production and sale of cardiopulmonary products, including heart-lung machines, oxygenators, autotransfusion systems, perfusion tubing systems, cannulae and other related accessories.</w:t>
      </w: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5" w:name="page26"/>
    <w:bookmarkEnd w:id="25"/>
    <w:p>
      <w:pPr>
        <w:ind w:firstLine="127"/>
        <w:spacing w:after="0" w:line="275" w:lineRule="auto"/>
        <w:rPr>
          <w:sz w:val="20"/>
          <w:szCs w:val="20"/>
          <w:color w:val="auto"/>
        </w:rPr>
      </w:pPr>
      <w:r>
        <w:rPr>
          <w:rFonts w:ascii="Times New Roman" w:cs="Times New Roman" w:eastAsia="Times New Roman" w:hAnsi="Times New Roman"/>
          <w:sz w:val="14"/>
          <w:szCs w:val="14"/>
          <w:color w:val="auto"/>
        </w:rPr>
        <w:t>LivaNova’s Neuromodulation segment is engaged in the design, development and marketing of devices that deliver neuromodulation therapy for treating DRE and DTD. Neuromodulation products include the VNS Therapy System, which consists of an implantable pulse generator, a lead that connects the generator to the vagus nerve, and other accessories. It also includes the development and management of clinical testing of LivaNova’s aura6000 System for treating OSA. LivaNova’s Neuromodulation segment also includes costs associated with LivaNova’s former heart failure program, which, as previously disclosed, the Company began to wind down during the first quarter of 2023.</w:t>
      </w:r>
    </w:p>
    <w:p>
      <w:pPr>
        <w:spacing w:after="0" w:line="58" w:lineRule="exact"/>
        <w:rPr>
          <w:sz w:val="20"/>
          <w:szCs w:val="20"/>
          <w:color w:val="auto"/>
        </w:rPr>
      </w:pPr>
    </w:p>
    <w:p>
      <w:pPr>
        <w:ind w:right="160" w:firstLine="127"/>
        <w:spacing w:after="0" w:line="275" w:lineRule="auto"/>
        <w:rPr>
          <w:sz w:val="20"/>
          <w:szCs w:val="20"/>
          <w:color w:val="auto"/>
        </w:rPr>
      </w:pPr>
      <w:r>
        <w:rPr>
          <w:rFonts w:ascii="Times New Roman" w:cs="Times New Roman" w:eastAsia="Times New Roman" w:hAnsi="Times New Roman"/>
          <w:sz w:val="14"/>
          <w:szCs w:val="14"/>
          <w:color w:val="auto"/>
        </w:rPr>
        <w:t>LivaNova’s ACS segment is engaged in the development, production and sale of leading-edge temporary life support products. LivaNova’s ACS products, which comprise the LifeSPARC platform, simplify temporary extracorporeal cardiopulmonary life support solutions for critically ill patients. The LifeSPARC platform includes a common compact console and pump that provides temporary support for emergent rescue patients in a variety of settings. LivaNova’s ACS segment also includes the Hemolung RAS, which was acquired in May 2022 as part of the acquisition of ALung.</w:t>
      </w:r>
    </w:p>
    <w:p>
      <w:pPr>
        <w:spacing w:after="0" w:line="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“Other” includes corporate shared service expenses for finance, legal, human resources, information technology and corporate business development.</w:t>
      </w:r>
    </w:p>
    <w:p>
      <w:pPr>
        <w:spacing w:after="0" w:line="104" w:lineRule="exact"/>
        <w:rPr>
          <w:sz w:val="20"/>
          <w:szCs w:val="20"/>
          <w:color w:val="auto"/>
        </w:rPr>
      </w:pPr>
    </w:p>
    <w:p>
      <w:pPr>
        <w:ind w:right="140" w:firstLine="127"/>
        <w:spacing w:after="0" w:line="303" w:lineRule="auto"/>
        <w:rPr>
          <w:sz w:val="20"/>
          <w:szCs w:val="20"/>
          <w:color w:val="auto"/>
        </w:rPr>
      </w:pPr>
      <w:r>
        <w:rPr>
          <w:rFonts w:ascii="Times New Roman" w:cs="Times New Roman" w:eastAsia="Times New Roman" w:hAnsi="Times New Roman"/>
          <w:sz w:val="14"/>
          <w:szCs w:val="14"/>
          <w:color w:val="auto"/>
        </w:rPr>
        <w:t>Net revenue of the Company’s reportable segments includes revenues from the sale of products that each reportable segment develops and manufactures or distributes. LivaNova defines segment income as operating income before merger and integration expense, restructuring expense and the amortization of intangibles.</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26" w:name="page27"/>
    <w:bookmarkEnd w:id="26"/>
    <w:p>
      <w:pPr>
        <w:ind w:left="140"/>
        <w:spacing w:after="0"/>
        <w:rPr>
          <w:sz w:val="20"/>
          <w:szCs w:val="20"/>
          <w:color w:val="auto"/>
        </w:rPr>
      </w:pPr>
      <w:r>
        <w:rPr>
          <w:rFonts w:ascii="Times New Roman" w:cs="Times New Roman" w:eastAsia="Times New Roman" w:hAnsi="Times New Roman"/>
          <w:sz w:val="14"/>
          <w:szCs w:val="14"/>
          <w:color w:val="auto"/>
        </w:rPr>
        <w:t>LivaNova operates under three geographic regions: U.S., Europe, and Rest of World. The table below presents net revenue by operating segment and geographic region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4"/>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1"/>
        </w:trPr>
        <w:tc>
          <w:tcPr>
            <w:tcW w:w="7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0"/>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38,096</w:t>
            </w:r>
          </w:p>
        </w:tc>
      </w:tr>
      <w:tr>
        <w:trPr>
          <w:trHeight w:val="180"/>
        </w:trPr>
        <w:tc>
          <w:tcPr>
            <w:tcW w:w="726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36,283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32,067</w:t>
            </w:r>
          </w:p>
        </w:tc>
      </w:tr>
      <w:tr>
        <w:trPr>
          <w:trHeight w:val="180"/>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4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59,675</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46,912</w:t>
            </w:r>
          </w:p>
        </w:tc>
      </w:tr>
      <w:tr>
        <w:trPr>
          <w:trHeight w:val="171"/>
        </w:trPr>
        <w:tc>
          <w:tcPr>
            <w:tcW w:w="7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132,072</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117,075</w:t>
            </w:r>
          </w:p>
        </w:tc>
      </w:tr>
      <w:tr>
        <w:trPr>
          <w:trHeight w:val="160"/>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4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80"/>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94,489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87,210</w:t>
            </w:r>
          </w:p>
        </w:tc>
      </w:tr>
      <w:tr>
        <w:trPr>
          <w:trHeight w:val="180"/>
        </w:trPr>
        <w:tc>
          <w:tcPr>
            <w:tcW w:w="7260" w:type="dxa"/>
            <w:vAlign w:val="bottom"/>
            <w:gridSpan w:val="2"/>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12,456</w:t>
            </w:r>
          </w:p>
        </w:tc>
      </w:tr>
      <w:tr>
        <w:trPr>
          <w:trHeight w:val="180"/>
        </w:trPr>
        <w:tc>
          <w:tcPr>
            <w:tcW w:w="72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12,954</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10,561</w:t>
            </w:r>
          </w:p>
        </w:tc>
      </w:tr>
      <w:tr>
        <w:trPr>
          <w:trHeight w:val="171"/>
        </w:trPr>
        <w:tc>
          <w:tcPr>
            <w:tcW w:w="7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120,723</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110,227</w:t>
            </w:r>
          </w:p>
        </w:tc>
      </w:tr>
      <w:tr>
        <w:trPr>
          <w:trHeight w:val="16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Advanced Circulatory Support</w:t>
            </w: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80"/>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10,963</w:t>
            </w:r>
          </w:p>
        </w:tc>
      </w:tr>
      <w:tr>
        <w:trPr>
          <w:trHeight w:val="180"/>
        </w:trPr>
        <w:tc>
          <w:tcPr>
            <w:tcW w:w="726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w:t>
            </w:r>
          </w:p>
        </w:tc>
      </w:tr>
      <w:tr>
        <w:trPr>
          <w:trHeight w:val="180"/>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4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71"/>
        </w:trPr>
        <w:tc>
          <w:tcPr>
            <w:tcW w:w="7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9,842</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11,683</w:t>
            </w:r>
          </w:p>
        </w:tc>
      </w:tr>
      <w:tr>
        <w:trPr>
          <w:trHeight w:val="160"/>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80"/>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460" w:type="dxa"/>
            <w:vAlign w:val="bottom"/>
          </w:tcPr>
          <w:p>
            <w:pPr>
              <w:spacing w:after="0"/>
              <w:rPr>
                <w:sz w:val="15"/>
                <w:szCs w:val="15"/>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260" w:type="dxa"/>
            <w:vAlign w:val="bottom"/>
            <w:gridSpan w:val="2"/>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4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2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1,190</w:t>
            </w:r>
          </w:p>
        </w:tc>
      </w:tr>
      <w:tr>
        <w:trPr>
          <w:trHeight w:val="171"/>
        </w:trPr>
        <w:tc>
          <w:tcPr>
            <w:tcW w:w="7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r>
      <w:tr>
        <w:trPr>
          <w:trHeight w:val="16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80"/>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140,267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136,269</w:t>
            </w:r>
          </w:p>
        </w:tc>
      </w:tr>
      <w:tr>
        <w:trPr>
          <w:trHeight w:val="180"/>
        </w:trPr>
        <w:tc>
          <w:tcPr>
            <w:tcW w:w="726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49,643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45,126</w:t>
            </w:r>
          </w:p>
        </w:tc>
      </w:tr>
      <w:tr>
        <w:trPr>
          <w:trHeight w:val="180"/>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4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73,508</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58,780</w:t>
            </w:r>
          </w:p>
        </w:tc>
      </w:tr>
      <w:tr>
        <w:trPr>
          <w:trHeight w:val="171"/>
        </w:trPr>
        <w:tc>
          <w:tcPr>
            <w:tcW w:w="7260" w:type="dxa"/>
            <w:vAlign w:val="bottom"/>
            <w:gridSpan w:val="2"/>
          </w:tcPr>
          <w:p>
            <w:pPr>
              <w:ind w:left="360"/>
              <w:spacing w:after="0" w:line="171" w:lineRule="exact"/>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18"/>
                <w:szCs w:val="18"/>
                <w:color w:val="auto"/>
                <w:vertAlign w:val="superscript"/>
              </w:rPr>
              <w:t>(2)</w:t>
            </w: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263,418</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240,175</w:t>
            </w:r>
          </w:p>
        </w:tc>
      </w:tr>
      <w:tr>
        <w:trPr>
          <w:trHeight w:val="20"/>
        </w:trPr>
        <w:tc>
          <w:tcPr>
            <w:tcW w:w="7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countries in Europe where the Company has a direct sales presence. Countries where sales are made through distributors are included in “Rest of World.”</w:t>
      </w:r>
    </w:p>
    <w:p>
      <w:pPr>
        <w:spacing w:after="0" w:line="41"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single customer represented over 10% of the Company’s consolidated net revenue. No country’s net revenue exceeded 10% of the Company’s consolidated revenue except for the U.S.</w:t>
      </w: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7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table below presents a reconciliation of segment income to consolidated income before tax (in thousands):</w:t>
            </w:r>
          </w:p>
        </w:tc>
        <w:tc>
          <w:tcPr>
            <w:tcW w:w="1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2"/>
        </w:trPr>
        <w:tc>
          <w:tcPr>
            <w:tcW w:w="7260" w:type="dxa"/>
            <w:vAlign w:val="bottom"/>
          </w:tcPr>
          <w:p>
            <w:pPr>
              <w:spacing w:after="0"/>
              <w:rPr>
                <w:sz w:val="18"/>
                <w:szCs w:val="18"/>
                <w:color w:val="auto"/>
              </w:rPr>
            </w:pPr>
          </w:p>
        </w:tc>
        <w:tc>
          <w:tcPr>
            <w:tcW w:w="3360" w:type="dxa"/>
            <w:vAlign w:val="bottom"/>
            <w:tcBorders>
              <w:bottom w:val="single" w:sz="8" w:color="auto"/>
            </w:tcBorders>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8"/>
                <w:szCs w:val="18"/>
                <w:color w:val="auto"/>
              </w:rPr>
            </w:pPr>
          </w:p>
        </w:tc>
      </w:tr>
      <w:tr>
        <w:trPr>
          <w:trHeight w:val="171"/>
        </w:trPr>
        <w:tc>
          <w:tcPr>
            <w:tcW w:w="726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r>
      <w:tr>
        <w:trPr>
          <w:trHeight w:val="17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1300" w:type="dxa"/>
            <w:vAlign w:val="bottom"/>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7,584</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6,895</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1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27,006</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37,478</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Circulatory Support</w:t>
            </w:r>
          </w:p>
        </w:tc>
        <w:tc>
          <w:tcPr>
            <w:tcW w:w="1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(6,449)</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(5,438)</w:t>
            </w:r>
          </w:p>
        </w:tc>
      </w:tr>
      <w:tr>
        <w:trPr>
          <w:trHeight w:val="180"/>
        </w:trPr>
        <w:tc>
          <w:tcPr>
            <w:tcW w:w="726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(1)</w:t>
            </w:r>
          </w:p>
        </w:tc>
        <w:tc>
          <w:tcPr>
            <w:tcW w:w="1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(23,132)</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(23,082)</w:t>
            </w:r>
          </w:p>
        </w:tc>
      </w:tr>
      <w:tr>
        <w:trPr>
          <w:trHeight w:val="17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reportable segment income</w:t>
            </w:r>
          </w:p>
        </w:tc>
        <w:tc>
          <w:tcPr>
            <w:tcW w:w="1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5,009</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15,853</w:t>
            </w:r>
          </w:p>
        </w:tc>
      </w:tr>
      <w:tr>
        <w:trPr>
          <w:trHeight w:val="180"/>
        </w:trPr>
        <w:tc>
          <w:tcPr>
            <w:tcW w:w="726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expenses </w:t>
            </w:r>
            <w:r>
              <w:rPr>
                <w:rFonts w:ascii="Times New Roman" w:cs="Times New Roman" w:eastAsia="Times New Roman" w:hAnsi="Times New Roman"/>
                <w:sz w:val="18"/>
                <w:szCs w:val="18"/>
                <w:color w:val="auto"/>
                <w:vertAlign w:val="superscript"/>
              </w:rPr>
              <w:t>(2)</w:t>
            </w:r>
          </w:p>
        </w:tc>
        <w:tc>
          <w:tcPr>
            <w:tcW w:w="1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7,351</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6,348</w:t>
            </w:r>
          </w:p>
        </w:tc>
      </w:tr>
      <w:tr>
        <w:trPr>
          <w:trHeight w:val="17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 income</w:t>
            </w:r>
          </w:p>
        </w:tc>
        <w:tc>
          <w:tcPr>
            <w:tcW w:w="1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9,505</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(13,437)</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(7,840)</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3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25,547</w:t>
            </w:r>
          </w:p>
        </w:tc>
        <w:tc>
          <w:tcPr>
            <w:tcW w:w="10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3,904</w:t>
            </w:r>
          </w:p>
        </w:tc>
      </w:tr>
      <w:tr>
        <w:trPr>
          <w:trHeight w:val="171"/>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w:t>
            </w:r>
          </w:p>
        </w:tc>
        <w:tc>
          <w:tcPr>
            <w:tcW w:w="1300" w:type="dxa"/>
            <w:vAlign w:val="bottom"/>
            <w:tcBorders>
              <w:bottom w:val="single" w:sz="8" w:color="auto"/>
            </w:tcBorders>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9,768</w:t>
            </w: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5,569</w:t>
            </w:r>
          </w:p>
        </w:tc>
      </w:tr>
      <w:tr>
        <w:trPr>
          <w:trHeight w:val="20"/>
        </w:trPr>
        <w:tc>
          <w:tcPr>
            <w:tcW w:w="7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includes corporate shared service expenses for finance, legal, human resources, information technology and corporate business development.</w:t>
      </w:r>
    </w:p>
    <w:p>
      <w:pPr>
        <w:spacing w:after="0" w:line="41"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expenses primarily consist of amortization of intangible assets, merger and integration expense and restructuring expense.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Assets by segment are as follows (in thousands):</w:t>
            </w: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40" w:type="dxa"/>
            <w:vAlign w:val="bottom"/>
          </w:tcPr>
          <w:p>
            <w:pPr>
              <w:spacing w:after="0"/>
              <w:rPr>
                <w:sz w:val="18"/>
                <w:szCs w:val="18"/>
                <w:color w:val="auto"/>
              </w:rPr>
            </w:pPr>
          </w:p>
        </w:tc>
        <w:tc>
          <w:tcPr>
            <w:tcW w:w="172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1"/>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26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885,784</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874,143</w:t>
            </w:r>
          </w:p>
        </w:tc>
        <w:tc>
          <w:tcPr>
            <w:tcW w:w="0" w:type="dxa"/>
            <w:vAlign w:val="bottom"/>
          </w:tcPr>
          <w:p>
            <w:pPr>
              <w:spacing w:after="0"/>
              <w:rPr>
                <w:sz w:val="1"/>
                <w:szCs w:val="1"/>
                <w:color w:val="auto"/>
              </w:rPr>
            </w:pP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642,467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646,633</w:t>
            </w: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Circulatory Support</w:t>
            </w:r>
          </w:p>
        </w:tc>
        <w:tc>
          <w:tcPr>
            <w:tcW w:w="2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118,120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121,454</w:t>
            </w:r>
          </w:p>
        </w:tc>
        <w:tc>
          <w:tcPr>
            <w:tcW w:w="0" w:type="dxa"/>
            <w:vAlign w:val="bottom"/>
          </w:tcPr>
          <w:p>
            <w:pPr>
              <w:spacing w:after="0"/>
              <w:rPr>
                <w:sz w:val="1"/>
                <w:szCs w:val="1"/>
                <w:color w:val="auto"/>
              </w:rPr>
            </w:pPr>
          </w:p>
        </w:tc>
      </w:tr>
      <w:tr>
        <w:trPr>
          <w:trHeight w:val="18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CCEEFF"/>
            </w:tcBorders>
          </w:tcPr>
          <w:p>
            <w:pPr>
              <w:spacing w:after="0"/>
              <w:rPr>
                <w:sz w:val="15"/>
                <w:szCs w:val="15"/>
                <w:color w:val="auto"/>
              </w:rPr>
            </w:pPr>
          </w:p>
        </w:tc>
        <w:tc>
          <w:tcPr>
            <w:tcW w:w="17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648,517</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652,543</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2,294,888</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2,294,773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Capital expenditures by segment are as follows (in thousands):</w:t>
            </w:r>
          </w:p>
        </w:tc>
        <w:tc>
          <w:tcPr>
            <w:tcW w:w="2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5"/>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52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17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2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w:t>
            </w:r>
          </w:p>
        </w:tc>
        <w:tc>
          <w:tcPr>
            <w:tcW w:w="0" w:type="dxa"/>
            <w:vAlign w:val="bottom"/>
          </w:tcPr>
          <w:p>
            <w:pPr>
              <w:spacing w:after="0"/>
              <w:rPr>
                <w:sz w:val="1"/>
                <w:szCs w:val="1"/>
                <w:color w:val="auto"/>
              </w:rPr>
            </w:pP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Circulatory Support</w:t>
            </w:r>
          </w:p>
        </w:tc>
        <w:tc>
          <w:tcPr>
            <w:tcW w:w="2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0" w:type="dxa"/>
            <w:vAlign w:val="bottom"/>
          </w:tcPr>
          <w:p>
            <w:pPr>
              <w:spacing w:after="0"/>
              <w:rPr>
                <w:sz w:val="1"/>
                <w:szCs w:val="1"/>
                <w:color w:val="auto"/>
              </w:rPr>
            </w:pPr>
          </w:p>
        </w:tc>
      </w:tr>
      <w:tr>
        <w:trPr>
          <w:trHeight w:val="18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CCEEFF"/>
            </w:tcBorders>
          </w:tcPr>
          <w:p>
            <w:pPr>
              <w:spacing w:after="0"/>
              <w:rPr>
                <w:sz w:val="15"/>
                <w:szCs w:val="15"/>
                <w:color w:val="auto"/>
              </w:rPr>
            </w:pPr>
          </w:p>
        </w:tc>
        <w:tc>
          <w:tcPr>
            <w:tcW w:w="17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2,983</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5,580</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9320" w:type="dxa"/>
            <w:vAlign w:val="bottom"/>
            <w:gridSpan w:val="9"/>
          </w:tcPr>
          <w:p>
            <w:pPr>
              <w:ind w:left="140"/>
              <w:spacing w:after="0"/>
              <w:rPr>
                <w:sz w:val="20"/>
                <w:szCs w:val="20"/>
                <w:color w:val="auto"/>
              </w:rPr>
            </w:pPr>
            <w:r>
              <w:rPr>
                <w:rFonts w:ascii="Times New Roman" w:cs="Times New Roman" w:eastAsia="Times New Roman" w:hAnsi="Times New Roman"/>
                <w:sz w:val="14"/>
                <w:szCs w:val="14"/>
                <w:color w:val="auto"/>
              </w:rPr>
              <w:t>The changes in the carrying amount of goodwill by segment for the three months ended March 31, 2023 were as follows (in thousands):</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260" w:type="dxa"/>
            <w:vAlign w:val="bottom"/>
          </w:tcPr>
          <w:p>
            <w:pPr>
              <w:spacing w:after="0"/>
              <w:rPr>
                <w:sz w:val="17"/>
                <w:szCs w:val="17"/>
                <w:color w:val="auto"/>
              </w:rPr>
            </w:pPr>
          </w:p>
        </w:tc>
        <w:tc>
          <w:tcPr>
            <w:tcW w:w="17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240" w:type="dxa"/>
            <w:vAlign w:val="bottom"/>
          </w:tcPr>
          <w:p>
            <w:pPr>
              <w:spacing w:after="0"/>
              <w:rPr>
                <w:sz w:val="17"/>
                <w:szCs w:val="17"/>
                <w:color w:val="auto"/>
              </w:rPr>
            </w:pPr>
          </w:p>
        </w:tc>
        <w:tc>
          <w:tcPr>
            <w:tcW w:w="172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370,033</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398,754</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768,787</w:t>
            </w:r>
          </w:p>
        </w:tc>
        <w:tc>
          <w:tcPr>
            <w:tcW w:w="0" w:type="dxa"/>
            <w:vAlign w:val="bottom"/>
          </w:tcPr>
          <w:p>
            <w:pPr>
              <w:spacing w:after="0"/>
              <w:rPr>
                <w:sz w:val="1"/>
                <w:szCs w:val="1"/>
                <w:color w:val="auto"/>
              </w:rPr>
            </w:pP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adjustments</w:t>
            </w:r>
          </w:p>
        </w:tc>
        <w:tc>
          <w:tcPr>
            <w:tcW w:w="2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5,660</w:t>
            </w:r>
          </w:p>
        </w:tc>
        <w:tc>
          <w:tcPr>
            <w:tcW w:w="0" w:type="dxa"/>
            <w:vAlign w:val="bottom"/>
          </w:tcPr>
          <w:p>
            <w:pPr>
              <w:spacing w:after="0"/>
              <w:rPr>
                <w:sz w:val="1"/>
                <w:szCs w:val="1"/>
                <w:color w:val="auto"/>
              </w:rPr>
            </w:pPr>
          </w:p>
        </w:tc>
      </w:tr>
      <w:tr>
        <w:trPr>
          <w:trHeight w:val="196"/>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2023</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375,693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398,754</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774,447</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5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jc w:val="right"/>
              <w:ind w:right="1329"/>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22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4"/>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plant and equipment, net by geography are as follows (in thousands):</w:t>
            </w: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2"/>
        </w:trPr>
        <w:tc>
          <w:tcPr>
            <w:tcW w:w="7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40" w:type="dxa"/>
            <w:vAlign w:val="bottom"/>
          </w:tcPr>
          <w:p>
            <w:pPr>
              <w:spacing w:after="0"/>
              <w:rPr>
                <w:sz w:val="18"/>
                <w:szCs w:val="18"/>
                <w:color w:val="auto"/>
              </w:rPr>
            </w:pPr>
          </w:p>
        </w:tc>
        <w:tc>
          <w:tcPr>
            <w:tcW w:w="17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1"/>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65,058</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63,458</w:t>
            </w: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3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79,797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79,654</w:t>
            </w: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 of World</w:t>
            </w:r>
          </w:p>
        </w:tc>
        <w:tc>
          <w:tcPr>
            <w:tcW w:w="3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4,205</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w:t>
            </w:r>
          </w:p>
        </w:tc>
      </w:tr>
      <w:tr>
        <w:trPr>
          <w:trHeight w:val="17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149,060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147,187</w:t>
            </w:r>
          </w:p>
        </w:tc>
      </w:tr>
      <w:tr>
        <w:trPr>
          <w:trHeight w:val="20"/>
        </w:trPr>
        <w:tc>
          <w:tcPr>
            <w:tcW w:w="7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Supplemental Financial Information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 consisted of the following (in thousands):</w:t>
            </w: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2"/>
        </w:trPr>
        <w:tc>
          <w:tcPr>
            <w:tcW w:w="7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40" w:type="dxa"/>
            <w:vAlign w:val="bottom"/>
          </w:tcPr>
          <w:p>
            <w:pPr>
              <w:spacing w:after="0"/>
              <w:rPr>
                <w:sz w:val="17"/>
                <w:szCs w:val="17"/>
                <w:color w:val="auto"/>
              </w:rPr>
            </w:pPr>
          </w:p>
        </w:tc>
        <w:tc>
          <w:tcPr>
            <w:tcW w:w="17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1"/>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80,054</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70,027</w:t>
            </w: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Work-in-process</w:t>
            </w:r>
          </w:p>
        </w:tc>
        <w:tc>
          <w:tcPr>
            <w:tcW w:w="3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15,508</w:t>
            </w: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3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43,899</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43,844</w:t>
            </w:r>
          </w:p>
        </w:tc>
      </w:tr>
      <w:tr>
        <w:trPr>
          <w:trHeight w:val="171"/>
        </w:trPr>
        <w:tc>
          <w:tcPr>
            <w:tcW w:w="72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142,453</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129,379</w:t>
            </w:r>
          </w:p>
        </w:tc>
      </w:tr>
      <w:tr>
        <w:trPr>
          <w:trHeight w:val="20"/>
        </w:trPr>
        <w:tc>
          <w:tcPr>
            <w:tcW w:w="7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As of March 31, 2023 and December 31, 2022, inventories included adjustments totaling $10.0 million and $8.2 million, respectively, to record balances at lower of cost or net realizable value.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liabilities and other consisted of the following (in thousands):</w:t>
            </w:r>
          </w:p>
        </w:tc>
        <w:tc>
          <w:tcPr>
            <w:tcW w:w="1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2"/>
        </w:trPr>
        <w:tc>
          <w:tcPr>
            <w:tcW w:w="72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1"/>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Legal and other administrative costs</w:t>
            </w:r>
          </w:p>
        </w:tc>
        <w:tc>
          <w:tcPr>
            <w:tcW w:w="1480" w:type="dxa"/>
            <w:vAlign w:val="bottom"/>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8,653</w:t>
            </w: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14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10,226</w:t>
            </w: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4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9,379</w:t>
            </w: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payable</w:t>
            </w:r>
          </w:p>
        </w:tc>
        <w:tc>
          <w:tcPr>
            <w:tcW w:w="14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costs</w:t>
            </w:r>
          </w:p>
        </w:tc>
        <w:tc>
          <w:tcPr>
            <w:tcW w:w="14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7,020</w:t>
            </w: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Italian medical device payback law</w:t>
            </w:r>
          </w:p>
        </w:tc>
        <w:tc>
          <w:tcPr>
            <w:tcW w:w="14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6,414</w:t>
            </w: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Royalty accrual</w:t>
            </w:r>
          </w:p>
        </w:tc>
        <w:tc>
          <w:tcPr>
            <w:tcW w:w="14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w:t>
            </w: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Provisions for agents, returns and other</w:t>
            </w:r>
          </w:p>
        </w:tc>
        <w:tc>
          <w:tcPr>
            <w:tcW w:w="14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w:t>
            </w: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derivative liabilities</w:t>
            </w:r>
          </w:p>
        </w:tc>
        <w:tc>
          <w:tcPr>
            <w:tcW w:w="14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5,886</w:t>
            </w: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Restructuring liabilities</w:t>
            </w:r>
          </w:p>
        </w:tc>
        <w:tc>
          <w:tcPr>
            <w:tcW w:w="14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w:t>
            </w: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accrued expenses</w:t>
            </w:r>
          </w:p>
        </w:tc>
        <w:tc>
          <w:tcPr>
            <w:tcW w:w="14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27,956</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26,306</w:t>
            </w:r>
          </w:p>
        </w:tc>
      </w:tr>
      <w:tr>
        <w:trPr>
          <w:trHeight w:val="171"/>
        </w:trPr>
        <w:tc>
          <w:tcPr>
            <w:tcW w:w="7280" w:type="dxa"/>
            <w:vAlign w:val="bottom"/>
          </w:tcPr>
          <w:p>
            <w:pPr>
              <w:spacing w:after="0"/>
              <w:rPr>
                <w:sz w:val="14"/>
                <w:szCs w:val="14"/>
                <w:color w:val="auto"/>
              </w:rPr>
            </w:pPr>
          </w:p>
        </w:tc>
        <w:tc>
          <w:tcPr>
            <w:tcW w:w="1480" w:type="dxa"/>
            <w:vAlign w:val="bottom"/>
            <w:tcBorders>
              <w:bottom w:val="single" w:sz="8" w:color="auto"/>
            </w:tcBorders>
          </w:tcPr>
          <w:p>
            <w:pPr>
              <w:jc w:val="right"/>
              <w:ind w:right="13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96,353</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81,481</w:t>
            </w:r>
          </w:p>
        </w:tc>
      </w:tr>
      <w:tr>
        <w:trPr>
          <w:trHeight w:val="20"/>
        </w:trPr>
        <w:tc>
          <w:tcPr>
            <w:tcW w:w="7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80" w:firstLine="127"/>
        <w:spacing w:after="0" w:line="303" w:lineRule="auto"/>
        <w:rPr>
          <w:sz w:val="20"/>
          <w:szCs w:val="20"/>
          <w:color w:val="auto"/>
        </w:rPr>
      </w:pPr>
      <w:r>
        <w:rPr>
          <w:rFonts w:ascii="Times New Roman" w:cs="Times New Roman" w:eastAsia="Times New Roman" w:hAnsi="Times New Roman"/>
          <w:sz w:val="14"/>
          <w:szCs w:val="14"/>
          <w:color w:val="auto"/>
        </w:rPr>
        <w:t>As of March 31, 2023 and December 31, 2022, contract liabilities totaling $15.5 million and $14.1 million, respectively, were included within accrued liabilities and other long-term liabilities on the condensed consolidated balance sheets.</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table below presents the items included within “Foreign exchange and other income/(expense)” on the condensed consolidated statements of income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tcPr>
          <w:p>
            <w:pPr>
              <w:spacing w:after="0"/>
              <w:rPr>
                <w:sz w:val="16"/>
                <w:szCs w:val="16"/>
                <w:color w:val="auto"/>
              </w:rPr>
            </w:pPr>
          </w:p>
        </w:tc>
        <w:tc>
          <w:tcPr>
            <w:tcW w:w="3380" w:type="dxa"/>
            <w:vAlign w:val="bottom"/>
            <w:tcBorders>
              <w:bottom w:val="single" w:sz="8" w:color="auto"/>
            </w:tcBorders>
            <w:gridSpan w:val="4"/>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r>
      <w:tr>
        <w:trPr>
          <w:trHeight w:val="171"/>
        </w:trPr>
        <w:tc>
          <w:tcPr>
            <w:tcW w:w="726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r>
      <w:tr>
        <w:trPr>
          <w:trHeight w:val="171"/>
        </w:trPr>
        <w:tc>
          <w:tcPr>
            <w:tcW w:w="72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Exchangeable Notes fair value adjustment </w:t>
            </w:r>
            <w:r>
              <w:rPr>
                <w:rFonts w:ascii="Times New Roman" w:cs="Times New Roman" w:eastAsia="Times New Roman" w:hAnsi="Times New Roman"/>
                <w:sz w:val="18"/>
                <w:szCs w:val="18"/>
                <w:color w:val="auto"/>
                <w:vertAlign w:val="superscript"/>
              </w:rPr>
              <w:t>(1)</w:t>
            </w:r>
          </w:p>
        </w:tc>
        <w:tc>
          <w:tcPr>
            <w:tcW w:w="1300" w:type="dxa"/>
            <w:vAlign w:val="bottom"/>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44,390</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11,040</w:t>
            </w:r>
          </w:p>
        </w:tc>
      </w:tr>
      <w:tr>
        <w:trPr>
          <w:trHeight w:val="180"/>
        </w:trPr>
        <w:tc>
          <w:tcPr>
            <w:tcW w:w="72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Capped call fair value adjustment </w:t>
            </w:r>
            <w:r>
              <w:rPr>
                <w:rFonts w:ascii="Times New Roman" w:cs="Times New Roman" w:eastAsia="Times New Roman" w:hAnsi="Times New Roman"/>
                <w:sz w:val="18"/>
                <w:szCs w:val="18"/>
                <w:color w:val="auto"/>
                <w:vertAlign w:val="superscript"/>
              </w:rPr>
              <w:t>(1)</w:t>
            </w:r>
          </w:p>
        </w:tc>
        <w:tc>
          <w:tcPr>
            <w:tcW w:w="1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(23,379)</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(9,912)</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rate fluctuations</w:t>
            </w:r>
          </w:p>
        </w:tc>
        <w:tc>
          <w:tcPr>
            <w:tcW w:w="1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3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71"/>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300" w:type="dxa"/>
            <w:vAlign w:val="bottom"/>
            <w:tcBorders>
              <w:bottom w:val="single" w:sz="8" w:color="auto"/>
            </w:tcBorders>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25,547</w:t>
            </w: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3,904</w:t>
            </w:r>
          </w:p>
        </w:tc>
      </w:tr>
      <w:tr>
        <w:trPr>
          <w:trHeight w:val="20"/>
        </w:trPr>
        <w:tc>
          <w:tcPr>
            <w:tcW w:w="7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Refer to “Note 3. Fair Value Measurements”</w:t>
      </w: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9" w:name="page30"/>
    <w:bookmarkEnd w:id="29"/>
    <w:p>
      <w:pPr>
        <w:ind w:right="360" w:firstLine="127"/>
        <w:spacing w:after="0" w:line="283" w:lineRule="auto"/>
        <w:rPr>
          <w:sz w:val="20"/>
          <w:szCs w:val="20"/>
          <w:color w:val="auto"/>
        </w:rPr>
      </w:pPr>
      <w:r>
        <w:rPr>
          <w:rFonts w:ascii="Times New Roman" w:cs="Times New Roman" w:eastAsia="Times New Roman" w:hAnsi="Times New Roman"/>
          <w:sz w:val="14"/>
          <w:szCs w:val="14"/>
          <w:color w:val="auto"/>
        </w:rPr>
        <w:t>The table below presents a reconciliation of cash, cash equivalents and restricted cash reported on the condensed consolidated balance sheets that sum to the total of the amounts shown on the condensed consolidated statement of cash flows (in thousands):</w:t>
      </w:r>
    </w:p>
    <w:tbl>
      <w:tblPr>
        <w:tblLayout w:type="fixed"/>
        <w:tblInd w:w="0" w:type="dxa"/>
        <w:tblCellMar>
          <w:top w:w="0" w:type="dxa"/>
          <w:left w:w="0" w:type="dxa"/>
          <w:bottom w:w="0" w:type="dxa"/>
          <w:right w:w="0" w:type="dxa"/>
        </w:tblCellMar>
      </w:tblPr>
      <w:tr>
        <w:trPr>
          <w:trHeight w:val="186"/>
        </w:trPr>
        <w:tc>
          <w:tcPr>
            <w:tcW w:w="7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40" w:type="dxa"/>
            <w:vAlign w:val="bottom"/>
          </w:tcPr>
          <w:p>
            <w:pPr>
              <w:spacing w:after="0"/>
              <w:rPr>
                <w:sz w:val="16"/>
                <w:szCs w:val="16"/>
                <w:color w:val="auto"/>
              </w:rPr>
            </w:pPr>
          </w:p>
        </w:tc>
        <w:tc>
          <w:tcPr>
            <w:tcW w:w="17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1"/>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214,340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214,172</w:t>
            </w:r>
          </w:p>
        </w:tc>
      </w:tr>
      <w:tr>
        <w:trPr>
          <w:trHeight w:val="180"/>
        </w:trPr>
        <w:tc>
          <w:tcPr>
            <w:tcW w:w="726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Restricted cash </w:t>
            </w:r>
            <w:r>
              <w:rPr>
                <w:rFonts w:ascii="Times New Roman" w:cs="Times New Roman" w:eastAsia="Times New Roman" w:hAnsi="Times New Roman"/>
                <w:sz w:val="18"/>
                <w:szCs w:val="18"/>
                <w:color w:val="auto"/>
                <w:vertAlign w:val="superscript"/>
              </w:rPr>
              <w:t>(1)</w:t>
            </w: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308,618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301,446</w:t>
            </w:r>
          </w:p>
        </w:tc>
      </w:tr>
      <w:tr>
        <w:trPr>
          <w:trHeight w:val="196"/>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522,958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515,618</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Restricted cash represents funds held as collateral for the SNIA Litigation Guarantee. Refer to “Note 6. Commitments and Contingencies.”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Subsequent Events</w:t>
      </w:r>
    </w:p>
    <w:p>
      <w:pPr>
        <w:spacing w:after="0" w:line="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On April 6, 2023, LivaNova drew $50 million under the Delayed Draw Term Facility. The Term Facilities have now been fully drawn. The proceeds are to be used for general corporate purposes.</w:t>
      </w:r>
    </w:p>
    <w:p>
      <w:pPr>
        <w:spacing w:after="0" w:line="104" w:lineRule="exact"/>
        <w:rPr>
          <w:sz w:val="20"/>
          <w:szCs w:val="20"/>
          <w:color w:val="auto"/>
        </w:rPr>
      </w:pPr>
    </w:p>
    <w:p>
      <w:pPr>
        <w:ind w:right="40" w:firstLine="127"/>
        <w:spacing w:after="0" w:line="275" w:lineRule="auto"/>
        <w:rPr>
          <w:sz w:val="20"/>
          <w:szCs w:val="20"/>
          <w:color w:val="auto"/>
        </w:rPr>
      </w:pPr>
      <w:r>
        <w:rPr>
          <w:rFonts w:ascii="Times New Roman" w:cs="Times New Roman" w:eastAsia="Times New Roman" w:hAnsi="Times New Roman"/>
          <w:sz w:val="14"/>
          <w:szCs w:val="14"/>
          <w:color w:val="auto"/>
        </w:rPr>
        <w:t>As previously disclosed, on April 9, 2021, LivaNova and Mitral entered into an Amended &amp; Restated Purchase Agreement to, among other things, defer the closing of the sale and purchase of LSM by up to two years and include or amend certain additional terms relating to such deferral, including certain amendments relating to the potential hazardous substances liabilities of LSM and the related expense reimbursement provisions. On April 9, 2023, Mitral provided notice to LivaNova, consistent with the terms of the Amended &amp; Restated Purchase Agreement, that they would not exercise their right to purchase LSM.</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01" w:lineRule="exact"/>
        <w:rPr>
          <w:sz w:val="20"/>
          <w:szCs w:val="20"/>
          <w:color w:val="auto"/>
        </w:rPr>
      </w:pPr>
    </w:p>
    <w:p>
      <w:pPr>
        <w:ind w:right="80" w:firstLine="127"/>
        <w:spacing w:after="0" w:line="275" w:lineRule="auto"/>
        <w:rPr>
          <w:sz w:val="20"/>
          <w:szCs w:val="20"/>
          <w:color w:val="auto"/>
        </w:rPr>
      </w:pPr>
      <w:r>
        <w:rPr>
          <w:rFonts w:ascii="Times New Roman" w:cs="Times New Roman" w:eastAsia="Times New Roman" w:hAnsi="Times New Roman"/>
          <w:sz w:val="14"/>
          <w:szCs w:val="14"/>
          <w:color w:val="auto"/>
        </w:rPr>
        <w:t>The following discussion and analysis should be read in conjunction with the condensed consolidated financial statements and related notes, which appear elsewhere in this document, and with LivaNova’s 2022 Form 10-K. LivaNova’s discussion and analysis may contain forward-looking statements that involve risks and uncertainties. The Company’s actual results may differ materially from those anticipated in these forward-looking statements as a result of certain factors, including those set forth under “Risk Factors” in Part I, Item 1A. of LivaNova’s 2022 Form 10-K, as updated and supplemented by LivaNova’s Quarterly Reports on Form 10-Q, including in Part II, Item 1A. and elsewhere in this Quarterly Report on Form 10-Q.</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capitalized terms used below have been defined in the notes to LivaNova’s condensed consolidated financial statements and the “Definitions” section of this Quarterly Report on Form 10-Q.</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Macroeconomic Environment</w:t>
      </w:r>
    </w:p>
    <w:p>
      <w:pPr>
        <w:spacing w:after="0" w:line="98"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The current macroeconomic environment, including foreign exchange volatility, supply chain challenges, inflationary pressures, and geopolitical instability, has impacted and may continue to impact LivaNova’s business. LivaNova’s net revenue and profitability have been negatively affected by the unfavorable foreign currency exchange impact of the strengthened U.S. dollar against a number of currencies. Furthermore, LivaNova continues to experience supply chain delays and interruptions, labor shortages, inflationary pressures and logistical issues. Though, to date, the Company’s supply of raw materials and the production and distribution of finished products have not been materially affected, demand and low capacity worldwide have caused longer lead times and put price pressure on key raw materials. Moreover, freight and labor costs at LivaNova’s manufacturing facilities have increased substantially in the wake of inflation globally. The Company continues to respond to such challenges, and while LivaNova has business continuity plans in place, the impact of the ongoing challenges the Company is experiencing, along with their potential escalation, may adversely affect its business.</w:t>
      </w:r>
    </w:p>
    <w:p>
      <w:pPr>
        <w:spacing w:after="0" w:line="53" w:lineRule="exact"/>
        <w:rPr>
          <w:sz w:val="20"/>
          <w:szCs w:val="20"/>
          <w:color w:val="auto"/>
        </w:rPr>
      </w:pPr>
    </w:p>
    <w:p>
      <w:pPr>
        <w:ind w:right="20" w:firstLine="127"/>
        <w:spacing w:after="0" w:line="275" w:lineRule="auto"/>
        <w:rPr>
          <w:sz w:val="20"/>
          <w:szCs w:val="20"/>
          <w:color w:val="auto"/>
        </w:rPr>
      </w:pPr>
      <w:r>
        <w:rPr>
          <w:rFonts w:ascii="Times New Roman" w:cs="Times New Roman" w:eastAsia="Times New Roman" w:hAnsi="Times New Roman"/>
          <w:sz w:val="14"/>
          <w:szCs w:val="14"/>
          <w:color w:val="auto"/>
        </w:rPr>
        <w:t>In February 2022, Russia launched an invasion in Ukraine which caused the Company to assess its ability to sell in the market due to international sanctions, to consider the potential impact of raw material sourced from the region, and to determine whether LivaNova is able to transact in a compliant fashion. Although business across Russia, Ukraine and Belarus represented 1% of LivaNova’s total net revenue for 2022, the invasion of Ukraine has increased economic uncertainties, and a significant escalation or continuation of the conflict could have a material, global impact on the Company’s operating results.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87" w:lineRule="exact"/>
        <w:rPr>
          <w:sz w:val="20"/>
          <w:szCs w:val="20"/>
          <w:color w:val="auto"/>
        </w:rPr>
      </w:pPr>
    </w:p>
    <w:p>
      <w:pPr>
        <w:jc w:val="both"/>
        <w:ind w:right="180" w:firstLine="127"/>
        <w:spacing w:after="0" w:line="278" w:lineRule="auto"/>
        <w:rPr>
          <w:sz w:val="20"/>
          <w:szCs w:val="20"/>
          <w:color w:val="auto"/>
        </w:rPr>
      </w:pPr>
      <w:r>
        <w:rPr>
          <w:rFonts w:ascii="Times New Roman" w:cs="Times New Roman" w:eastAsia="Times New Roman" w:hAnsi="Times New Roman"/>
          <w:sz w:val="14"/>
          <w:szCs w:val="14"/>
          <w:color w:val="auto"/>
        </w:rPr>
        <w:t>LivaNova is a public limited company organized under the laws of England and Wales and headquartered in London, England. LivaNova designs, develops, manufactures and sells products and therapies that are consistent with its mission to provide hope for patients and their families through innovative medical technologies, delivering life-changing improvements for both the Head and Heart.</w:t>
      </w:r>
    </w:p>
    <w:p>
      <w:pPr>
        <w:spacing w:after="0" w:line="56" w:lineRule="exact"/>
        <w:rPr>
          <w:sz w:val="20"/>
          <w:szCs w:val="20"/>
          <w:color w:val="auto"/>
        </w:rPr>
      </w:pPr>
    </w:p>
    <w:p>
      <w:pPr>
        <w:ind w:right="100" w:firstLine="127"/>
        <w:spacing w:after="0" w:line="303" w:lineRule="auto"/>
        <w:rPr>
          <w:sz w:val="20"/>
          <w:szCs w:val="20"/>
          <w:color w:val="auto"/>
        </w:rPr>
      </w:pPr>
      <w:r>
        <w:rPr>
          <w:rFonts w:ascii="Times New Roman" w:cs="Times New Roman" w:eastAsia="Times New Roman" w:hAnsi="Times New Roman"/>
          <w:sz w:val="14"/>
          <w:szCs w:val="14"/>
          <w:color w:val="auto"/>
        </w:rPr>
        <w:t>LivaNova is comprised of three reportable segments: Cardiopulmonary, Neuromodulation and ACS, corresponding to its primary business units. Other includes corporate shared service expenses for finance, legal, human resources, information technology and corporate business development.</w:t>
      </w:r>
    </w:p>
    <w:p>
      <w:pPr>
        <w:spacing w:after="0" w:line="29" w:lineRule="exact"/>
        <w:rPr>
          <w:sz w:val="20"/>
          <w:szCs w:val="20"/>
          <w:color w:val="auto"/>
        </w:rPr>
      </w:pPr>
    </w:p>
    <w:p>
      <w:pPr>
        <w:ind w:right="480" w:firstLine="127"/>
        <w:spacing w:after="0" w:line="303" w:lineRule="auto"/>
        <w:rPr>
          <w:sz w:val="20"/>
          <w:szCs w:val="20"/>
          <w:color w:val="auto"/>
        </w:rPr>
      </w:pPr>
      <w:r>
        <w:rPr>
          <w:rFonts w:ascii="Times New Roman" w:cs="Times New Roman" w:eastAsia="Times New Roman" w:hAnsi="Times New Roman"/>
          <w:sz w:val="14"/>
          <w:szCs w:val="14"/>
          <w:color w:val="auto"/>
        </w:rPr>
        <w:t>For further information regarding LivaNova’s business segments, historical financial information and its methodology for the presentation of financial results, please refer to the condensed consolidated financial statements and accompanying notes of this Quarterly Report on Form 10-Q.</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Cardiopulmonary</w:t>
      </w:r>
    </w:p>
    <w:p>
      <w:pPr>
        <w:spacing w:after="0" w:line="85" w:lineRule="exact"/>
        <w:rPr>
          <w:sz w:val="20"/>
          <w:szCs w:val="20"/>
          <w:color w:val="auto"/>
        </w:rPr>
      </w:pPr>
    </w:p>
    <w:p>
      <w:pPr>
        <w:ind w:right="280" w:firstLine="127"/>
        <w:spacing w:after="0" w:line="303" w:lineRule="auto"/>
        <w:rPr>
          <w:sz w:val="20"/>
          <w:szCs w:val="20"/>
          <w:color w:val="auto"/>
        </w:rPr>
      </w:pPr>
      <w:r>
        <w:rPr>
          <w:rFonts w:ascii="Times New Roman" w:cs="Times New Roman" w:eastAsia="Times New Roman" w:hAnsi="Times New Roman"/>
          <w:sz w:val="14"/>
          <w:szCs w:val="14"/>
          <w:color w:val="auto"/>
        </w:rPr>
        <w:t>LivaNova’s Cardiopulmonary segment is engaged in the development, production and sale of cardiopulmonary products, including heart-lung machines, oxygenators, autotransfusion systems, perfusion tubing systems, cannulae and other related accessories.</w:t>
      </w:r>
    </w:p>
    <w:p>
      <w:pPr>
        <w:spacing w:after="0" w:line="29" w:lineRule="exact"/>
        <w:rPr>
          <w:sz w:val="20"/>
          <w:szCs w:val="20"/>
          <w:color w:val="auto"/>
        </w:rPr>
      </w:pPr>
    </w:p>
    <w:p>
      <w:pPr>
        <w:jc w:val="both"/>
        <w:ind w:right="160" w:firstLine="127"/>
        <w:spacing w:after="0" w:line="286" w:lineRule="auto"/>
        <w:rPr>
          <w:sz w:val="20"/>
          <w:szCs w:val="20"/>
          <w:color w:val="auto"/>
        </w:rPr>
      </w:pPr>
      <w:r>
        <w:rPr>
          <w:rFonts w:ascii="Times New Roman" w:cs="Times New Roman" w:eastAsia="Times New Roman" w:hAnsi="Times New Roman"/>
          <w:sz w:val="14"/>
          <w:szCs w:val="14"/>
          <w:color w:val="auto"/>
        </w:rPr>
        <w:t>In March 2023, LivaNova announced it received FDA 510(k) clearance for its Essenz HLM. With FDA clearance, LivaNova initiated the commercial launch of Essenz in the U.S. The Company also recently received approval for the Essenz HLM from Health Canada and the Japanese Pharmaceuticals and Medical Devices Agency. Additionally, LivaNova is initiating a broad commercial release in Europe, following a successful limited commercial release that supported more than 200 adult, pediatric and neonatal patients in Europe.</w:t>
      </w:r>
    </w:p>
    <w:p>
      <w:pPr>
        <w:spacing w:after="0" w:line="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Information on Cardiopulmonary that could potentially impact LivaNova’s condensed consolidated financial statements and related disclosures is incorporated by reference to Part I. Note 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Commitments and Contingencies: Product Liability Litigation.</w:t>
      </w:r>
    </w:p>
    <w:p>
      <w:pPr>
        <w:spacing w:after="0" w:line="200" w:lineRule="exact"/>
        <w:rPr>
          <w:sz w:val="20"/>
          <w:szCs w:val="20"/>
          <w:color w:val="auto"/>
        </w:rPr>
      </w:pPr>
    </w:p>
    <w:p>
      <w:pPr>
        <w:spacing w:after="0" w:line="2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0"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color w:val="auto"/>
        </w:rPr>
        <w:t>Neuromodulation</w:t>
      </w:r>
    </w:p>
    <w:p>
      <w:pPr>
        <w:spacing w:after="0" w:line="85" w:lineRule="exact"/>
        <w:rPr>
          <w:sz w:val="20"/>
          <w:szCs w:val="20"/>
          <w:color w:val="auto"/>
        </w:rPr>
      </w:pPr>
    </w:p>
    <w:p>
      <w:pPr>
        <w:ind w:right="20" w:firstLine="127"/>
        <w:spacing w:after="0" w:line="273" w:lineRule="auto"/>
        <w:rPr>
          <w:sz w:val="20"/>
          <w:szCs w:val="20"/>
          <w:color w:val="auto"/>
        </w:rPr>
      </w:pPr>
      <w:r>
        <w:rPr>
          <w:rFonts w:ascii="Times New Roman" w:cs="Times New Roman" w:eastAsia="Times New Roman" w:hAnsi="Times New Roman"/>
          <w:sz w:val="14"/>
          <w:szCs w:val="14"/>
          <w:color w:val="auto"/>
        </w:rPr>
        <w:t>LivaNova’s Neuromodulation segment is engaged in the design, development and marketing of devices that deliver neuromodulation therapy for treating DRE and DTD. Neuromodulation products include the VNS Therapy System, which consists of an implantable pulse generator, a lead that connects the generator to the vagus nerve, and other accessories. It also includes the development and management of clinical testing of LivaNova’s aura6000 System for treating OSA. This device stimulates the hypoglossal nerve, which in turn, engages certain muscles in the tongue in order to open the airway while a patient is sleeping. LivaNova’s Neuromodulation segment also includes costs associated with LivaNova’s former heart failure program, which the Company began to wind down during the first quarter of 2023.</w:t>
      </w:r>
    </w:p>
    <w:p>
      <w:pPr>
        <w:spacing w:after="0" w:line="60" w:lineRule="exact"/>
        <w:rPr>
          <w:sz w:val="20"/>
          <w:szCs w:val="20"/>
          <w:color w:val="auto"/>
        </w:rPr>
      </w:pPr>
    </w:p>
    <w:p>
      <w:pPr>
        <w:ind w:right="20" w:firstLine="127"/>
        <w:spacing w:after="0" w:line="278" w:lineRule="auto"/>
        <w:rPr>
          <w:sz w:val="20"/>
          <w:szCs w:val="20"/>
          <w:color w:val="auto"/>
        </w:rPr>
      </w:pPr>
      <w:r>
        <w:rPr>
          <w:rFonts w:ascii="Times New Roman" w:cs="Times New Roman" w:eastAsia="Times New Roman" w:hAnsi="Times New Roman"/>
          <w:sz w:val="14"/>
          <w:szCs w:val="14"/>
          <w:color w:val="auto"/>
        </w:rPr>
        <w:t>In March 2023, LivaNova randomized the 500th unipolar depression patient into the DTD RECOVER clinical study. Upon receipt of the 12-month follow-up data for all 500 patients, the Company expects to conduct a final analysis for the unipolar cohort, culminating in a publication on the study results for that cohort. The RECOVER clinical study also includes up to 500 bipolar patients and may include up to an additional 5,800 patients in an open label registry.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Advanced Circulatory Support</w:t>
      </w:r>
    </w:p>
    <w:p>
      <w:pPr>
        <w:spacing w:after="0" w:line="85"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LivaNova’s ACS segment is engaged in the development, production and sale of leading-edge temporary life support products. LivaNova’s ACS products, which comprise the LifeSPARC platform, simplify temporary extracorporeal cardiopulmonary life support solutions for critically ill patients. The LifeSPARC platform includes a common compact console and pump that provides temporary support for emergent rescue patients in a variety of settings. Designed for ease of use, the system offers power and versatility for multi-disciplinary programs to support more patients in more places. The platform is accompanied by four specialized and ready-to-deploy kits, each designed to support diverse cannulation strategies. LivaNova’s ACS segment also includes the Hemolung RAS. The Hemolung RAS is the only FDA-cleared platform designed specifically for low-flow extracorporeal carbon dioxide removal for acute respiratory failure. The Hemolung RAS was acquired in May 2022 as part of the acquisition of ALung. In August 2022, CMS approved a NTAP for LivaNova’s Hemolung RAS for in-patient care. The NTAP designation is awarded to novel medical technologies and services supported by clinical evidence that are expected to substantially improve the diagnosis or treatment of Medicare beneficiaries and was received October 1,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87" w:lineRule="exact"/>
        <w:rPr>
          <w:sz w:val="20"/>
          <w:szCs w:val="20"/>
          <w:color w:val="auto"/>
        </w:rPr>
      </w:pPr>
    </w:p>
    <w:p>
      <w:pPr>
        <w:ind w:right="120" w:firstLine="127"/>
        <w:spacing w:after="0" w:line="287" w:lineRule="auto"/>
        <w:rPr>
          <w:sz w:val="20"/>
          <w:szCs w:val="20"/>
          <w:color w:val="auto"/>
        </w:rPr>
      </w:pPr>
      <w:r>
        <w:rPr>
          <w:rFonts w:ascii="Times New Roman" w:cs="Times New Roman" w:eastAsia="Times New Roman" w:hAnsi="Times New Roman"/>
          <w:sz w:val="14"/>
          <w:szCs w:val="14"/>
          <w:color w:val="auto"/>
        </w:rPr>
        <w:t>For a discussion of LivaNova’s critical accounting estimates, see “Management’s Discussion and Analysis of Financial Condition and Results of Operations” that is included in the 2022 Form 10-K.</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accompanying unaudited condensed consolidated financial statements of LivaNova and its consolidated subsidiaries have been prepared in accordance with U.S. GAAP on an interim basis.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summarizes LivaNova’s condensed consolidated results of operations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340" w:type="dxa"/>
            <w:vAlign w:val="bottom"/>
            <w:tcBorders>
              <w:bottom w:val="single" w:sz="8" w:color="auto"/>
            </w:tcBorders>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40" w:type="dxa"/>
            <w:vAlign w:val="bottom"/>
            <w:tcBorders>
              <w:bottom w:val="single" w:sz="8" w:color="CCEEFF"/>
            </w:tcBorders>
          </w:tcPr>
          <w:p>
            <w:pPr>
              <w:spacing w:after="0"/>
              <w:rPr>
                <w:sz w:val="14"/>
                <w:szCs w:val="14"/>
                <w:color w:val="auto"/>
              </w:rPr>
            </w:pPr>
          </w:p>
        </w:tc>
        <w:tc>
          <w:tcPr>
            <w:tcW w:w="31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3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263,418</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240,175</w:t>
            </w: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31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89,335</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71,732</w:t>
            </w: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Gross profit</w:t>
            </w:r>
          </w:p>
        </w:tc>
        <w:tc>
          <w:tcPr>
            <w:tcW w:w="3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174,083</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168,443</w:t>
            </w:r>
          </w:p>
        </w:tc>
        <w:tc>
          <w:tcPr>
            <w:tcW w:w="0" w:type="dxa"/>
            <w:vAlign w:val="bottom"/>
          </w:tcPr>
          <w:p>
            <w:pPr>
              <w:spacing w:after="0"/>
              <w:rPr>
                <w:sz w:val="1"/>
                <w:szCs w:val="1"/>
                <w:color w:val="auto"/>
              </w:rPr>
            </w:pPr>
          </w:p>
        </w:tc>
      </w:tr>
      <w:tr>
        <w:trPr>
          <w:trHeight w:val="18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124,129</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118,525</w:t>
            </w:r>
          </w:p>
        </w:tc>
        <w:tc>
          <w:tcPr>
            <w:tcW w:w="0" w:type="dxa"/>
            <w:vAlign w:val="bottom"/>
          </w:tcPr>
          <w:p>
            <w:pPr>
              <w:spacing w:after="0"/>
              <w:rPr>
                <w:sz w:val="1"/>
                <w:szCs w:val="1"/>
                <w:color w:val="auto"/>
              </w:rPr>
            </w:pPr>
          </w:p>
        </w:tc>
      </w:tr>
      <w:tr>
        <w:trPr>
          <w:trHeight w:val="180"/>
        </w:trPr>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49,986</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40,918</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expense</w:t>
            </w:r>
          </w:p>
        </w:tc>
        <w:tc>
          <w:tcPr>
            <w:tcW w:w="312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10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171"/>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(loss) income</w:t>
            </w:r>
          </w:p>
        </w:tc>
        <w:tc>
          <w:tcPr>
            <w:tcW w:w="3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9,505</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(13,437)</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(7,840)</w:t>
            </w: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31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25,547</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3,904</w:t>
            </w: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before tax</w:t>
            </w:r>
          </w:p>
        </w:tc>
        <w:tc>
          <w:tcPr>
            <w:tcW w:w="3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9,768</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5,569</w:t>
            </w:r>
          </w:p>
        </w:tc>
        <w:tc>
          <w:tcPr>
            <w:tcW w:w="0" w:type="dxa"/>
            <w:vAlign w:val="bottom"/>
          </w:tcPr>
          <w:p>
            <w:pPr>
              <w:spacing w:after="0"/>
              <w:rPr>
                <w:sz w:val="1"/>
                <w:szCs w:val="1"/>
                <w:color w:val="auto"/>
              </w:rPr>
            </w:pPr>
          </w:p>
        </w:tc>
      </w:tr>
      <w:tr>
        <w:trPr>
          <w:trHeight w:val="18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from equity method investments</w:t>
            </w:r>
          </w:p>
        </w:tc>
        <w:tc>
          <w:tcPr>
            <w:tcW w:w="312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71"/>
        </w:trPr>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3120" w:type="dxa"/>
            <w:vAlign w:val="bottom"/>
          </w:tcPr>
          <w:p>
            <w:pPr>
              <w:spacing w:after="0"/>
              <w:rPr>
                <w:sz w:val="14"/>
                <w:szCs w:val="14"/>
                <w:color w:val="auto"/>
              </w:rPr>
            </w:pPr>
          </w:p>
        </w:tc>
        <w:tc>
          <w:tcPr>
            <w:tcW w:w="1280" w:type="dxa"/>
            <w:vAlign w:val="bottom"/>
            <w:tcBorders>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7,370</w:t>
            </w:r>
          </w:p>
        </w:tc>
        <w:tc>
          <w:tcPr>
            <w:tcW w:w="100" w:type="dxa"/>
            <w:vAlign w:val="bottom"/>
          </w:tcPr>
          <w:p>
            <w:pPr>
              <w:spacing w:after="0"/>
              <w:rPr>
                <w:sz w:val="14"/>
                <w:szCs w:val="14"/>
                <w:color w:val="auto"/>
              </w:rPr>
            </w:pPr>
          </w:p>
        </w:tc>
        <w:tc>
          <w:tcPr>
            <w:tcW w:w="1280" w:type="dxa"/>
            <w:vAlign w:val="bottom"/>
            <w:tcBorders>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2,993</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120" w:type="dxa"/>
            <w:vAlign w:val="bottom"/>
            <w:vMerge w:val="restart"/>
          </w:tcPr>
          <w:p>
            <w:pPr>
              <w:jc w:val="right"/>
              <w:ind w:right="1409"/>
              <w:spacing w:after="0"/>
              <w:rPr>
                <w:sz w:val="20"/>
                <w:szCs w:val="20"/>
                <w:color w:val="auto"/>
              </w:rPr>
            </w:pPr>
            <w:r>
              <w:rPr>
                <w:rFonts w:ascii="Times New Roman" w:cs="Times New Roman" w:eastAsia="Times New Roman" w:hAnsi="Times New Roman"/>
                <w:sz w:val="14"/>
                <w:szCs w:val="14"/>
                <w:color w:val="auto"/>
              </w:rPr>
              <w:t>32</w:t>
            </w: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414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140" w:type="dxa"/>
            <w:vAlign w:val="bottom"/>
            <w:tcBorders>
              <w:bottom w:val="single" w:sz="8" w:color="9A9A9A"/>
            </w:tcBorders>
          </w:tcPr>
          <w:p>
            <w:pPr>
              <w:spacing w:after="0"/>
              <w:rPr>
                <w:sz w:val="14"/>
                <w:szCs w:val="14"/>
                <w:color w:val="auto"/>
              </w:rPr>
            </w:pPr>
          </w:p>
        </w:tc>
        <w:tc>
          <w:tcPr>
            <w:tcW w:w="312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color w:val="auto"/>
        </w:rPr>
        <w:t>Net Revenue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The table below presents net revenue by operating segment and geographic region (in thousands, except for percentages):</w:t>
            </w: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0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60"/>
        </w:trPr>
        <w:tc>
          <w:tcPr>
            <w:tcW w:w="51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38,096</w:t>
            </w:r>
          </w:p>
        </w:tc>
        <w:tc>
          <w:tcPr>
            <w:tcW w:w="8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80"/>
        </w:trPr>
        <w:tc>
          <w:tcPr>
            <w:tcW w:w="518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4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36,283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32,067</w:t>
            </w:r>
          </w:p>
        </w:tc>
        <w:tc>
          <w:tcPr>
            <w:tcW w:w="8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4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59,675</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46,912</w:t>
            </w:r>
          </w:p>
        </w:tc>
        <w:tc>
          <w:tcPr>
            <w:tcW w:w="8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27.2 %</w:t>
            </w:r>
          </w:p>
        </w:tc>
        <w:tc>
          <w:tcPr>
            <w:tcW w:w="0" w:type="dxa"/>
            <w:vAlign w:val="bottom"/>
          </w:tcPr>
          <w:p>
            <w:pPr>
              <w:spacing w:after="0"/>
              <w:rPr>
                <w:sz w:val="1"/>
                <w:szCs w:val="1"/>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132,072</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117,075</w:t>
            </w:r>
          </w:p>
        </w:tc>
        <w:tc>
          <w:tcPr>
            <w:tcW w:w="8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12.8 %</w:t>
            </w:r>
          </w:p>
        </w:tc>
        <w:tc>
          <w:tcPr>
            <w:tcW w:w="0" w:type="dxa"/>
            <w:vAlign w:val="bottom"/>
          </w:tcPr>
          <w:p>
            <w:pPr>
              <w:spacing w:after="0"/>
              <w:rPr>
                <w:sz w:val="1"/>
                <w:szCs w:val="1"/>
                <w:color w:val="auto"/>
              </w:rPr>
            </w:pPr>
          </w:p>
        </w:tc>
      </w:tr>
      <w:tr>
        <w:trPr>
          <w:trHeight w:val="16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4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4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94,489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87,210</w:t>
            </w:r>
          </w:p>
        </w:tc>
        <w:tc>
          <w:tcPr>
            <w:tcW w:w="8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4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12,456</w:t>
            </w:r>
          </w:p>
        </w:tc>
        <w:tc>
          <w:tcPr>
            <w:tcW w:w="8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0" w:type="dxa"/>
            <w:vAlign w:val="bottom"/>
          </w:tcPr>
          <w:p>
            <w:pPr>
              <w:spacing w:after="0"/>
              <w:rPr>
                <w:sz w:val="1"/>
                <w:szCs w:val="1"/>
                <w:color w:val="auto"/>
              </w:rPr>
            </w:pPr>
          </w:p>
        </w:tc>
      </w:tr>
      <w:tr>
        <w:trPr>
          <w:trHeight w:val="180"/>
        </w:trPr>
        <w:tc>
          <w:tcPr>
            <w:tcW w:w="5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12,954</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10,561</w:t>
            </w:r>
          </w:p>
        </w:tc>
        <w:tc>
          <w:tcPr>
            <w:tcW w:w="8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22.7 %</w:t>
            </w:r>
          </w:p>
        </w:tc>
        <w:tc>
          <w:tcPr>
            <w:tcW w:w="0" w:type="dxa"/>
            <w:vAlign w:val="bottom"/>
          </w:tcPr>
          <w:p>
            <w:pPr>
              <w:spacing w:after="0"/>
              <w:rPr>
                <w:sz w:val="1"/>
                <w:szCs w:val="1"/>
                <w:color w:val="auto"/>
              </w:rPr>
            </w:pPr>
          </w:p>
        </w:tc>
      </w:tr>
      <w:tr>
        <w:trPr>
          <w:trHeight w:val="171"/>
        </w:trPr>
        <w:tc>
          <w:tcPr>
            <w:tcW w:w="51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120,723</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110,227</w:t>
            </w:r>
          </w:p>
        </w:tc>
        <w:tc>
          <w:tcPr>
            <w:tcW w:w="8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0" w:type="dxa"/>
            <w:vAlign w:val="bottom"/>
          </w:tcPr>
          <w:p>
            <w:pPr>
              <w:spacing w:after="0"/>
              <w:rPr>
                <w:sz w:val="1"/>
                <w:szCs w:val="1"/>
                <w:color w:val="auto"/>
              </w:rPr>
            </w:pPr>
          </w:p>
        </w:tc>
      </w:tr>
      <w:tr>
        <w:trPr>
          <w:trHeight w:val="16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Advanced Circulatory Support</w:t>
            </w:r>
          </w:p>
        </w:tc>
        <w:tc>
          <w:tcPr>
            <w:tcW w:w="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4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10,963</w:t>
            </w:r>
          </w:p>
        </w:tc>
        <w:tc>
          <w:tcPr>
            <w:tcW w:w="8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80"/>
        </w:trPr>
        <w:tc>
          <w:tcPr>
            <w:tcW w:w="518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4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8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4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9,842</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11,683</w:t>
            </w:r>
          </w:p>
        </w:tc>
        <w:tc>
          <w:tcPr>
            <w:tcW w:w="8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6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44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44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5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171"/>
        </w:trPr>
        <w:tc>
          <w:tcPr>
            <w:tcW w:w="51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16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4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140,267</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136,269</w:t>
            </w:r>
          </w:p>
        </w:tc>
        <w:tc>
          <w:tcPr>
            <w:tcW w:w="8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180"/>
        </w:trPr>
        <w:tc>
          <w:tcPr>
            <w:tcW w:w="518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4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49,643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45,126</w:t>
            </w:r>
          </w:p>
        </w:tc>
        <w:tc>
          <w:tcPr>
            <w:tcW w:w="8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4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73,508</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58,780</w:t>
            </w:r>
          </w:p>
        </w:tc>
        <w:tc>
          <w:tcPr>
            <w:tcW w:w="8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25.1 %</w:t>
            </w:r>
          </w:p>
        </w:tc>
        <w:tc>
          <w:tcPr>
            <w:tcW w:w="0" w:type="dxa"/>
            <w:vAlign w:val="bottom"/>
          </w:tcPr>
          <w:p>
            <w:pPr>
              <w:spacing w:after="0"/>
              <w:rPr>
                <w:sz w:val="1"/>
                <w:szCs w:val="1"/>
                <w:color w:val="auto"/>
              </w:rPr>
            </w:pPr>
          </w:p>
        </w:tc>
      </w:tr>
      <w:tr>
        <w:trPr>
          <w:trHeight w:val="171"/>
        </w:trPr>
        <w:tc>
          <w:tcPr>
            <w:tcW w:w="5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263,418</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240,175</w:t>
            </w:r>
          </w:p>
        </w:tc>
        <w:tc>
          <w:tcPr>
            <w:tcW w:w="8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countries in Europe where the Company has a direct sales presence. Countries where sales are made through distributors are included in “Rest of World.”</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21" w:lineRule="exact"/>
        <w:rPr>
          <w:rFonts w:ascii="Times New Roman" w:cs="Times New Roman" w:eastAsia="Times New Roman" w:hAnsi="Times New Roman"/>
          <w:sz w:val="13"/>
          <w:szCs w:val="13"/>
          <w:color w:val="auto"/>
        </w:rPr>
      </w:pPr>
    </w:p>
    <w:p>
      <w:pPr>
        <w:ind w:left="5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4"/>
        </w:trPr>
        <w:tc>
          <w:tcPr>
            <w:tcW w:w="5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table below presents segment income (in thousands, except for percentages):</w:t>
            </w: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12"/>
        </w:trPr>
        <w:tc>
          <w:tcPr>
            <w:tcW w:w="51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60" w:type="dxa"/>
            <w:vAlign w:val="bottom"/>
            <w:tcBorders>
              <w:bottom w:val="single" w:sz="8" w:color="auto"/>
            </w:tcBorders>
          </w:tcPr>
          <w:p>
            <w:pPr>
              <w:spacing w:after="0"/>
              <w:rPr>
                <w:sz w:val="18"/>
                <w:szCs w:val="18"/>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20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1260" w:type="dxa"/>
            <w:vAlign w:val="bottom"/>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6,895</w:t>
            </w:r>
          </w:p>
        </w:tc>
        <w:tc>
          <w:tcPr>
            <w:tcW w:w="8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37,478</w:t>
            </w:r>
          </w:p>
        </w:tc>
        <w:tc>
          <w:tcPr>
            <w:tcW w:w="8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Circulatory Support</w:t>
            </w:r>
          </w:p>
        </w:tc>
        <w:tc>
          <w:tcPr>
            <w:tcW w:w="1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(5,438)</w:t>
            </w:r>
          </w:p>
        </w:tc>
        <w:tc>
          <w:tcPr>
            <w:tcW w:w="8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18.6 %</w:t>
            </w:r>
          </w:p>
        </w:tc>
      </w:tr>
      <w:tr>
        <w:trPr>
          <w:trHeight w:val="18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(23,132)</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(23,082)</w:t>
            </w:r>
          </w:p>
        </w:tc>
        <w:tc>
          <w:tcPr>
            <w:tcW w:w="8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0.2 %</w:t>
            </w:r>
          </w:p>
        </w:tc>
      </w:tr>
      <w:tr>
        <w:trPr>
          <w:trHeight w:val="196"/>
        </w:trPr>
        <w:tc>
          <w:tcPr>
            <w:tcW w:w="5180" w:type="dxa"/>
            <w:vAlign w:val="bottom"/>
            <w:tcBorders>
              <w:bottom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Total reportable segment income </w:t>
            </w:r>
            <w:r>
              <w:rPr>
                <w:rFonts w:ascii="Times New Roman" w:cs="Times New Roman" w:eastAsia="Times New Roman" w:hAnsi="Times New Roman"/>
                <w:sz w:val="18"/>
                <w:szCs w:val="18"/>
                <w:color w:val="auto"/>
                <w:vertAlign w:val="superscript"/>
              </w:rPr>
              <w:t>(1)</w:t>
            </w:r>
          </w:p>
        </w:tc>
        <w:tc>
          <w:tcPr>
            <w:tcW w:w="1260" w:type="dxa"/>
            <w:vAlign w:val="bottom"/>
            <w:tcBorders>
              <w:bottom w:val="single" w:sz="8" w:color="auto"/>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5,009</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15,853</w:t>
            </w:r>
          </w:p>
        </w:tc>
        <w:tc>
          <w:tcPr>
            <w:tcW w:w="8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r>
    </w:tbl>
    <w:p>
      <w:pPr>
        <w:spacing w:after="0" w:line="138" w:lineRule="exact"/>
        <w:rPr>
          <w:sz w:val="20"/>
          <w:szCs w:val="20"/>
          <w:color w:val="auto"/>
        </w:rPr>
      </w:pPr>
    </w:p>
    <w:p>
      <w:pPr>
        <w:ind w:left="520" w:right="420" w:hanging="260"/>
        <w:spacing w:after="0" w:line="281" w:lineRule="auto"/>
        <w:tabs>
          <w:tab w:leader="none" w:pos="5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 reconciliation of segment income to income before tax refer to “Note 11. Geographic and Segment Information” in the condensed consolidated financial statements in this Quarterly Report on Form 10-Q.</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Cardiopulmonary</w:t>
      </w:r>
    </w:p>
    <w:p>
      <w:pPr>
        <w:spacing w:after="0" w:line="96" w:lineRule="exact"/>
        <w:rPr>
          <w:sz w:val="20"/>
          <w:szCs w:val="20"/>
          <w:color w:val="auto"/>
        </w:rPr>
      </w:pPr>
    </w:p>
    <w:p>
      <w:pPr>
        <w:ind w:right="220" w:firstLine="127"/>
        <w:spacing w:after="0" w:line="287" w:lineRule="auto"/>
        <w:rPr>
          <w:sz w:val="20"/>
          <w:szCs w:val="20"/>
          <w:color w:val="auto"/>
        </w:rPr>
      </w:pPr>
      <w:r>
        <w:rPr>
          <w:rFonts w:ascii="Times New Roman" w:cs="Times New Roman" w:eastAsia="Times New Roman" w:hAnsi="Times New Roman"/>
          <w:sz w:val="14"/>
          <w:szCs w:val="14"/>
          <w:color w:val="auto"/>
        </w:rPr>
        <w:t>Cardiopulmonary net revenue for the three months ended March 31, 2023 increased 12.8% to $132.1 million compared to the three months ended March 31, 2022, primarily driven by increased oxygenator revenue across all regions and strength in heart-lung machine placements in the Europe and Rest of World regions.</w:t>
      </w:r>
    </w:p>
    <w:p>
      <w:pPr>
        <w:spacing w:after="0" w:line="50" w:lineRule="exact"/>
        <w:rPr>
          <w:sz w:val="20"/>
          <w:szCs w:val="20"/>
          <w:color w:val="auto"/>
        </w:rPr>
      </w:pPr>
    </w:p>
    <w:p>
      <w:pPr>
        <w:ind w:right="140" w:firstLine="127"/>
        <w:spacing w:after="0" w:line="303" w:lineRule="auto"/>
        <w:rPr>
          <w:sz w:val="20"/>
          <w:szCs w:val="20"/>
          <w:color w:val="auto"/>
        </w:rPr>
      </w:pPr>
      <w:r>
        <w:rPr>
          <w:rFonts w:ascii="Times New Roman" w:cs="Times New Roman" w:eastAsia="Times New Roman" w:hAnsi="Times New Roman"/>
          <w:sz w:val="14"/>
          <w:szCs w:val="14"/>
          <w:color w:val="auto"/>
        </w:rPr>
        <w:t>Cardiopulmonary segment income for the three months ended March 31, 2023 was $7.6 million, as compared to $6.9 million for the three months ended March 31, 2022. The increase in segment income was primarily due to the increase in net revenue, as described above, partially offset by an increase in sales and marketing expenses associated with the launch of Essenz.</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Neuromodulation</w:t>
      </w:r>
    </w:p>
    <w:p>
      <w:pPr>
        <w:spacing w:after="0" w:line="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Neuromodulation net revenue for the three months ended March 31, 2023 increased 9.5% to $120.7 million compared to the three months ended March 31, 2022, with growth across all regions.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increase was driven by growth in both new and replacement implants.</w:t>
      </w:r>
    </w:p>
    <w:p>
      <w:pPr>
        <w:spacing w:after="0" w:line="90" w:lineRule="exact"/>
        <w:rPr>
          <w:sz w:val="20"/>
          <w:szCs w:val="20"/>
          <w:color w:val="auto"/>
        </w:rPr>
      </w:pPr>
    </w:p>
    <w:p>
      <w:pPr>
        <w:ind w:right="20" w:firstLine="127"/>
        <w:spacing w:after="0" w:line="275" w:lineRule="auto"/>
        <w:rPr>
          <w:sz w:val="20"/>
          <w:szCs w:val="20"/>
          <w:color w:val="auto"/>
        </w:rPr>
      </w:pPr>
      <w:r>
        <w:rPr>
          <w:rFonts w:ascii="Times New Roman" w:cs="Times New Roman" w:eastAsia="Times New Roman" w:hAnsi="Times New Roman"/>
          <w:sz w:val="14"/>
          <w:szCs w:val="14"/>
          <w:color w:val="auto"/>
        </w:rPr>
        <w:t>Neuromodulation segment income for the three months ended March 31, 2023 was $27.0 million as compared to $37.5 million for the three months ended March 31, 2022. The decrease in segment income was primarily due to the net unfavorable impact of the change in fair value of the sales-based and milestone-based contingent consideration arrangement associated with the acquisition of ImThera of $7.2 million, as well as an increase in R&amp;D expense totaling $6.0 million associated with the Company’s RECOVER clinical study and OSPREY clinical trial. These increases in expenses were partially offset by the increase in net revenue, as described above.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Advanced Circulatory Support</w:t>
      </w:r>
    </w:p>
    <w:p>
      <w:pPr>
        <w:spacing w:after="0" w:line="85" w:lineRule="exact"/>
        <w:rPr>
          <w:sz w:val="20"/>
          <w:szCs w:val="20"/>
          <w:color w:val="auto"/>
        </w:rPr>
      </w:pPr>
    </w:p>
    <w:p>
      <w:pPr>
        <w:ind w:right="300" w:firstLine="127"/>
        <w:spacing w:after="0" w:line="303" w:lineRule="auto"/>
        <w:rPr>
          <w:sz w:val="20"/>
          <w:szCs w:val="20"/>
          <w:color w:val="auto"/>
        </w:rPr>
      </w:pPr>
      <w:r>
        <w:rPr>
          <w:rFonts w:ascii="Times New Roman" w:cs="Times New Roman" w:eastAsia="Times New Roman" w:hAnsi="Times New Roman"/>
          <w:sz w:val="14"/>
          <w:szCs w:val="14"/>
          <w:color w:val="auto"/>
        </w:rPr>
        <w:t>ACS net revenue for the three months ended March 31, 2023 decreased 15.8% to $9.8 million compared to the three months ended March 31, 2022, primarily due to and a reduction in patients treated with ECMO as a result of fewer severe COVID-19 cases and product mix, partially offset by growth in non-COVID-19 cases.</w:t>
      </w:r>
    </w:p>
    <w:p>
      <w:pPr>
        <w:spacing w:after="0" w:line="29" w:lineRule="exact"/>
        <w:rPr>
          <w:sz w:val="20"/>
          <w:szCs w:val="20"/>
          <w:color w:val="auto"/>
        </w:rPr>
      </w:pPr>
    </w:p>
    <w:p>
      <w:pPr>
        <w:ind w:right="180" w:firstLine="127"/>
        <w:spacing w:after="0" w:line="303" w:lineRule="auto"/>
        <w:rPr>
          <w:sz w:val="20"/>
          <w:szCs w:val="20"/>
          <w:color w:val="auto"/>
        </w:rPr>
      </w:pPr>
      <w:r>
        <w:rPr>
          <w:rFonts w:ascii="Times New Roman" w:cs="Times New Roman" w:eastAsia="Times New Roman" w:hAnsi="Times New Roman"/>
          <w:sz w:val="14"/>
          <w:szCs w:val="14"/>
          <w:color w:val="auto"/>
        </w:rPr>
        <w:t>ACS segment loss for the three months ended March 31, 2023 was $6.4 million as compared to segment loss of $5.4 million for the three months ended March 31, 2022. The increase in segment loss was primarily due to the decrease in net revenue, as described above, partially offset by expenses associated with the acquisition of ALung incurred during the prior year quarter.</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of Sales and Expenses</w:t>
      </w:r>
    </w:p>
    <w:p>
      <w:pPr>
        <w:spacing w:after="0" w:line="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presents costs and expenses as a percentage of net revenue for the three months ended March 31, 2023:</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20" w:type="dxa"/>
            <w:vAlign w:val="bottom"/>
            <w:tcBorders>
              <w:bottom w:val="single" w:sz="8" w:color="auto"/>
            </w:tcBorders>
          </w:tcPr>
          <w:p>
            <w:pPr>
              <w:spacing w:after="0"/>
              <w:rPr>
                <w:sz w:val="16"/>
                <w:szCs w:val="16"/>
                <w:color w:val="auto"/>
              </w:rPr>
            </w:pPr>
          </w:p>
        </w:tc>
      </w:tr>
      <w:tr>
        <w:trPr>
          <w:trHeight w:val="171"/>
        </w:trPr>
        <w:tc>
          <w:tcPr>
            <w:tcW w:w="50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2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202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3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33.9 %</w:t>
            </w:r>
          </w:p>
        </w:tc>
        <w:tc>
          <w:tcPr>
            <w:tcW w:w="80" w:type="dxa"/>
            <w:vAlign w:val="bottom"/>
            <w:shd w:val="clear" w:color="auto" w:fill="CCEEFF"/>
          </w:tcPr>
          <w:p>
            <w:pPr>
              <w:spacing w:after="0"/>
              <w:rPr>
                <w:sz w:val="14"/>
                <w:szCs w:val="14"/>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29.9 %</w:t>
            </w:r>
          </w:p>
        </w:tc>
        <w:tc>
          <w:tcPr>
            <w:tcW w:w="80" w:type="dxa"/>
            <w:vAlign w:val="bottom"/>
            <w:shd w:val="clear" w:color="auto" w:fill="CCEEFF"/>
          </w:tcPr>
          <w:p>
            <w:pPr>
              <w:spacing w:after="0"/>
              <w:rPr>
                <w:sz w:val="14"/>
                <w:szCs w:val="14"/>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r>
      <w:tr>
        <w:trPr>
          <w:trHeight w:val="18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47.1 %</w:t>
            </w:r>
          </w:p>
        </w:tc>
        <w:tc>
          <w:tcPr>
            <w:tcW w:w="8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49.3 %</w:t>
            </w:r>
          </w:p>
        </w:tc>
        <w:tc>
          <w:tcPr>
            <w:tcW w:w="8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19.0 %</w:t>
            </w:r>
          </w:p>
        </w:tc>
        <w:tc>
          <w:tcPr>
            <w:tcW w:w="80" w:type="dxa"/>
            <w:vAlign w:val="bottom"/>
            <w:shd w:val="clear" w:color="auto" w:fill="CCEEFF"/>
          </w:tcPr>
          <w:p>
            <w:pPr>
              <w:spacing w:after="0"/>
              <w:rPr>
                <w:sz w:val="15"/>
                <w:szCs w:val="15"/>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80" w:type="dxa"/>
            <w:vAlign w:val="bottom"/>
            <w:shd w:val="clear" w:color="auto" w:fill="CCEEFF"/>
          </w:tcPr>
          <w:p>
            <w:pPr>
              <w:spacing w:after="0"/>
              <w:rPr>
                <w:sz w:val="15"/>
                <w:szCs w:val="15"/>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184"/>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operating expense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8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749"/>
        </w:trPr>
        <w:tc>
          <w:tcPr>
            <w:tcW w:w="6440" w:type="dxa"/>
            <w:vAlign w:val="bottom"/>
            <w:gridSpan w:val="2"/>
          </w:tcPr>
          <w:p>
            <w:pPr>
              <w:ind w:left="5640"/>
              <w:spacing w:after="0"/>
              <w:rPr>
                <w:sz w:val="20"/>
                <w:szCs w:val="20"/>
                <w:color w:val="auto"/>
              </w:rPr>
            </w:pPr>
            <w:r>
              <w:rPr>
                <w:rFonts w:ascii="Times New Roman" w:cs="Times New Roman" w:eastAsia="Times New Roman" w:hAnsi="Times New Roman"/>
                <w:sz w:val="14"/>
                <w:szCs w:val="14"/>
                <w:color w:val="auto"/>
              </w:rPr>
              <w:t>34</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2"/>
        </w:trPr>
        <w:tc>
          <w:tcPr>
            <w:tcW w:w="506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color w:val="auto"/>
        </w:rPr>
        <w:t>Cost of Sales</w:t>
      </w:r>
    </w:p>
    <w:p>
      <w:pPr>
        <w:spacing w:after="0" w:line="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Cost of sales consists primarily of direct labor, allocated manufacturing overhead and raw materials and components.</w:t>
      </w:r>
    </w:p>
    <w:p>
      <w:pPr>
        <w:spacing w:after="0" w:line="104" w:lineRule="exact"/>
        <w:rPr>
          <w:sz w:val="20"/>
          <w:szCs w:val="20"/>
          <w:color w:val="auto"/>
        </w:rPr>
      </w:pPr>
    </w:p>
    <w:p>
      <w:pPr>
        <w:jc w:val="both"/>
        <w:ind w:right="280" w:firstLine="127"/>
        <w:spacing w:after="0" w:line="278" w:lineRule="auto"/>
        <w:rPr>
          <w:sz w:val="20"/>
          <w:szCs w:val="20"/>
          <w:color w:val="auto"/>
        </w:rPr>
      </w:pPr>
      <w:r>
        <w:rPr>
          <w:rFonts w:ascii="Times New Roman" w:cs="Times New Roman" w:eastAsia="Times New Roman" w:hAnsi="Times New Roman"/>
          <w:sz w:val="14"/>
          <w:szCs w:val="14"/>
          <w:color w:val="auto"/>
        </w:rPr>
        <w:t>Cost of sales as a percentage of net revenue was 33.9% for the three months ended March 31, 2023, an increase of 4.0% compared to the three months ended March 31, 2022. The increase was primarily due to the net impact of the change in fair value of sales-based contingent consideration arrangements totaling $5.0 million, as well as increased costs driven by supply chain delays and interruptions, labor shortages, inflationary pressures and logistical issues.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Selling, General and Administrative Expense</w:t>
      </w:r>
    </w:p>
    <w:p>
      <w:pPr>
        <w:spacing w:after="0" w:line="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SG&amp;A expense is comprised of sales, marketing, and general and administrative activities.</w:t>
      </w:r>
    </w:p>
    <w:p>
      <w:pPr>
        <w:spacing w:after="0" w:line="104" w:lineRule="exact"/>
        <w:rPr>
          <w:sz w:val="20"/>
          <w:szCs w:val="20"/>
          <w:color w:val="auto"/>
        </w:rPr>
      </w:pPr>
    </w:p>
    <w:p>
      <w:pPr>
        <w:ind w:right="140" w:firstLine="127"/>
        <w:spacing w:after="0" w:line="303" w:lineRule="auto"/>
        <w:rPr>
          <w:sz w:val="20"/>
          <w:szCs w:val="20"/>
          <w:color w:val="auto"/>
        </w:rPr>
      </w:pPr>
      <w:r>
        <w:rPr>
          <w:rFonts w:ascii="Times New Roman" w:cs="Times New Roman" w:eastAsia="Times New Roman" w:hAnsi="Times New Roman"/>
          <w:sz w:val="14"/>
          <w:szCs w:val="14"/>
          <w:color w:val="auto"/>
        </w:rPr>
        <w:t>SG&amp;A expense as a percentage of net revenue was 47.1% for the three months ended March 31, 2023, a decrease of 2.2% compared to the three months ended March 31, 2022. The decrease was primarily due to business development expense related to the acquisition of ALung during the three months ended March 31, 2022.</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 Expense</w:t>
      </w:r>
    </w:p>
    <w:p>
      <w:pPr>
        <w:spacing w:after="0" w:line="96" w:lineRule="exact"/>
        <w:rPr>
          <w:sz w:val="20"/>
          <w:szCs w:val="20"/>
          <w:color w:val="auto"/>
        </w:rPr>
      </w:pPr>
    </w:p>
    <w:p>
      <w:pPr>
        <w:ind w:right="40" w:firstLine="127"/>
        <w:spacing w:after="0" w:line="287" w:lineRule="auto"/>
        <w:rPr>
          <w:sz w:val="20"/>
          <w:szCs w:val="20"/>
          <w:color w:val="auto"/>
        </w:rPr>
      </w:pPr>
      <w:r>
        <w:rPr>
          <w:rFonts w:ascii="Times New Roman" w:cs="Times New Roman" w:eastAsia="Times New Roman" w:hAnsi="Times New Roman"/>
          <w:sz w:val="14"/>
          <w:szCs w:val="14"/>
          <w:color w:val="auto"/>
        </w:rPr>
        <w:t>R&amp;D expense consists of product design and development efforts, clinical study programs and regulatory activities, which are essential to LivaNova’s strategic portfolio initiatives, including DTD, OSA and, until recently, heart failure.</w:t>
      </w:r>
    </w:p>
    <w:p>
      <w:pPr>
        <w:spacing w:after="0" w:line="50" w:lineRule="exact"/>
        <w:rPr>
          <w:sz w:val="20"/>
          <w:szCs w:val="20"/>
          <w:color w:val="auto"/>
        </w:rPr>
      </w:pPr>
    </w:p>
    <w:p>
      <w:pPr>
        <w:ind w:right="220" w:firstLine="127"/>
        <w:spacing w:after="0" w:line="303" w:lineRule="auto"/>
        <w:rPr>
          <w:sz w:val="20"/>
          <w:szCs w:val="20"/>
          <w:color w:val="auto"/>
        </w:rPr>
      </w:pPr>
      <w:r>
        <w:rPr>
          <w:rFonts w:ascii="Times New Roman" w:cs="Times New Roman" w:eastAsia="Times New Roman" w:hAnsi="Times New Roman"/>
          <w:sz w:val="14"/>
          <w:szCs w:val="14"/>
          <w:color w:val="auto"/>
        </w:rPr>
        <w:t>R&amp;D expense as a percentage of net revenue was 19.0% for the three months ended March 31, 2023, an increase of 2.0% compared to the three months ended March 31, 2022. The increase was primarily due to the net impact of the change in the fair value of milestone-based contingent consideration arrangements totaling $3.6 million.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Operating Expense</w:t>
      </w:r>
    </w:p>
    <w:p>
      <w:pPr>
        <w:spacing w:after="0" w:line="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Other operating expense primarily consists of the provision for litigation involving LivaNova’s 3T Heater-Cooler device, restructuring expense, and merger and integration expense.</w:t>
      </w:r>
    </w:p>
    <w:p>
      <w:pPr>
        <w:spacing w:after="0" w:line="94" w:lineRule="exact"/>
        <w:rPr>
          <w:sz w:val="20"/>
          <w:szCs w:val="20"/>
          <w:color w:val="auto"/>
        </w:rPr>
      </w:pPr>
    </w:p>
    <w:p>
      <w:pPr>
        <w:ind w:right="460" w:firstLine="127"/>
        <w:spacing w:after="0" w:line="303" w:lineRule="auto"/>
        <w:rPr>
          <w:sz w:val="20"/>
          <w:szCs w:val="20"/>
          <w:color w:val="auto"/>
        </w:rPr>
      </w:pPr>
      <w:r>
        <w:rPr>
          <w:rFonts w:ascii="Times New Roman" w:cs="Times New Roman" w:eastAsia="Times New Roman" w:hAnsi="Times New Roman"/>
          <w:sz w:val="14"/>
          <w:szCs w:val="14"/>
          <w:color w:val="auto"/>
        </w:rPr>
        <w:t>Other operating expense as a percentage of net revenue was 0.9% for the three months ended March 31, 2023, an increase of 1.1% compared to the three months ended March 31, 2022. The increase was primarily due to an increase in the litigation provision related to LivaNova’s 3T Heater-Cooler device of $1.7 million.</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For additional information, please refer to “Note 6. Commitments and Contingencies” in the condensed consolidated financial statements in this Quarterly Report on Form 10-Q.</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w:t>
      </w:r>
    </w:p>
    <w:p>
      <w:pPr>
        <w:spacing w:after="0" w:line="85" w:lineRule="exact"/>
        <w:rPr>
          <w:sz w:val="20"/>
          <w:szCs w:val="20"/>
          <w:color w:val="auto"/>
        </w:rPr>
      </w:pPr>
    </w:p>
    <w:p>
      <w:pPr>
        <w:ind w:right="20" w:firstLine="127"/>
        <w:spacing w:after="0" w:line="286" w:lineRule="auto"/>
        <w:rPr>
          <w:sz w:val="20"/>
          <w:szCs w:val="20"/>
          <w:color w:val="auto"/>
        </w:rPr>
      </w:pPr>
      <w:r>
        <w:rPr>
          <w:rFonts w:ascii="Times New Roman" w:cs="Times New Roman" w:eastAsia="Times New Roman" w:hAnsi="Times New Roman"/>
          <w:sz w:val="14"/>
          <w:szCs w:val="14"/>
          <w:color w:val="auto"/>
        </w:rPr>
        <w:t>Interest expense for the three months ended March 31, 2023 increased to $13.4 million compared to $7.8 million for the three months ended March 31, 2022, primarily due to an increase in average borrowings as compared to the prior year quarter. For further details, refer to “Note 4. Financing Arrangements” in the condensed consolidated financial statements in this Quarterly Report on Form 10-Q.</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Exchange and Other Income/(Expense)</w:t>
      </w:r>
    </w:p>
    <w:p>
      <w:pPr>
        <w:spacing w:after="0" w:line="96" w:lineRule="exact"/>
        <w:rPr>
          <w:sz w:val="20"/>
          <w:szCs w:val="20"/>
          <w:color w:val="auto"/>
        </w:rPr>
      </w:pPr>
    </w:p>
    <w:p>
      <w:pPr>
        <w:ind w:right="400" w:firstLine="127"/>
        <w:spacing w:after="0" w:line="287" w:lineRule="auto"/>
        <w:rPr>
          <w:sz w:val="20"/>
          <w:szCs w:val="20"/>
          <w:color w:val="auto"/>
        </w:rPr>
      </w:pPr>
      <w:r>
        <w:rPr>
          <w:rFonts w:ascii="Times New Roman" w:cs="Times New Roman" w:eastAsia="Times New Roman" w:hAnsi="Times New Roman"/>
          <w:sz w:val="14"/>
          <w:szCs w:val="14"/>
          <w:color w:val="auto"/>
        </w:rPr>
        <w:t>Foreign exchange and other income/(expense) consist primarily of gains and losses arising from transactions denominated in a currency different from an entity’s functional currency, foreign currency exchange rate derivative gains and losses, changes in the fair value of the embedded exchange feature and capped call derivatives and interest income.</w:t>
      </w:r>
    </w:p>
    <w:p>
      <w:pPr>
        <w:spacing w:after="0" w:line="50" w:lineRule="exact"/>
        <w:rPr>
          <w:sz w:val="20"/>
          <w:szCs w:val="20"/>
          <w:color w:val="auto"/>
        </w:rPr>
      </w:pPr>
    </w:p>
    <w:p>
      <w:pPr>
        <w:ind w:right="120" w:firstLine="127"/>
        <w:spacing w:after="0" w:line="303" w:lineRule="auto"/>
        <w:rPr>
          <w:sz w:val="20"/>
          <w:szCs w:val="20"/>
          <w:color w:val="auto"/>
        </w:rPr>
      </w:pPr>
      <w:r>
        <w:rPr>
          <w:rFonts w:ascii="Times New Roman" w:cs="Times New Roman" w:eastAsia="Times New Roman" w:hAnsi="Times New Roman"/>
          <w:sz w:val="14"/>
          <w:szCs w:val="14"/>
          <w:color w:val="auto"/>
        </w:rPr>
        <w:t>Foreign exchange and other income/(expense) was income of $25.5 million for the three months ended March 31, 2023, compared to income of $3.9 million for the three months ended March 31, 2022. For further details, refer to “Note 12. Supplemental Financial Information” in the condensed consolidated financial statements in this Quarterly Report on Form 10-Q.</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Taxes</w:t>
      </w:r>
    </w:p>
    <w:p>
      <w:pPr>
        <w:spacing w:after="0" w:line="96" w:lineRule="exact"/>
        <w:rPr>
          <w:sz w:val="20"/>
          <w:szCs w:val="20"/>
          <w:color w:val="auto"/>
        </w:rPr>
      </w:pPr>
    </w:p>
    <w:p>
      <w:pPr>
        <w:ind w:right="120" w:firstLine="127"/>
        <w:spacing w:after="0" w:line="275" w:lineRule="auto"/>
        <w:rPr>
          <w:sz w:val="20"/>
          <w:szCs w:val="20"/>
          <w:color w:val="auto"/>
        </w:rPr>
      </w:pPr>
      <w:r>
        <w:rPr>
          <w:rFonts w:ascii="Times New Roman" w:cs="Times New Roman" w:eastAsia="Times New Roman" w:hAnsi="Times New Roman"/>
          <w:sz w:val="14"/>
          <w:szCs w:val="14"/>
          <w:color w:val="auto"/>
        </w:rPr>
        <w:t>LivaNova PLC is resident in the UK for tax purposes. LivaNova’s subsidiaries conduct operations and earn income in numerous countries and are subject to the laws of taxing jurisdictions within those countries, and the income tax rates imposed in the tax jurisdictions in which the Company’s subsidiaries conduct operations vary. LivaNova’s effective income tax rate fluctuates based on, among other factors, changes in pretax income in countries with varying statutory tax rates, valuation allowances, tax credits and incentives, and unrecognized tax benefits associated with uncertain tax positions.</w:t>
      </w:r>
    </w:p>
    <w:p>
      <w:pPr>
        <w:spacing w:after="0" w:line="47" w:lineRule="exact"/>
        <w:rPr>
          <w:sz w:val="20"/>
          <w:szCs w:val="20"/>
          <w:color w:val="auto"/>
        </w:rPr>
      </w:pPr>
    </w:p>
    <w:p>
      <w:pPr>
        <w:ind w:firstLine="127"/>
        <w:spacing w:after="0" w:line="303" w:lineRule="auto"/>
        <w:rPr>
          <w:sz w:val="20"/>
          <w:szCs w:val="20"/>
          <w:color w:val="auto"/>
        </w:rPr>
      </w:pPr>
      <w:r>
        <w:rPr>
          <w:rFonts w:ascii="Times New Roman" w:cs="Times New Roman" w:eastAsia="Times New Roman" w:hAnsi="Times New Roman"/>
          <w:sz w:val="14"/>
          <w:szCs w:val="14"/>
          <w:color w:val="auto"/>
        </w:rPr>
        <w:t>LivaNova’s effective income tax rate for the three months ended March 31, 2023 was 24.3% compared with 45.6% for the three months ended March 31, 2022. The decrease in the effective tax rate for the three months ended March 31, 2023 as</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color w:val="auto"/>
        </w:rPr>
        <w:t>compared to the same prior year period was primarily attributable to changes in valuation allowances and year-over-year changes in income before tax in countries with varying statutory tax rates.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87" w:lineRule="exact"/>
        <w:rPr>
          <w:sz w:val="20"/>
          <w:szCs w:val="20"/>
          <w:color w:val="auto"/>
        </w:rPr>
      </w:pPr>
    </w:p>
    <w:p>
      <w:pPr>
        <w:ind w:right="100" w:firstLine="127"/>
        <w:spacing w:after="0" w:line="269" w:lineRule="auto"/>
        <w:rPr>
          <w:sz w:val="20"/>
          <w:szCs w:val="20"/>
          <w:color w:val="auto"/>
        </w:rPr>
      </w:pPr>
      <w:r>
        <w:rPr>
          <w:rFonts w:ascii="Times New Roman" w:cs="Times New Roman" w:eastAsia="Times New Roman" w:hAnsi="Times New Roman"/>
          <w:sz w:val="14"/>
          <w:szCs w:val="14"/>
          <w:color w:val="auto"/>
        </w:rPr>
        <w:t>Based on LivaNova’s current business plan, the Company believes that its sources of liquidity, which primarily consist of cash and cash equivalents, future cash generated from operations and available borrowings under its debt facilities, will be sufficient to fund its uses of liquidity, primarily consisting of day-to-day operating expenses, working capital, capital expenditures, acquisition earn-outs, and debt service requirements over the twelve-month period beginning from the issuance date of these condensed consolidated financial statements. From time to time, LivaNova may access debt and/or equity markets to optimize its capital structure, raise additional capital or increase liquidity as necessary. LivaNova’s liquidity could be adversely impacted by the factors affecting future operating results, including those referred to in “Part I, Item 1A. Risk Factors” in the 2022 Form 10-K as well as “Note 6. Commitments and Contingencies” in the condensed consolidated financial statements in this Quarterly Report on Form 10-Q.</w:t>
      </w:r>
    </w:p>
    <w:p>
      <w:pPr>
        <w:spacing w:after="0" w:line="63" w:lineRule="exact"/>
        <w:rPr>
          <w:sz w:val="20"/>
          <w:szCs w:val="20"/>
          <w:color w:val="auto"/>
        </w:rPr>
      </w:pPr>
    </w:p>
    <w:p>
      <w:pPr>
        <w:ind w:right="40" w:firstLine="127"/>
        <w:spacing w:after="0" w:line="303" w:lineRule="auto"/>
        <w:rPr>
          <w:sz w:val="20"/>
          <w:szCs w:val="20"/>
          <w:color w:val="auto"/>
        </w:rPr>
      </w:pPr>
      <w:r>
        <w:rPr>
          <w:rFonts w:ascii="Times New Roman" w:cs="Times New Roman" w:eastAsia="Times New Roman" w:hAnsi="Times New Roman"/>
          <w:sz w:val="14"/>
          <w:szCs w:val="14"/>
          <w:color w:val="auto"/>
        </w:rPr>
        <w:t>LivaNova’s operating and working capital obligations primarily consist of liabilities arising from the normal course of business, including inventory supply contracts, the future settlement of derivative instruments, and future payments of operating leases, as well as contingent consideration arrangements resulting from acquisitions, and obligations associated with legal and other accruals.</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presents selected financial information related to LivaNova’s liquidity as of March 31, 2023 and December 31, 2022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 Short-term Liquidity</w:t>
            </w:r>
          </w:p>
        </w:tc>
        <w:tc>
          <w:tcPr>
            <w:tcW w:w="2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40" w:type="dxa"/>
            <w:vAlign w:val="bottom"/>
          </w:tcPr>
          <w:p>
            <w:pPr>
              <w:spacing w:after="0"/>
              <w:rPr>
                <w:sz w:val="16"/>
                <w:szCs w:val="16"/>
                <w:color w:val="auto"/>
              </w:rPr>
            </w:pPr>
          </w:p>
        </w:tc>
        <w:tc>
          <w:tcPr>
            <w:tcW w:w="17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60"/>
        </w:trPr>
        <w:tc>
          <w:tcPr>
            <w:tcW w:w="4480" w:type="dxa"/>
            <w:vAlign w:val="bottom"/>
            <w:vMerge w:val="continue"/>
          </w:tcPr>
          <w:p>
            <w:pPr>
              <w:spacing w:after="0"/>
              <w:rPr>
                <w:sz w:val="13"/>
                <w:szCs w:val="13"/>
                <w:color w:val="auto"/>
              </w:rPr>
            </w:pPr>
          </w:p>
        </w:tc>
        <w:tc>
          <w:tcPr>
            <w:tcW w:w="27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8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214,340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214,172</w:t>
            </w:r>
          </w:p>
        </w:tc>
        <w:tc>
          <w:tcPr>
            <w:tcW w:w="0" w:type="dxa"/>
            <w:vAlign w:val="bottom"/>
          </w:tcPr>
          <w:p>
            <w:pPr>
              <w:spacing w:after="0"/>
              <w:rPr>
                <w:sz w:val="1"/>
                <w:szCs w:val="1"/>
                <w:color w:val="auto"/>
              </w:rPr>
            </w:pPr>
          </w:p>
        </w:tc>
      </w:tr>
      <w:tr>
        <w:trPr>
          <w:trHeight w:val="201"/>
        </w:trPr>
        <w:tc>
          <w:tcPr>
            <w:tcW w:w="4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Availability under the 2021 First Lien Credit Agreement</w:t>
            </w: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202"/>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Availability under the Delayed Draw Term Facility</w:t>
            </w:r>
          </w:p>
        </w:tc>
        <w:tc>
          <w:tcPr>
            <w:tcW w:w="27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389,340</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389,172</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4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Working Capital</w:t>
            </w:r>
          </w:p>
        </w:tc>
        <w:tc>
          <w:tcPr>
            <w:tcW w:w="2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assets</w:t>
            </w:r>
          </w:p>
        </w:tc>
        <w:tc>
          <w:tcPr>
            <w:tcW w:w="308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903,017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886,136</w:t>
            </w:r>
          </w:p>
        </w:tc>
        <w:tc>
          <w:tcPr>
            <w:tcW w:w="0" w:type="dxa"/>
            <w:vAlign w:val="bottom"/>
          </w:tcPr>
          <w:p>
            <w:pPr>
              <w:spacing w:after="0"/>
              <w:rPr>
                <w:sz w:val="1"/>
                <w:szCs w:val="1"/>
                <w:color w:val="auto"/>
              </w:rPr>
            </w:pPr>
          </w:p>
        </w:tc>
      </w:tr>
      <w:tr>
        <w:trPr>
          <w:trHeight w:val="201"/>
        </w:trPr>
        <w:tc>
          <w:tcPr>
            <w:tcW w:w="4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Current liabilities</w:t>
            </w:r>
          </w:p>
        </w:tc>
        <w:tc>
          <w:tcPr>
            <w:tcW w:w="27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316,129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297,398</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CCEEFF"/>
            </w:tcBorders>
            <w:shd w:val="clear" w:color="auto" w:fill="CCEEFF"/>
          </w:tcPr>
          <w:p>
            <w:pPr>
              <w:spacing w:after="0"/>
              <w:rPr>
                <w:sz w:val="16"/>
                <w:szCs w:val="16"/>
                <w:color w:val="auto"/>
              </w:rPr>
            </w:pPr>
          </w:p>
        </w:tc>
        <w:tc>
          <w:tcPr>
            <w:tcW w:w="27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586,888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588,738</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4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Debt Obligations</w:t>
            </w:r>
          </w:p>
        </w:tc>
        <w:tc>
          <w:tcPr>
            <w:tcW w:w="2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308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21,557</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20,892</w:t>
            </w:r>
          </w:p>
        </w:tc>
        <w:tc>
          <w:tcPr>
            <w:tcW w:w="0" w:type="dxa"/>
            <w:vAlign w:val="bottom"/>
          </w:tcPr>
          <w:p>
            <w:pPr>
              <w:spacing w:after="0"/>
              <w:rPr>
                <w:sz w:val="1"/>
                <w:szCs w:val="1"/>
                <w:color w:val="auto"/>
              </w:rPr>
            </w:pPr>
          </w:p>
        </w:tc>
      </w:tr>
      <w:tr>
        <w:trPr>
          <w:trHeight w:val="202"/>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Short-term unsecured borrowing arrangements</w:t>
            </w:r>
          </w:p>
        </w:tc>
        <w:tc>
          <w:tcPr>
            <w:tcW w:w="27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0" w:type="dxa"/>
            <w:vAlign w:val="bottom"/>
          </w:tcPr>
          <w:p>
            <w:pPr>
              <w:spacing w:after="0"/>
              <w:rPr>
                <w:sz w:val="1"/>
                <w:szCs w:val="1"/>
                <w:color w:val="auto"/>
              </w:rPr>
            </w:pPr>
          </w:p>
        </w:tc>
      </w:tr>
      <w:tr>
        <w:trPr>
          <w:trHeight w:val="181"/>
        </w:trPr>
        <w:tc>
          <w:tcPr>
            <w:tcW w:w="4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debt obligations</w:t>
            </w:r>
          </w:p>
        </w:tc>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23,434</w:t>
            </w:r>
          </w:p>
        </w:tc>
        <w:tc>
          <w:tcPr>
            <w:tcW w:w="0" w:type="dxa"/>
            <w:vAlign w:val="bottom"/>
          </w:tcPr>
          <w:p>
            <w:pPr>
              <w:spacing w:after="0"/>
              <w:rPr>
                <w:sz w:val="1"/>
                <w:szCs w:val="1"/>
                <w:color w:val="auto"/>
              </w:rPr>
            </w:pPr>
          </w:p>
        </w:tc>
      </w:tr>
      <w:tr>
        <w:trPr>
          <w:trHeight w:val="202"/>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debt obligations</w:t>
            </w:r>
          </w:p>
        </w:tc>
        <w:tc>
          <w:tcPr>
            <w:tcW w:w="27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520,201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518,067</w:t>
            </w:r>
          </w:p>
        </w:tc>
        <w:tc>
          <w:tcPr>
            <w:tcW w:w="0" w:type="dxa"/>
            <w:vAlign w:val="bottom"/>
          </w:tcPr>
          <w:p>
            <w:pPr>
              <w:spacing w:after="0"/>
              <w:rPr>
                <w:sz w:val="1"/>
                <w:szCs w:val="1"/>
                <w:color w:val="auto"/>
              </w:rPr>
            </w:pPr>
          </w:p>
        </w:tc>
      </w:tr>
      <w:tr>
        <w:trPr>
          <w:trHeight w:val="171"/>
        </w:trPr>
        <w:tc>
          <w:tcPr>
            <w:tcW w:w="4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debt obligations</w:t>
            </w:r>
          </w:p>
        </w:tc>
        <w:tc>
          <w:tcPr>
            <w:tcW w:w="27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542,498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541,501</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780" w:type="dxa"/>
            <w:vAlign w:val="bottom"/>
            <w:vMerge w:val="restart"/>
          </w:tcPr>
          <w:p>
            <w:pPr>
              <w:jc w:val="right"/>
              <w:ind w:right="1409"/>
              <w:spacing w:after="0"/>
              <w:rPr>
                <w:sz w:val="20"/>
                <w:szCs w:val="20"/>
                <w:color w:val="auto"/>
              </w:rPr>
            </w:pPr>
            <w:r>
              <w:rPr>
                <w:rFonts w:ascii="Times New Roman" w:cs="Times New Roman" w:eastAsia="Times New Roman" w:hAnsi="Times New Roman"/>
                <w:sz w:val="14"/>
                <w:szCs w:val="14"/>
                <w:color w:val="auto"/>
              </w:rPr>
              <w:t>36</w:t>
            </w: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448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80" w:type="dxa"/>
            <w:vAlign w:val="bottom"/>
            <w:tcBorders>
              <w:bottom w:val="single" w:sz="8" w:color="9A9A9A"/>
            </w:tcBorders>
          </w:tcPr>
          <w:p>
            <w:pPr>
              <w:spacing w:after="0"/>
              <w:rPr>
                <w:sz w:val="15"/>
                <w:szCs w:val="15"/>
                <w:color w:val="auto"/>
              </w:rPr>
            </w:pPr>
          </w:p>
        </w:tc>
        <w:tc>
          <w:tcPr>
            <w:tcW w:w="27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color w:val="auto"/>
        </w:rPr>
        <w:t>Significant Liquidity Matters</w:t>
      </w:r>
    </w:p>
    <w:p>
      <w:pPr>
        <w:spacing w:after="0" w:line="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On April 6, 2023, LivaNova drew $50 million under the Delayed Draw Term Facility. The Term Facilities have now been fully drawn. The proceeds are to be used for general corporate purposes.</w:t>
      </w:r>
    </w:p>
    <w:p>
      <w:pPr>
        <w:spacing w:after="0" w:line="104" w:lineRule="exact"/>
        <w:rPr>
          <w:sz w:val="20"/>
          <w:szCs w:val="20"/>
          <w:color w:val="auto"/>
        </w:rPr>
      </w:pPr>
    </w:p>
    <w:p>
      <w:pPr>
        <w:ind w:right="260" w:firstLine="127"/>
        <w:spacing w:after="0" w:line="303" w:lineRule="auto"/>
        <w:rPr>
          <w:sz w:val="20"/>
          <w:szCs w:val="20"/>
          <w:color w:val="auto"/>
        </w:rPr>
      </w:pPr>
      <w:r>
        <w:rPr>
          <w:rFonts w:ascii="Times New Roman" w:cs="Times New Roman" w:eastAsia="Times New Roman" w:hAnsi="Times New Roman"/>
          <w:sz w:val="14"/>
          <w:szCs w:val="14"/>
          <w:color w:val="auto"/>
        </w:rPr>
        <w:t>Refer to “Note 4. Financing Arrangements” in the condensed consolidated financial statements in this Quarterly Report on Form 10-Q for additional information regarding LivaNova’s debt and debt transactions.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Flows</w:t>
      </w:r>
    </w:p>
    <w:p>
      <w:pPr>
        <w:spacing w:after="0" w:line="96" w:lineRule="exact"/>
        <w:rPr>
          <w:sz w:val="20"/>
          <w:szCs w:val="20"/>
          <w:color w:val="auto"/>
        </w:rPr>
      </w:pPr>
    </w:p>
    <w:p>
      <w:pPr>
        <w:ind w:right="80" w:firstLine="127"/>
        <w:spacing w:after="0" w:line="283" w:lineRule="auto"/>
        <w:rPr>
          <w:sz w:val="20"/>
          <w:szCs w:val="20"/>
          <w:color w:val="auto"/>
        </w:rPr>
      </w:pPr>
      <w:r>
        <w:rPr>
          <w:rFonts w:ascii="Times New Roman" w:cs="Times New Roman" w:eastAsia="Times New Roman" w:hAnsi="Times New Roman"/>
          <w:sz w:val="14"/>
          <w:szCs w:val="14"/>
          <w:color w:val="auto"/>
        </w:rPr>
        <w:t>Net cash and cash equivalents provided by (used in) operating, investing and financing activities and the net increase in the balance of cash, cash equivalents and restricted cash were as follows (in thousands):</w:t>
      </w: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3500" w:type="dxa"/>
            <w:vAlign w:val="bottom"/>
            <w:tcBorders>
              <w:bottom w:val="single" w:sz="8" w:color="auto"/>
            </w:tcBorders>
            <w:gridSpan w:val="4"/>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r>
      <w:tr>
        <w:trPr>
          <w:trHeight w:val="17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20,757</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25,823</w:t>
            </w:r>
          </w:p>
        </w:tc>
      </w:tr>
      <w:tr>
        <w:trPr>
          <w:trHeight w:val="180"/>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1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(11,484)</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(5,482)</w:t>
            </w:r>
          </w:p>
        </w:tc>
      </w:tr>
      <w:tr>
        <w:trPr>
          <w:trHeight w:val="18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13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(5,235)</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214,877</w:t>
            </w:r>
          </w:p>
        </w:tc>
      </w:tr>
      <w:tr>
        <w:trPr>
          <w:trHeight w:val="18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1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3,302</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w:t>
            </w:r>
          </w:p>
        </w:tc>
      </w:tr>
      <w:tr>
        <w:trPr>
          <w:trHeight w:val="196"/>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7,340</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234,392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87" w:lineRule="exact"/>
        <w:rPr>
          <w:sz w:val="20"/>
          <w:szCs w:val="20"/>
          <w:color w:val="auto"/>
        </w:rPr>
      </w:pPr>
    </w:p>
    <w:p>
      <w:pPr>
        <w:ind w:right="320" w:firstLine="127"/>
        <w:spacing w:after="0" w:line="303" w:lineRule="auto"/>
        <w:rPr>
          <w:sz w:val="20"/>
          <w:szCs w:val="20"/>
          <w:color w:val="auto"/>
        </w:rPr>
      </w:pPr>
      <w:r>
        <w:rPr>
          <w:rFonts w:ascii="Times New Roman" w:cs="Times New Roman" w:eastAsia="Times New Roman" w:hAnsi="Times New Roman"/>
          <w:sz w:val="14"/>
          <w:szCs w:val="14"/>
          <w:color w:val="auto"/>
        </w:rPr>
        <w:t>Cash provided by operating activities during the three months ended March 31, 2023 decreased by $5.1 million as compared to the same prior year period. The decrease was primarily due to a decrease in net income adjusted for non-cash items of $12.1 million and an increase in 3T litigation settlement payments of $8.8 million, partially offset by the net change in working capital.</w:t>
      </w:r>
    </w:p>
    <w:p>
      <w:pPr>
        <w:spacing w:after="0" w:line="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98" w:lineRule="exact"/>
        <w:rPr>
          <w:sz w:val="20"/>
          <w:szCs w:val="20"/>
          <w:color w:val="auto"/>
        </w:rPr>
      </w:pPr>
    </w:p>
    <w:p>
      <w:pPr>
        <w:ind w:right="40" w:firstLine="127"/>
        <w:spacing w:after="0" w:line="287" w:lineRule="auto"/>
        <w:rPr>
          <w:sz w:val="20"/>
          <w:szCs w:val="20"/>
          <w:color w:val="auto"/>
        </w:rPr>
      </w:pPr>
      <w:r>
        <w:rPr>
          <w:rFonts w:ascii="Times New Roman" w:cs="Times New Roman" w:eastAsia="Times New Roman" w:hAnsi="Times New Roman"/>
          <w:sz w:val="14"/>
          <w:szCs w:val="14"/>
          <w:color w:val="auto"/>
        </w:rPr>
        <w:t>Cash used in investing activities during the three months ended March 31, 2023 increased $6.0 million as compared to the same prior year period primarily due to an increase in purchases of equity investments of $4.9 million.</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87" w:lineRule="exact"/>
        <w:rPr>
          <w:sz w:val="20"/>
          <w:szCs w:val="20"/>
          <w:color w:val="auto"/>
        </w:rPr>
      </w:pPr>
    </w:p>
    <w:p>
      <w:pPr>
        <w:ind w:right="120" w:firstLine="127"/>
        <w:spacing w:after="0" w:line="303" w:lineRule="auto"/>
        <w:rPr>
          <w:sz w:val="20"/>
          <w:szCs w:val="20"/>
          <w:color w:val="auto"/>
        </w:rPr>
      </w:pPr>
      <w:r>
        <w:rPr>
          <w:rFonts w:ascii="Times New Roman" w:cs="Times New Roman" w:eastAsia="Times New Roman" w:hAnsi="Times New Roman"/>
          <w:sz w:val="14"/>
          <w:szCs w:val="14"/>
          <w:color w:val="auto"/>
        </w:rPr>
        <w:t>Cash used in financing activities during the three months ended March 31, 2023 increased $220.1 million as compared to the same prior year period primarily due to a reduction in net borrowings of $219.6 million.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01" w:lineRule="exact"/>
        <w:rPr>
          <w:sz w:val="20"/>
          <w:szCs w:val="20"/>
          <w:color w:val="auto"/>
        </w:rPr>
      </w:pPr>
    </w:p>
    <w:p>
      <w:pPr>
        <w:ind w:firstLine="127"/>
        <w:spacing w:after="0" w:line="265" w:lineRule="auto"/>
        <w:rPr>
          <w:sz w:val="20"/>
          <w:szCs w:val="20"/>
          <w:color w:val="auto"/>
        </w:rPr>
      </w:pPr>
      <w:r>
        <w:rPr>
          <w:rFonts w:ascii="Times New Roman" w:cs="Times New Roman" w:eastAsia="Times New Roman" w:hAnsi="Times New Roman"/>
          <w:sz w:val="14"/>
          <w:szCs w:val="14"/>
          <w:color w:val="auto"/>
        </w:rPr>
        <w:t>LivaNova is exposed to certain market risks as part of its ongoing business operations, including risks from foreign currency exchange rates, equity price risk, interest rate risks and concentration of procurement suppliers that could adversely affect LivaNova’s consolidated financial position, results of operations or cash flows. The Company manages these risks through regular operating and financing activities and, at certain times, derivative financial instruments. Quantitative and qualitative disclosures about these risks are included in this Quarterly Report on Form 10-Q in “Part I, Note</w:t>
      </w:r>
    </w:p>
    <w:p>
      <w:pPr>
        <w:spacing w:after="0" w:line="1" w:lineRule="exact"/>
        <w:rPr>
          <w:sz w:val="20"/>
          <w:szCs w:val="20"/>
          <w:color w:val="auto"/>
        </w:rPr>
      </w:pPr>
    </w:p>
    <w:p>
      <w:pPr>
        <w:ind w:right="500" w:firstLine="5"/>
        <w:spacing w:after="0" w:line="281" w:lineRule="auto"/>
        <w:tabs>
          <w:tab w:leader="none" w:pos="141"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Derivatives and Risk Management,” “Part I, Item 2. Management’s Discussion and Analysis of Financial Conditions and Results of Operations” and “Part II, Item 1A. Risk Factors” and in LivaNova’s 2022 Form 10-K in “Part II, Item 7. Management’s Discussion and Analysis of Financial Condition and Results of Operations” and “Part I, Item 1A. Risk Factors.”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Disclosure Controls and Procedures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 Evaluation of Disclosure Controls and Procedures</w:t>
      </w:r>
    </w:p>
    <w:p>
      <w:pPr>
        <w:spacing w:after="0" w:line="106" w:lineRule="exact"/>
        <w:rPr>
          <w:sz w:val="20"/>
          <w:szCs w:val="20"/>
          <w:color w:val="auto"/>
        </w:rPr>
      </w:pPr>
    </w:p>
    <w:p>
      <w:pPr>
        <w:ind w:right="100" w:firstLine="127"/>
        <w:spacing w:after="0" w:line="269" w:lineRule="auto"/>
        <w:rPr>
          <w:sz w:val="20"/>
          <w:szCs w:val="20"/>
          <w:color w:val="auto"/>
        </w:rPr>
      </w:pPr>
      <w:r>
        <w:rPr>
          <w:rFonts w:ascii="Times New Roman" w:cs="Times New Roman" w:eastAsia="Times New Roman" w:hAnsi="Times New Roman"/>
          <w:sz w:val="14"/>
          <w:szCs w:val="14"/>
          <w:color w:val="auto"/>
        </w:rPr>
        <w:t>LivaNova maintains a system of disclosure controls and procedures, as defined in Rules 13a-15(e) and 15d-15(e) of the Exchange Act, that is designed to ensure that information required to be disclosed in the Company’s reports filed under the Exchange Act is recorded, processed, summarized and reported within the time periods specified in the SEC’s rules and forms. This information is also accumulated and communicated to management, including LivaNova’s CEO and CFO, as appropriate, to allow timely decisions regarding required disclosure. LivaNova’s management, under the supervision and with the participation of its CEO and CFO, evaluated the effectiveness of the design and operation of the Company’s disclosure controls and procedures as of the end of the most recent fiscal quarter reported herein. Based on that evaluation, LivaNova’s CEO and CFO concluded that the Company’s disclosure controls and procedures were effective as of March 31, 2023.</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color w:val="auto"/>
        </w:rPr>
        <w:t>(b) Changes in Internal Control Over Financial Reporting</w:t>
      </w:r>
    </w:p>
    <w:p>
      <w:pPr>
        <w:spacing w:after="0" w:line="106" w:lineRule="exact"/>
        <w:rPr>
          <w:sz w:val="20"/>
          <w:szCs w:val="20"/>
          <w:color w:val="auto"/>
        </w:rPr>
      </w:pPr>
    </w:p>
    <w:p>
      <w:pPr>
        <w:ind w:firstLine="127"/>
        <w:spacing w:after="0" w:line="275" w:lineRule="auto"/>
        <w:rPr>
          <w:sz w:val="20"/>
          <w:szCs w:val="20"/>
          <w:color w:val="auto"/>
        </w:rPr>
      </w:pPr>
      <w:r>
        <w:rPr>
          <w:rFonts w:ascii="Times New Roman" w:cs="Times New Roman" w:eastAsia="Times New Roman" w:hAnsi="Times New Roman"/>
          <w:sz w:val="14"/>
          <w:szCs w:val="14"/>
          <w:color w:val="auto"/>
        </w:rPr>
        <w:t>During the quarter ended March 31, 2023, LivaNova implemented a new financial reporting consolidation and account reconciliation software application. The change was made to enhance the efficiency of the consolidation and account reconciliation processes and related financial reporting. There were no other changes in LivaNova’s internal control over financial reporting (as defined in Rules 13a-15(f) and 15d-5(f) under the Exchange Act) that occurred during the quarter ended March 31, 2023 that have materially affected, or is reasonably likely to materially affect, the Company’s internal control over financial reporting.</w:t>
      </w:r>
    </w:p>
    <w:p>
      <w:pPr>
        <w:spacing w:after="0" w:line="3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27"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Legal Proceedings</w:t>
      </w:r>
    </w:p>
    <w:p>
      <w:pPr>
        <w:spacing w:after="0" w:line="101" w:lineRule="exact"/>
        <w:rPr>
          <w:sz w:val="20"/>
          <w:szCs w:val="20"/>
          <w:color w:val="auto"/>
        </w:rPr>
      </w:pPr>
    </w:p>
    <w:p>
      <w:pPr>
        <w:ind w:right="160" w:firstLine="127"/>
        <w:spacing w:after="0" w:line="303" w:lineRule="auto"/>
        <w:rPr>
          <w:sz w:val="20"/>
          <w:szCs w:val="20"/>
          <w:color w:val="auto"/>
        </w:rPr>
      </w:pPr>
      <w:r>
        <w:rPr>
          <w:rFonts w:ascii="Times New Roman" w:cs="Times New Roman" w:eastAsia="Times New Roman" w:hAnsi="Times New Roman"/>
          <w:sz w:val="14"/>
          <w:szCs w:val="14"/>
          <w:color w:val="auto"/>
        </w:rPr>
        <w:t>For a description of LivaNova’s material pending legal and regulatory proceedings and settlements, refer to “Note 6. Commitments and Contingencies” in the Company’s condensed consolidated financial statements included in this Quarterly Report on Form 10-Q.</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1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Other than as described below, there have been no material changes in our risk factors from those disclosed in Part I, Item 1A to our 2022 Annual Report on Form 10-K.</w:t>
      </w:r>
    </w:p>
    <w:p>
      <w:pPr>
        <w:spacing w:after="0" w:line="102" w:lineRule="exact"/>
        <w:rPr>
          <w:sz w:val="20"/>
          <w:szCs w:val="20"/>
          <w:color w:val="auto"/>
        </w:rPr>
      </w:pPr>
    </w:p>
    <w:p>
      <w:pPr>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The Company maintains its cash at financial institutions and is exposed to risk in the event of a bank failure or series of bank failures, particularly with respect to the cash collateral securing the SNIA Litigation Guarantee.</w:t>
      </w:r>
    </w:p>
    <w:p>
      <w:pPr>
        <w:spacing w:after="0" w:line="26" w:lineRule="exact"/>
        <w:rPr>
          <w:sz w:val="20"/>
          <w:szCs w:val="20"/>
          <w:color w:val="auto"/>
        </w:rPr>
      </w:pPr>
    </w:p>
    <w:p>
      <w:pPr>
        <w:ind w:right="20" w:firstLine="127"/>
        <w:spacing w:after="0" w:line="272" w:lineRule="auto"/>
        <w:rPr>
          <w:sz w:val="20"/>
          <w:szCs w:val="20"/>
          <w:color w:val="auto"/>
        </w:rPr>
      </w:pPr>
      <w:r>
        <w:rPr>
          <w:rFonts w:ascii="Times New Roman" w:cs="Times New Roman" w:eastAsia="Times New Roman" w:hAnsi="Times New Roman"/>
          <w:sz w:val="14"/>
          <w:szCs w:val="14"/>
          <w:color w:val="auto"/>
        </w:rPr>
        <w:t>Most of the Company’s cash is held in accounts in highly rated banking institutions in the US and Europe. However, in the event of a bank failure or series of bank failures, the Company could lose all or a portion of its deposits. In connection with Silicon Valley Bank’s failure in March 2023, the FDIC took control, and in a subsequent joint statement by the Department of the Treasury, Federal Reserve, and FDIC, it was announced that all depositors would be fully protected and would have access to their funds. Such an outcome is not guaranteed if other bank failures were to occur. While the Company does not hold cash deposits with SVB or other failed banks and does not otherwise have a business relationship with those institutions, the Company could be subject to similar risks at other banking institutions, including with respect to the cash collateral securing the SNIA Litigation Guarantee, all of which could adversely affect our results of operations, cash flows and financial condition.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None.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Defaults Upon Senior Securities</w:t>
      </w:r>
    </w:p>
    <w:p>
      <w:pPr>
        <w:spacing w:after="0" w:line="1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None.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1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Not applicable.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Other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Pursuant to Section 13(r) of the Exchange Act of 1934</w:t>
      </w:r>
    </w:p>
    <w:p>
      <w:pPr>
        <w:spacing w:after="0" w:line="98" w:lineRule="exact"/>
        <w:rPr>
          <w:sz w:val="20"/>
          <w:szCs w:val="20"/>
          <w:color w:val="auto"/>
        </w:rPr>
      </w:pPr>
    </w:p>
    <w:p>
      <w:pPr>
        <w:ind w:right="100" w:firstLine="127"/>
        <w:spacing w:after="0" w:line="278" w:lineRule="auto"/>
        <w:rPr>
          <w:sz w:val="20"/>
          <w:szCs w:val="20"/>
          <w:color w:val="auto"/>
        </w:rPr>
      </w:pPr>
      <w:r>
        <w:rPr>
          <w:rFonts w:ascii="Times New Roman" w:cs="Times New Roman" w:eastAsia="Times New Roman" w:hAnsi="Times New Roman"/>
          <w:sz w:val="14"/>
          <w:szCs w:val="14"/>
          <w:color w:val="auto"/>
        </w:rPr>
        <w:t>Section 13(r) of the Exchange Act requires issuers to disclose in their quarterly reports certain types of dealings with Iran, including transactions or dealings with government-owned entities, even when those activities are lawful and do not involve U.S. persons. One of LivaNova’s non-U.S. subsidiaries currently sells medical devices, including cardiopulmonary, cardiac surgery and neuromodulation products, to privately held distributors in Iran.</w:t>
      </w:r>
    </w:p>
    <w:p>
      <w:pPr>
        <w:spacing w:after="0" w:line="45" w:lineRule="exact"/>
        <w:rPr>
          <w:sz w:val="20"/>
          <w:szCs w:val="20"/>
          <w:color w:val="auto"/>
        </w:rPr>
      </w:pPr>
    </w:p>
    <w:p>
      <w:pPr>
        <w:ind w:right="20" w:firstLine="127"/>
        <w:spacing w:after="0" w:line="286" w:lineRule="auto"/>
        <w:rPr>
          <w:sz w:val="20"/>
          <w:szCs w:val="20"/>
          <w:color w:val="auto"/>
        </w:rPr>
      </w:pPr>
      <w:r>
        <w:rPr>
          <w:rFonts w:ascii="Times New Roman" w:cs="Times New Roman" w:eastAsia="Times New Roman" w:hAnsi="Times New Roman"/>
          <w:sz w:val="14"/>
          <w:szCs w:val="14"/>
          <w:color w:val="auto"/>
        </w:rPr>
        <w:t>LivaNova has limited visibility into the identity of these distributors’ customers in Iran. It is possible that their customers include entities, such as government-owned hospitals or sub-distributors, that are owned or controlled directly or indirectly by the Iranian government. To the best of the Company’s knowledge at this time, LivaNova does not have any contracts or commercial arrangements with the Iranian government.</w:t>
      </w:r>
    </w:p>
    <w:p>
      <w:pPr>
        <w:spacing w:after="0" w:line="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LivaNova’s net revenue and net profits attributable to the above-mentioned Iranian activities were $2.2 million and $0.9 million, respectively, for the three months ended March 31, 2023.</w:t>
      </w:r>
    </w:p>
    <w:p>
      <w:pPr>
        <w:spacing w:after="0" w:line="10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Company believes its activities are consistent with applicable law, including U.S., EU, and other applicable sanctions laws, though such laws are complex and continue to evolve rapidly.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intends to continue its business in Iran.</w:t>
      </w: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Exhibits</w:t>
      </w:r>
    </w:p>
    <w:p>
      <w:pPr>
        <w:spacing w:after="0" w:line="101" w:lineRule="exact"/>
        <w:rPr>
          <w:sz w:val="20"/>
          <w:szCs w:val="20"/>
          <w:color w:val="auto"/>
        </w:rPr>
      </w:pPr>
    </w:p>
    <w:p>
      <w:pPr>
        <w:ind w:right="60" w:firstLine="127"/>
        <w:spacing w:after="0" w:line="303" w:lineRule="auto"/>
        <w:rPr>
          <w:sz w:val="20"/>
          <w:szCs w:val="20"/>
          <w:color w:val="auto"/>
        </w:rPr>
      </w:pPr>
      <w:r>
        <w:rPr>
          <w:rFonts w:ascii="Times New Roman" w:cs="Times New Roman" w:eastAsia="Times New Roman" w:hAnsi="Times New Roman"/>
          <w:sz w:val="14"/>
          <w:szCs w:val="14"/>
          <w:color w:val="auto"/>
        </w:rPr>
        <w:t>The exhibits marked with the asterisk symbol (*) are filed or furnished (in the case of Exhibit 32.1) with this Quarterly Report on Form 10-Q. Exhibits marked with the cross symbol (†), if any, are management contracts or compensatory plans or arrangements filed pursuant to Item 601(b)(10)(iii) of Regulation S-K.</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740" w:type="dxa"/>
            <w:vAlign w:val="bottom"/>
            <w:gridSpan w:val="2"/>
          </w:tcPr>
          <w:p>
            <w:pPr>
              <w:jc w:val="center"/>
              <w:ind w:left="35"/>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800" w:type="dxa"/>
            <w:vAlign w:val="bottom"/>
          </w:tcPr>
          <w:p>
            <w:pPr>
              <w:spacing w:after="0"/>
              <w:rPr>
                <w:sz w:val="11"/>
                <w:szCs w:val="11"/>
                <w:color w:val="auto"/>
              </w:rPr>
            </w:pPr>
          </w:p>
        </w:tc>
        <w:tc>
          <w:tcPr>
            <w:tcW w:w="8720" w:type="dxa"/>
            <w:vAlign w:val="bottom"/>
            <w:vMerge w:val="restart"/>
          </w:tcPr>
          <w:p>
            <w:pPr>
              <w:ind w:left="2980"/>
              <w:spacing w:after="0"/>
              <w:rPr>
                <w:sz w:val="20"/>
                <w:szCs w:val="20"/>
                <w:color w:val="auto"/>
              </w:rPr>
            </w:pPr>
            <w:r>
              <w:rPr>
                <w:rFonts w:ascii="Times New Roman" w:cs="Times New Roman" w:eastAsia="Times New Roman" w:hAnsi="Times New Roman"/>
                <w:sz w:val="11"/>
                <w:szCs w:val="11"/>
                <w:b w:val="1"/>
                <w:bCs w:val="1"/>
                <w:color w:val="auto"/>
              </w:rPr>
              <w:t>Document Description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gridSpan w:val="2"/>
          </w:tcPr>
          <w:p>
            <w:pPr>
              <w:jc w:val="center"/>
              <w:ind w:left="35"/>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800" w:type="dxa"/>
            <w:vAlign w:val="bottom"/>
          </w:tcPr>
          <w:p>
            <w:pPr>
              <w:spacing w:after="0"/>
              <w:rPr>
                <w:sz w:val="13"/>
                <w:szCs w:val="13"/>
                <w:color w:val="auto"/>
              </w:rPr>
            </w:pPr>
          </w:p>
        </w:tc>
        <w:tc>
          <w:tcPr>
            <w:tcW w:w="8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p>
        </w:tc>
        <w:tc>
          <w:tcPr>
            <w:tcW w:w="1800" w:type="dxa"/>
            <w:vAlign w:val="bottom"/>
            <w:shd w:val="clear" w:color="auto" w:fill="CCEEFF"/>
          </w:tcPr>
          <w:p>
            <w:pPr>
              <w:ind w:left="120"/>
              <w:spacing w:after="0" w:line="153" w:lineRule="exact"/>
              <w:rPr>
                <w:sz w:val="20"/>
                <w:szCs w:val="20"/>
                <w:color w:val="auto"/>
              </w:rPr>
            </w:pPr>
            <w:r>
              <w:rPr>
                <w:rFonts w:ascii="Times New Roman" w:cs="Times New Roman" w:eastAsia="Times New Roman" w:hAnsi="Times New Roman"/>
                <w:sz w:val="14"/>
                <w:szCs w:val="14"/>
                <w:color w:val="auto"/>
              </w:rPr>
              <w:t>Form of LivaNova PLC 2022</w:t>
            </w:r>
          </w:p>
        </w:tc>
        <w:tc>
          <w:tcPr>
            <w:tcW w:w="872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Incentive Award Plan Stock Appreciation Right Grant Notice and Agreement, effective February 2023</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20" w:type="dxa"/>
            <w:vAlign w:val="bottom"/>
            <w:tcBorders>
              <w:left w:val="single" w:sz="8" w:color="0000FF"/>
            </w:tcBorders>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8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p>
        </w:tc>
        <w:tc>
          <w:tcPr>
            <w:tcW w:w="18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Form of LivaNova PLC 2022</w:t>
            </w:r>
          </w:p>
        </w:tc>
        <w:tc>
          <w:tcPr>
            <w:tcW w:w="8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Incentive Award Plan Restricted Stock Unit Award Grant Notice and Agreement, effective February 2023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20" w:type="dxa"/>
            <w:vAlign w:val="bottom"/>
            <w:tcBorders>
              <w:left w:val="single" w:sz="8" w:color="0000FF"/>
            </w:tcBorders>
          </w:tcPr>
          <w:p>
            <w:pPr>
              <w:spacing w:after="0"/>
              <w:rPr>
                <w:sz w:val="2"/>
                <w:szCs w:val="2"/>
                <w:color w:val="auto"/>
              </w:rPr>
            </w:pPr>
          </w:p>
        </w:tc>
        <w:tc>
          <w:tcPr>
            <w:tcW w:w="1800" w:type="dxa"/>
            <w:vAlign w:val="bottom"/>
          </w:tcPr>
          <w:p>
            <w:pPr>
              <w:spacing w:after="0"/>
              <w:rPr>
                <w:sz w:val="2"/>
                <w:szCs w:val="2"/>
                <w:color w:val="auto"/>
              </w:rPr>
            </w:pPr>
          </w:p>
        </w:tc>
        <w:tc>
          <w:tcPr>
            <w:tcW w:w="8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w:t>
            </w:r>
          </w:p>
        </w:tc>
        <w:tc>
          <w:tcPr>
            <w:tcW w:w="180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Form of LivaNova PLC 2022</w:t>
            </w:r>
          </w:p>
        </w:tc>
        <w:tc>
          <w:tcPr>
            <w:tcW w:w="872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Incentive Award Plan Performance Stock Unit Award Grant Notice and Agreement, effective February 2023</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20" w:type="dxa"/>
            <w:vAlign w:val="bottom"/>
            <w:tcBorders>
              <w:left w:val="single" w:sz="8" w:color="0000FF"/>
            </w:tcBorders>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8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0000FF"/>
                <w:w w:val="88"/>
              </w:rPr>
              <w:t>31.</w:t>
            </w:r>
            <w:r>
              <w:rPr>
                <w:rFonts w:ascii="Times New Roman" w:cs="Times New Roman" w:eastAsia="Times New Roman" w:hAnsi="Times New Roman"/>
                <w:sz w:val="14"/>
                <w:szCs w:val="14"/>
                <w:u w:val="single" w:color="auto"/>
                <w:color w:val="0000FF"/>
                <w:w w:val="88"/>
              </w:rPr>
              <w:t>1*</w:t>
            </w:r>
          </w:p>
        </w:tc>
        <w:tc>
          <w:tcPr>
            <w:tcW w:w="420" w:type="dxa"/>
            <w:vAlign w:val="bottom"/>
          </w:tcPr>
          <w:p>
            <w:pPr>
              <w:spacing w:after="0"/>
              <w:rPr>
                <w:sz w:val="12"/>
                <w:szCs w:val="12"/>
                <w:color w:val="auto"/>
              </w:rPr>
            </w:pPr>
          </w:p>
        </w:tc>
        <w:tc>
          <w:tcPr>
            <w:tcW w:w="105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Certification of the Chief Executive Officer of LivaNova PLC pursuant to Section 302 of the Sarbanes-Oxley Act of 2002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34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88"/>
              </w:rPr>
              <w:t>31.</w:t>
            </w:r>
            <w:r>
              <w:rPr>
                <w:rFonts w:ascii="Times New Roman" w:cs="Times New Roman" w:eastAsia="Times New Roman" w:hAnsi="Times New Roman"/>
                <w:sz w:val="14"/>
                <w:szCs w:val="14"/>
                <w:u w:val="single" w:color="auto"/>
                <w:color w:val="0000FF"/>
                <w:w w:val="88"/>
              </w:rPr>
              <w:t>2*</w:t>
            </w:r>
          </w:p>
        </w:tc>
        <w:tc>
          <w:tcPr>
            <w:tcW w:w="420" w:type="dxa"/>
            <w:vAlign w:val="bottom"/>
            <w:tcBorders>
              <w:left w:val="single" w:sz="8" w:color="CCEEFF"/>
            </w:tcBorders>
            <w:shd w:val="clear" w:color="auto" w:fill="CCEEFF"/>
          </w:tcPr>
          <w:p>
            <w:pPr>
              <w:spacing w:after="0"/>
              <w:rPr>
                <w:sz w:val="13"/>
                <w:szCs w:val="13"/>
                <w:color w:val="auto"/>
              </w:rPr>
            </w:pPr>
          </w:p>
        </w:tc>
        <w:tc>
          <w:tcPr>
            <w:tcW w:w="10520" w:type="dxa"/>
            <w:vAlign w:val="bottom"/>
            <w:gridSpan w:val="2"/>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Certification of the Chief Financial Officer of LivaNova PLC pursuant to Section 302 of the Sarbanes-Oxley Act of 2002</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20" w:type="dxa"/>
            <w:vAlign w:val="bottom"/>
            <w:tcBorders>
              <w:left w:val="single" w:sz="8" w:color="CCEEFF"/>
            </w:tcBorders>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8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0000FF"/>
                <w:w w:val="88"/>
              </w:rPr>
              <w:t>32.</w:t>
            </w:r>
            <w:r>
              <w:rPr>
                <w:rFonts w:ascii="Times New Roman" w:cs="Times New Roman" w:eastAsia="Times New Roman" w:hAnsi="Times New Roman"/>
                <w:sz w:val="14"/>
                <w:szCs w:val="14"/>
                <w:u w:val="single" w:color="auto"/>
                <w:color w:val="0000FF"/>
                <w:w w:val="88"/>
              </w:rPr>
              <w:t>1*</w:t>
            </w:r>
          </w:p>
        </w:tc>
        <w:tc>
          <w:tcPr>
            <w:tcW w:w="420" w:type="dxa"/>
            <w:vAlign w:val="bottom"/>
          </w:tcPr>
          <w:p>
            <w:pPr>
              <w:spacing w:after="0"/>
              <w:rPr>
                <w:sz w:val="12"/>
                <w:szCs w:val="12"/>
                <w:color w:val="auto"/>
              </w:rPr>
            </w:pPr>
          </w:p>
        </w:tc>
        <w:tc>
          <w:tcPr>
            <w:tcW w:w="105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Certification of the Chief Executive Officer and Chief Financial Officer of LivaNova PLC pursuant to Section 906 of the Sarbanes-Oxley Act of 2002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34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w w:val="99"/>
              </w:rPr>
              <w:t>101*</w:t>
            </w:r>
          </w:p>
        </w:tc>
        <w:tc>
          <w:tcPr>
            <w:tcW w:w="420" w:type="dxa"/>
            <w:vAlign w:val="bottom"/>
            <w:tcBorders>
              <w:left w:val="single" w:sz="8" w:color="CCEEFF"/>
            </w:tcBorders>
            <w:shd w:val="clear" w:color="auto" w:fill="CCEEFF"/>
          </w:tcPr>
          <w:p>
            <w:pPr>
              <w:spacing w:after="0"/>
              <w:rPr>
                <w:sz w:val="12"/>
                <w:szCs w:val="12"/>
                <w:color w:val="auto"/>
              </w:rPr>
            </w:pPr>
          </w:p>
        </w:tc>
        <w:tc>
          <w:tcPr>
            <w:tcW w:w="10520" w:type="dxa"/>
            <w:vAlign w:val="bottom"/>
            <w:gridSpan w:val="2"/>
            <w:shd w:val="clear" w:color="auto" w:fill="CCEEFF"/>
          </w:tcPr>
          <w:p>
            <w:pPr>
              <w:ind w:left="120"/>
              <w:spacing w:after="0" w:line="144" w:lineRule="exact"/>
              <w:rPr>
                <w:sz w:val="20"/>
                <w:szCs w:val="20"/>
                <w:color w:val="auto"/>
              </w:rPr>
            </w:pPr>
            <w:r>
              <w:rPr>
                <w:rFonts w:ascii="Times New Roman" w:cs="Times New Roman" w:eastAsia="Times New Roman" w:hAnsi="Times New Roman"/>
                <w:sz w:val="14"/>
                <w:szCs w:val="14"/>
                <w:color w:val="auto"/>
              </w:rPr>
              <w:t>Interactive Data Files Pursuant to Rule 405 of Regulation S-T formatted in Inline XBRL: (i) the Condensed Consolidated Statements of Income for the three months ended March 31,</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tcBorders>
              <w:left w:val="single" w:sz="8" w:color="CCEEFF"/>
            </w:tcBorders>
            <w:shd w:val="clear" w:color="auto" w:fill="CCEEFF"/>
          </w:tcPr>
          <w:p>
            <w:pPr>
              <w:spacing w:after="0"/>
              <w:rPr>
                <w:sz w:val="12"/>
                <w:szCs w:val="12"/>
                <w:color w:val="auto"/>
              </w:rPr>
            </w:pPr>
          </w:p>
        </w:tc>
        <w:tc>
          <w:tcPr>
            <w:tcW w:w="1052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2023 and 2022, (ii) the Condensed Consolidated Statements of Comprehensive Income (Loss) for the three months ended March 31, 2023 and 2022, (iii) the Condensed Consolidated</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tcBorders>
              <w:left w:val="single" w:sz="8" w:color="CCEEFF"/>
            </w:tcBorders>
            <w:shd w:val="clear" w:color="auto" w:fill="CCEEFF"/>
          </w:tcPr>
          <w:p>
            <w:pPr>
              <w:spacing w:after="0"/>
              <w:rPr>
                <w:sz w:val="12"/>
                <w:szCs w:val="12"/>
                <w:color w:val="auto"/>
              </w:rPr>
            </w:pPr>
          </w:p>
        </w:tc>
        <w:tc>
          <w:tcPr>
            <w:tcW w:w="1052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Balance Sheet as of March 31, 2023 and December 31, 2022, (iv) the Condensed Consolidated Statements of Cash Flows for the three months ended March 31, 2023 and 2022, and</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tcBorders>
              <w:left w:val="single" w:sz="8" w:color="CCEEFF"/>
            </w:tcBorders>
            <w:shd w:val="clear" w:color="auto" w:fill="CCEEFF"/>
          </w:tcPr>
          <w:p>
            <w:pPr>
              <w:spacing w:after="0"/>
              <w:rPr>
                <w:sz w:val="15"/>
                <w:szCs w:val="15"/>
                <w:color w:val="auto"/>
              </w:rPr>
            </w:pPr>
          </w:p>
        </w:tc>
        <w:tc>
          <w:tcPr>
            <w:tcW w:w="10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(vi) the Notes to the Condensed Consolidated Financial Statements</w:t>
            </w:r>
          </w:p>
        </w:tc>
        <w:tc>
          <w:tcPr>
            <w:tcW w:w="0" w:type="dxa"/>
            <w:vAlign w:val="bottom"/>
          </w:tcPr>
          <w:p>
            <w:pPr>
              <w:spacing w:after="0"/>
              <w:rPr>
                <w:sz w:val="1"/>
                <w:szCs w:val="1"/>
                <w:color w:val="auto"/>
              </w:rPr>
            </w:pPr>
          </w:p>
        </w:tc>
      </w:tr>
      <w:tr>
        <w:trPr>
          <w:trHeight w:val="184"/>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9"/>
              </w:rPr>
              <w:t>104*</w:t>
            </w:r>
          </w:p>
        </w:tc>
        <w:tc>
          <w:tcPr>
            <w:tcW w:w="420" w:type="dxa"/>
            <w:vAlign w:val="bottom"/>
          </w:tcPr>
          <w:p>
            <w:pPr>
              <w:spacing w:after="0"/>
              <w:rPr>
                <w:sz w:val="16"/>
                <w:szCs w:val="16"/>
                <w:color w:val="auto"/>
              </w:rPr>
            </w:pPr>
          </w:p>
        </w:tc>
        <w:tc>
          <w:tcPr>
            <w:tcW w:w="10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65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720" w:type="dxa"/>
            <w:vAlign w:val="bottom"/>
          </w:tcPr>
          <w:p>
            <w:pPr>
              <w:ind w:left="3080"/>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71"/>
        </w:trPr>
        <w:tc>
          <w:tcPr>
            <w:tcW w:w="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87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0" w:name="page41"/>
    <w:bookmarkEnd w:id="40"/>
    <w:p>
      <w:pPr>
        <w:ind w:left="528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LIVANOVA PLC</w:t>
      </w:r>
    </w:p>
    <w:p>
      <w:pPr>
        <w:spacing w:after="0" w:line="200" w:lineRule="exact"/>
        <w:rPr>
          <w:sz w:val="20"/>
          <w:szCs w:val="20"/>
          <w:color w:val="auto"/>
        </w:rPr>
      </w:pPr>
    </w:p>
    <w:p>
      <w:pPr>
        <w:spacing w:after="0" w:line="265" w:lineRule="exact"/>
        <w:rPr>
          <w:sz w:val="20"/>
          <w:szCs w:val="20"/>
          <w:color w:val="auto"/>
        </w:rPr>
      </w:pPr>
    </w:p>
    <w:p>
      <w:pPr>
        <w:spacing w:after="0"/>
        <w:tabs>
          <w:tab w:leader="none" w:pos="1540" w:val="left"/>
          <w:tab w:leader="none" w:pos="2120" w:val="left"/>
        </w:tabs>
        <w:rPr>
          <w:sz w:val="20"/>
          <w:szCs w:val="20"/>
          <w:color w:val="auto"/>
        </w:rPr>
      </w:pPr>
      <w:r>
        <w:rPr>
          <w:rFonts w:ascii="Times New Roman" w:cs="Times New Roman" w:eastAsia="Times New Roman" w:hAnsi="Times New Roman"/>
          <w:sz w:val="14"/>
          <w:szCs w:val="14"/>
          <w:color w:val="auto"/>
        </w:rPr>
        <w:t>Date: May 3, 2023</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WILLIAM A. KOZY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28575</wp:posOffset>
            </wp:positionV>
            <wp:extent cx="332168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21685" cy="6985"/>
                    </a:xfrm>
                    <a:prstGeom prst="rect">
                      <a:avLst/>
                    </a:prstGeom>
                    <a:noFill/>
                  </pic:spPr>
                </pic:pic>
              </a:graphicData>
            </a:graphic>
          </wp:anchor>
        </w:drawing>
      </w:r>
    </w:p>
    <w:p>
      <w:pPr>
        <w:spacing w:after="0" w:line="3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color w:val="auto"/>
        </w:rPr>
        <w:t>William A. Kozy</w:t>
      </w:r>
    </w:p>
    <w:p>
      <w:pPr>
        <w:spacing w:after="0" w:line="3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color w:val="auto"/>
        </w:rPr>
        <w:t>Interim Chief Executive Officer and Chair of the Board</w:t>
      </w:r>
    </w:p>
    <w:p>
      <w:pPr>
        <w:spacing w:after="0" w:line="3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15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LIVANOVA PLC</w:t>
      </w:r>
    </w:p>
    <w:p>
      <w:pPr>
        <w:spacing w:after="0" w:line="200" w:lineRule="exact"/>
        <w:rPr>
          <w:sz w:val="20"/>
          <w:szCs w:val="20"/>
          <w:color w:val="auto"/>
        </w:rPr>
      </w:pPr>
    </w:p>
    <w:p>
      <w:pPr>
        <w:spacing w:after="0" w:line="265" w:lineRule="exact"/>
        <w:rPr>
          <w:sz w:val="20"/>
          <w:szCs w:val="20"/>
          <w:color w:val="auto"/>
        </w:rPr>
      </w:pPr>
    </w:p>
    <w:p>
      <w:pPr>
        <w:spacing w:after="0"/>
        <w:tabs>
          <w:tab w:leader="none" w:pos="1540" w:val="left"/>
          <w:tab w:leader="none" w:pos="2120" w:val="left"/>
        </w:tabs>
        <w:rPr>
          <w:sz w:val="20"/>
          <w:szCs w:val="20"/>
          <w:color w:val="auto"/>
        </w:rPr>
      </w:pPr>
      <w:r>
        <w:rPr>
          <w:rFonts w:ascii="Times New Roman" w:cs="Times New Roman" w:eastAsia="Times New Roman" w:hAnsi="Times New Roman"/>
          <w:sz w:val="14"/>
          <w:szCs w:val="14"/>
          <w:color w:val="auto"/>
        </w:rPr>
        <w:t>Date: May 3, 2023</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1344295</wp:posOffset>
            </wp:positionH>
            <wp:positionV relativeFrom="paragraph">
              <wp:posOffset>28575</wp:posOffset>
            </wp:positionV>
            <wp:extent cx="332803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28035" cy="6985"/>
                    </a:xfrm>
                    <a:prstGeom prst="rect">
                      <a:avLst/>
                    </a:prstGeom>
                    <a:noFill/>
                  </pic:spPr>
                </pic:pic>
              </a:graphicData>
            </a:graphic>
          </wp:anchor>
        </w:drawing>
      </w:r>
    </w:p>
    <w:p>
      <w:pPr>
        <w:spacing w:after="0" w:line="3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color w:val="auto"/>
        </w:rPr>
        <w:t>Alex Shvartsburg</w:t>
      </w:r>
    </w:p>
    <w:p>
      <w:pPr>
        <w:spacing w:after="0" w:line="3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3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p>
      <w:pPr>
        <w:spacing w:after="0" w:line="200" w:lineRule="exact"/>
        <w:rPr>
          <w:sz w:val="20"/>
          <w:szCs w:val="20"/>
          <w:color w:val="auto"/>
        </w:rPr>
      </w:pPr>
    </w:p>
    <w:p>
      <w:pPr>
        <w:spacing w:after="0" w:line="2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440"/>
          </w:cols>
          <w:pgMar w:left="320" w:top="728" w:right="1139" w:bottom="1440"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16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 William A. Kozy, certify that:</w:t>
      </w:r>
    </w:p>
    <w:p>
      <w:pPr>
        <w:spacing w:after="0" w:line="94" w:lineRule="exact"/>
        <w:rPr>
          <w:sz w:val="20"/>
          <w:szCs w:val="20"/>
          <w:color w:val="auto"/>
        </w:rPr>
      </w:pPr>
    </w:p>
    <w:p>
      <w:pPr>
        <w:ind w:left="440" w:hanging="180"/>
        <w:spacing w:after="0"/>
        <w:tabs>
          <w:tab w:leader="none" w:pos="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quarterly period ended March 31, 2023 of LivaNova PLC and its consolidated subsidiaries;</w:t>
      </w:r>
    </w:p>
    <w:p>
      <w:pPr>
        <w:spacing w:after="0" w:line="93" w:lineRule="exact"/>
        <w:rPr>
          <w:rFonts w:ascii="Times New Roman" w:cs="Times New Roman" w:eastAsia="Times New Roman" w:hAnsi="Times New Roman"/>
          <w:sz w:val="14"/>
          <w:szCs w:val="14"/>
          <w:color w:val="auto"/>
        </w:rPr>
      </w:pPr>
    </w:p>
    <w:p>
      <w:pPr>
        <w:ind w:firstLine="260"/>
        <w:spacing w:after="0" w:line="287" w:lineRule="auto"/>
        <w:tabs>
          <w:tab w:leader="none" w:pos="479"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Rules 13a-15(e) and 15d-15(e) of the Securities Exchange Act of 1934 (the "Exchange Act")) and internal control over financial reporting (as defined in Rules 13a-15(f) and 15d-15(f) of the Exchange Act) for the registrant and have:</w:t>
      </w:r>
    </w:p>
    <w:p>
      <w:pPr>
        <w:spacing w:after="0" w:line="39" w:lineRule="exact"/>
        <w:rPr>
          <w:sz w:val="20"/>
          <w:szCs w:val="20"/>
          <w:color w:val="auto"/>
        </w:rPr>
      </w:pPr>
    </w:p>
    <w:p>
      <w:pPr>
        <w:ind w:firstLine="260"/>
        <w:spacing w:after="0" w:line="287" w:lineRule="auto"/>
        <w:tabs>
          <w:tab w:leader="none" w:pos="48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2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1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sz w:val="20"/>
          <w:szCs w:val="20"/>
          <w:color w:val="auto"/>
        </w:rPr>
      </w:pPr>
    </w:p>
    <w:p>
      <w:pPr>
        <w:ind w:firstLine="260"/>
        <w:spacing w:after="0" w:line="287" w:lineRule="auto"/>
        <w:tabs>
          <w:tab w:leader="none" w:pos="471"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firstLine="260"/>
        <w:spacing w:after="0" w:line="287" w:lineRule="auto"/>
        <w:tabs>
          <w:tab w:leader="none" w:pos="475"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480" w:hanging="220"/>
        <w:spacing w:after="0"/>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Date: May 3, 2023</w:t>
      </w:r>
    </w:p>
    <w:p>
      <w:pPr>
        <w:spacing w:after="0" w:line="15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/s/ WILLIAM A. KOZY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14605</wp:posOffset>
            </wp:positionV>
            <wp:extent cx="338201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William A. Kozy</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Interim Chief Executive Officer and Chair of the Board</w:t>
      </w:r>
    </w:p>
    <w:p>
      <w:pPr>
        <w:spacing w:after="0" w:line="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770" w:right="31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 Alex Shvartsburg, certify that:</w:t>
      </w:r>
    </w:p>
    <w:p>
      <w:pPr>
        <w:spacing w:after="0" w:line="94" w:lineRule="exact"/>
        <w:rPr>
          <w:sz w:val="20"/>
          <w:szCs w:val="20"/>
          <w:color w:val="auto"/>
        </w:rPr>
      </w:pPr>
    </w:p>
    <w:p>
      <w:pPr>
        <w:ind w:left="440" w:hanging="180"/>
        <w:spacing w:after="0"/>
        <w:tabs>
          <w:tab w:leader="none" w:pos="4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quarterly period ended March 31, 2023 of LivaNova PLC and its consolidated subsidiaries;</w:t>
      </w:r>
    </w:p>
    <w:p>
      <w:pPr>
        <w:spacing w:after="0" w:line="93" w:lineRule="exact"/>
        <w:rPr>
          <w:rFonts w:ascii="Times New Roman" w:cs="Times New Roman" w:eastAsia="Times New Roman" w:hAnsi="Times New Roman"/>
          <w:sz w:val="14"/>
          <w:szCs w:val="14"/>
          <w:color w:val="auto"/>
        </w:rPr>
      </w:pPr>
    </w:p>
    <w:p>
      <w:pPr>
        <w:ind w:firstLine="260"/>
        <w:spacing w:after="0" w:line="287" w:lineRule="auto"/>
        <w:tabs>
          <w:tab w:leader="none" w:pos="479"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Rules 13a-15(e) and 15d-15(e) of the Securities Exchange Act of 1934 (the "Exchange Act")) and internal control over financial reporting (as defined in Rules 13a-15(f) and 15d-15(f) of the Exchange Act) for the registrant and have:</w:t>
      </w:r>
    </w:p>
    <w:p>
      <w:pPr>
        <w:spacing w:after="0" w:line="39" w:lineRule="exact"/>
        <w:rPr>
          <w:sz w:val="20"/>
          <w:szCs w:val="20"/>
          <w:color w:val="auto"/>
        </w:rPr>
      </w:pPr>
    </w:p>
    <w:p>
      <w:pPr>
        <w:ind w:firstLine="260"/>
        <w:spacing w:after="0" w:line="287" w:lineRule="auto"/>
        <w:tabs>
          <w:tab w:leader="none" w:pos="489"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29"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8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1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sz w:val="20"/>
          <w:szCs w:val="20"/>
          <w:color w:val="auto"/>
        </w:rPr>
      </w:pPr>
    </w:p>
    <w:p>
      <w:pPr>
        <w:ind w:firstLine="260"/>
        <w:spacing w:after="0" w:line="287" w:lineRule="auto"/>
        <w:tabs>
          <w:tab w:leader="none" w:pos="471"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firstLine="260"/>
        <w:spacing w:after="0" w:line="287" w:lineRule="auto"/>
        <w:tabs>
          <w:tab w:leader="none" w:pos="47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480" w:hanging="220"/>
        <w:spacing w:after="0"/>
        <w:tabs>
          <w:tab w:leader="none" w:pos="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Date: May 3, 2023</w:t>
      </w:r>
    </w:p>
    <w:p>
      <w:pPr>
        <w:spacing w:after="0" w:line="1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14605</wp:posOffset>
            </wp:positionV>
            <wp:extent cx="338201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Alex Shvartsburg</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p>
      <w:pPr>
        <w:sectPr>
          <w:pgSz w:w="11900" w:h="16838" w:orient="portrait"/>
          <w:cols w:equalWidth="0" w:num="1">
            <w:col w:w="11280"/>
          </w:cols>
          <w:pgMar w:left="300" w:top="855" w:right="31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 AND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LIVANOVA PLC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200" w:lineRule="exact"/>
        <w:rPr>
          <w:sz w:val="20"/>
          <w:szCs w:val="20"/>
          <w:color w:val="auto"/>
        </w:rPr>
      </w:pPr>
    </w:p>
    <w:p>
      <w:pPr>
        <w:spacing w:after="0" w:line="299" w:lineRule="exact"/>
        <w:rPr>
          <w:sz w:val="20"/>
          <w:szCs w:val="20"/>
          <w:color w:val="auto"/>
        </w:rPr>
      </w:pPr>
    </w:p>
    <w:p>
      <w:pPr>
        <w:ind w:firstLine="255"/>
        <w:spacing w:after="0" w:line="398" w:lineRule="auto"/>
        <w:rPr>
          <w:sz w:val="20"/>
          <w:szCs w:val="20"/>
          <w:color w:val="auto"/>
        </w:rPr>
      </w:pPr>
      <w:r>
        <w:rPr>
          <w:rFonts w:ascii="Times New Roman" w:cs="Times New Roman" w:eastAsia="Times New Roman" w:hAnsi="Times New Roman"/>
          <w:sz w:val="14"/>
          <w:szCs w:val="14"/>
          <w:color w:val="auto"/>
        </w:rPr>
        <w:t>Each of William A. Kozy, Interim Chief Executive Officer and Chair of the Board of LivaNova PLC (the “Company”), and Alex Shvartsburg, Chief Financial Officer of the Company, each hereby certifies pursuant to 18 U.S.C. Section 1350, as adopted pursuant to Section 906 of the Sarbanes-Oxley Act of 2002, that to the best of his knowledge:</w:t>
      </w:r>
    </w:p>
    <w:p>
      <w:pPr>
        <w:spacing w:after="0" w:line="315" w:lineRule="exact"/>
        <w:rPr>
          <w:sz w:val="20"/>
          <w:szCs w:val="20"/>
          <w:color w:val="auto"/>
        </w:rPr>
      </w:pPr>
    </w:p>
    <w:p>
      <w:pPr>
        <w:ind w:firstLine="419"/>
        <w:spacing w:after="0" w:line="413" w:lineRule="auto"/>
        <w:tabs>
          <w:tab w:leader="none" w:pos="64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Quarterly Report on Form 10-Q of the Company and its consolidated subsidiaries for the quarterly period ended March 31, 2023, as filed with the Securities and Exchange Commission on the date hereof (the “Report”) fully complies with the requirements of Section 13(a) or 15(d) of the Securities Exchange Act of 1934, as amended; and</w:t>
      </w:r>
    </w:p>
    <w:p>
      <w:pPr>
        <w:spacing w:after="0" w:line="305" w:lineRule="exact"/>
        <w:rPr>
          <w:rFonts w:ascii="Times New Roman" w:cs="Times New Roman" w:eastAsia="Times New Roman" w:hAnsi="Times New Roman"/>
          <w:sz w:val="14"/>
          <w:szCs w:val="14"/>
          <w:color w:val="auto"/>
        </w:rPr>
      </w:pPr>
    </w:p>
    <w:p>
      <w:pPr>
        <w:ind w:left="660" w:hanging="241"/>
        <w:spacing w:after="0"/>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Date: May 3, 2023</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/s/ WILLIAM A. KOZY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14605</wp:posOffset>
            </wp:positionV>
            <wp:extent cx="338201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William A. Kozy</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Interim Chief Executive Officer and Chair of the Board</w:t>
      </w:r>
    </w:p>
    <w:p>
      <w:pPr>
        <w:spacing w:after="0" w:line="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pacing w:after="0" w:line="3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14605</wp:posOffset>
            </wp:positionV>
            <wp:extent cx="338201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Alex Shvartsburg</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p>
      <w:pPr>
        <w:spacing w:after="0" w:line="200" w:lineRule="exact"/>
        <w:rPr>
          <w:sz w:val="20"/>
          <w:szCs w:val="20"/>
          <w:color w:val="auto"/>
        </w:rPr>
      </w:pPr>
    </w:p>
    <w:p>
      <w:pPr>
        <w:spacing w:after="0" w:line="272" w:lineRule="exact"/>
        <w:rPr>
          <w:sz w:val="20"/>
          <w:szCs w:val="20"/>
          <w:color w:val="auto"/>
        </w:rPr>
      </w:pPr>
    </w:p>
    <w:p>
      <w:pPr>
        <w:ind w:firstLine="255"/>
        <w:spacing w:after="0" w:line="303"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280"/>
      </w:cols>
      <w:pgMar w:left="300" w:top="7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5"/>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decimal"/>
      <w:start w:val="5"/>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decimal"/>
      <w:start w:val="5"/>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2023-05-03T13:41:12Z</dcterms:created>
  <dcterms:modified xsi:type="dcterms:W3CDTF">2023-05-03T13:41:12Z</dcterms:modified>
</cp:coreProperties>
</file>