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8997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80"/>
          </w:cols>
          <w:pgMar w:left="240" w:top="226" w:right="15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0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43"/>
          </w:cols>
          <w:pgMar w:left="240" w:top="226" w:right="15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20"/>
          </w:cols>
          <w:pgMar w:left="240" w:top="226" w:right="15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06/15/2019</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rPr>
              <w:t>M</w:t>
            </w:r>
          </w:p>
        </w:tc>
        <w:tc>
          <w:tcPr>
            <w:tcW w:w="700" w:type="dxa"/>
            <w:vAlign w:val="bottom"/>
            <w:tcBorders>
              <w:bottom w:val="single" w:sz="8" w:color="2C2C2C"/>
            </w:tcBorders>
          </w:tcPr>
          <w:p>
            <w:pPr>
              <w:jc w:val="right"/>
              <w:ind w:right="14"/>
              <w:spacing w:after="0"/>
              <w:rPr>
                <w:sz w:val="20"/>
                <w:szCs w:val="20"/>
                <w:color w:val="auto"/>
              </w:rPr>
            </w:pPr>
            <w:r>
              <w:rPr>
                <w:rFonts w:ascii="Arial" w:cs="Arial" w:eastAsia="Arial" w:hAnsi="Arial"/>
                <w:sz w:val="18"/>
                <w:szCs w:val="18"/>
                <w:color w:val="0000FF"/>
              </w:rPr>
              <w:t>1,762</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ind w:left="140"/>
              <w:spacing w:after="0" w:line="324" w:lineRule="exact"/>
              <w:rPr>
                <w:sz w:val="20"/>
                <w:szCs w:val="20"/>
                <w:color w:val="auto"/>
              </w:rPr>
            </w:pPr>
            <w:r>
              <w:rPr>
                <w:rFonts w:ascii="Arial" w:cs="Arial" w:eastAsia="Arial" w:hAnsi="Arial"/>
                <w:sz w:val="35"/>
                <w:szCs w:val="35"/>
                <w:color w:val="000000"/>
                <w:w w:val="96"/>
                <w:vertAlign w:val="subscript"/>
              </w:rPr>
              <w:t>$</w:t>
            </w:r>
            <w:r>
              <w:rPr>
                <w:rFonts w:ascii="Arial" w:cs="Arial" w:eastAsia="Arial" w:hAnsi="Arial"/>
                <w:sz w:val="35"/>
                <w:szCs w:val="35"/>
                <w:color w:val="0000FF"/>
                <w:w w:val="96"/>
                <w:vertAlign w:val="subscript"/>
              </w:rPr>
              <w:t>0</w:t>
            </w:r>
            <w:r>
              <w:rPr>
                <w:rFonts w:ascii="Arial" w:cs="Arial" w:eastAsia="Arial" w:hAnsi="Arial"/>
                <w:sz w:val="11"/>
                <w:szCs w:val="11"/>
                <w:color w:val="008000"/>
                <w:w w:val="96"/>
              </w:rPr>
              <w:t>(1)</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41,145</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06/15/2019</w:t>
            </w: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00" w:type="dxa"/>
            <w:vAlign w:val="bottom"/>
            <w:tcBorders>
              <w:bottom w:val="single" w:sz="8" w:color="2C2C2C"/>
            </w:tcBorders>
          </w:tcPr>
          <w:p>
            <w:pPr>
              <w:jc w:val="right"/>
              <w:ind w:right="14"/>
              <w:spacing w:after="0"/>
              <w:rPr>
                <w:sz w:val="20"/>
                <w:szCs w:val="20"/>
                <w:color w:val="auto"/>
              </w:rPr>
            </w:pPr>
            <w:r>
              <w:rPr>
                <w:rFonts w:ascii="Arial" w:cs="Arial" w:eastAsia="Arial" w:hAnsi="Arial"/>
                <w:sz w:val="18"/>
                <w:szCs w:val="18"/>
                <w:color w:val="0000FF"/>
              </w:rPr>
              <w:t>793</w:t>
            </w:r>
            <w:r>
              <w:rPr>
                <w:rFonts w:ascii="Arial" w:cs="Arial" w:eastAsia="Arial" w:hAnsi="Arial"/>
                <w:sz w:val="22"/>
                <w:szCs w:val="22"/>
                <w:color w:val="008000"/>
                <w:vertAlign w:val="superscript"/>
              </w:rPr>
              <w:t>(2)</w:t>
            </w:r>
          </w:p>
        </w:tc>
        <w:tc>
          <w:tcPr>
            <w:tcW w:w="7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54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71.93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40,352</w:t>
            </w: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color w:val="0000FF"/>
              </w:rPr>
              <w:t>DJM</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8"/>
              </w:rPr>
              <w:t>2,586</w:t>
            </w:r>
          </w:p>
        </w:tc>
        <w:tc>
          <w:tcPr>
            <w:tcW w:w="360" w:type="dxa"/>
            <w:vAlign w:val="bottom"/>
          </w:tcPr>
          <w:p>
            <w:pPr>
              <w:spacing w:after="0"/>
              <w:rPr>
                <w:sz w:val="18"/>
                <w:szCs w:val="18"/>
                <w:color w:val="auto"/>
              </w:rPr>
            </w:pPr>
          </w:p>
        </w:tc>
        <w:tc>
          <w:tcPr>
            <w:tcW w:w="560" w:type="dxa"/>
            <w:vAlign w:val="bottom"/>
            <w:vMerge w:val="restart"/>
          </w:tcPr>
          <w:p>
            <w:pPr>
              <w:jc w:val="center"/>
              <w:ind w:right="310"/>
              <w:spacing w:after="0"/>
              <w:rPr>
                <w:sz w:val="20"/>
                <w:szCs w:val="20"/>
                <w:color w:val="auto"/>
              </w:rPr>
            </w:pPr>
            <w:r>
              <w:rPr>
                <w:rFonts w:ascii="Arial" w:cs="Arial" w:eastAsia="Arial" w:hAnsi="Arial"/>
                <w:sz w:val="18"/>
                <w:szCs w:val="18"/>
                <w:color w:val="0000FF"/>
              </w:rPr>
              <w:t>I</w:t>
            </w:r>
          </w:p>
        </w:tc>
        <w:tc>
          <w:tcPr>
            <w:tcW w:w="960" w:type="dxa"/>
            <w:vAlign w:val="bottom"/>
            <w:gridSpan w:val="3"/>
          </w:tcPr>
          <w:p>
            <w:pPr>
              <w:ind w:left="60"/>
              <w:spacing w:after="0"/>
              <w:rPr>
                <w:sz w:val="20"/>
                <w:szCs w:val="20"/>
                <w:color w:val="auto"/>
              </w:rPr>
            </w:pPr>
            <w:r>
              <w:rPr>
                <w:rFonts w:ascii="Arial" w:cs="Arial" w:eastAsia="Arial" w:hAnsi="Arial"/>
                <w:sz w:val="18"/>
                <w:szCs w:val="18"/>
                <w:color w:val="0000FF"/>
              </w:rPr>
              <w:t>Family</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60" w:type="dxa"/>
            <w:vAlign w:val="bottom"/>
            <w:gridSpan w:val="3"/>
            <w:vMerge w:val="restart"/>
          </w:tcPr>
          <w:p>
            <w:pPr>
              <w:ind w:left="60"/>
              <w:spacing w:after="0"/>
              <w:rPr>
                <w:sz w:val="20"/>
                <w:szCs w:val="20"/>
                <w:color w:val="auto"/>
              </w:rPr>
            </w:pPr>
            <w:r>
              <w:rPr>
                <w:rFonts w:ascii="Arial" w:cs="Arial" w:eastAsia="Arial" w:hAnsi="Arial"/>
                <w:sz w:val="18"/>
                <w:szCs w:val="18"/>
                <w:color w:val="0000FF"/>
                <w:w w:val="95"/>
              </w:rPr>
              <w:t>Partnership</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gridSpan w:val="3"/>
          </w:tcPr>
          <w:p>
            <w:pPr>
              <w:ind w:left="60"/>
              <w:spacing w:after="0"/>
              <w:rPr>
                <w:sz w:val="20"/>
                <w:szCs w:val="20"/>
                <w:color w:val="auto"/>
              </w:rPr>
            </w:pPr>
            <w:r>
              <w:rPr>
                <w:rFonts w:ascii="Arial" w:cs="Arial" w:eastAsia="Arial" w:hAnsi="Arial"/>
                <w:sz w:val="18"/>
                <w:szCs w:val="18"/>
                <w:color w:val="0000FF"/>
              </w:rPr>
              <w:t>Ltd.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8"/>
              </w:rPr>
              <w:t>Table II - Derivative Securities Acquired, Disposed of, or Beneficially Owned</w:t>
            </w:r>
          </w:p>
        </w:tc>
        <w:tc>
          <w:tcPr>
            <w:tcW w:w="5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40" w:type="dxa"/>
            <w:vAlign w:val="bottom"/>
            <w:gridSpan w:val="9"/>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14"/>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gridSpan w:val="2"/>
            <w:vMerge w:val="restart"/>
          </w:tcPr>
          <w:p>
            <w:pPr>
              <w:jc w:val="right"/>
              <w:ind w:right="317"/>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right"/>
              <w:ind w:right="234"/>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80"/>
              <w:spacing w:after="0"/>
              <w:rPr>
                <w:sz w:val="20"/>
                <w:szCs w:val="20"/>
                <w:color w:val="auto"/>
              </w:rPr>
            </w:pPr>
            <w:r>
              <w:rPr>
                <w:rFonts w:ascii="Arial" w:cs="Arial" w:eastAsia="Arial" w:hAnsi="Arial"/>
                <w:sz w:val="14"/>
                <w:szCs w:val="14"/>
                <w:color w:val="0000FF"/>
              </w:rPr>
              <w:t>Ordinary</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1,762</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06/15/2019</w:t>
            </w:r>
          </w:p>
        </w:tc>
        <w:tc>
          <w:tcPr>
            <w:tcW w:w="1140" w:type="dxa"/>
            <w:vAlign w:val="bottom"/>
          </w:tcPr>
          <w:p>
            <w:pPr>
              <w:spacing w:after="0"/>
              <w:rPr>
                <w:sz w:val="5"/>
                <w:szCs w:val="5"/>
                <w:color w:val="auto"/>
              </w:rPr>
            </w:pPr>
          </w:p>
        </w:tc>
        <w:tc>
          <w:tcPr>
            <w:tcW w:w="48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340" w:type="dxa"/>
            <w:vAlign w:val="bottom"/>
          </w:tcPr>
          <w:p>
            <w:pPr>
              <w:spacing w:after="0"/>
              <w:rPr>
                <w:sz w:val="5"/>
                <w:szCs w:val="5"/>
                <w:color w:val="auto"/>
              </w:rPr>
            </w:pPr>
          </w:p>
        </w:tc>
        <w:tc>
          <w:tcPr>
            <w:tcW w:w="80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1,762</w:t>
            </w:r>
          </w:p>
        </w:tc>
        <w:tc>
          <w:tcPr>
            <w:tcW w:w="84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40" w:type="dxa"/>
            <w:vAlign w:val="bottom"/>
            <w:vMerge w:val="restart"/>
          </w:tcPr>
          <w:p>
            <w:pPr>
              <w:ind w:left="420"/>
              <w:spacing w:after="0" w:line="149" w:lineRule="exact"/>
              <w:rPr>
                <w:sz w:val="20"/>
                <w:szCs w:val="20"/>
                <w:color w:val="auto"/>
              </w:rPr>
            </w:pPr>
            <w:r>
              <w:rPr>
                <w:rFonts w:ascii="Arial" w:cs="Arial" w:eastAsia="Arial" w:hAnsi="Arial"/>
                <w:sz w:val="14"/>
                <w:szCs w:val="14"/>
                <w:color w:val="0000FF"/>
              </w:rPr>
              <w:t>0</w:t>
            </w:r>
          </w:p>
        </w:tc>
        <w:tc>
          <w:tcPr>
            <w:tcW w:w="360" w:type="dxa"/>
            <w:vAlign w:val="bottom"/>
          </w:tcPr>
          <w:p>
            <w:pPr>
              <w:spacing w:after="0"/>
              <w:rPr>
                <w:sz w:val="5"/>
                <w:szCs w:val="5"/>
                <w:color w:val="auto"/>
              </w:rPr>
            </w:pPr>
          </w:p>
        </w:tc>
        <w:tc>
          <w:tcPr>
            <w:tcW w:w="5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D</w:t>
            </w: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Shares</w:t>
            </w:r>
          </w:p>
        </w:tc>
        <w:tc>
          <w:tcPr>
            <w:tcW w:w="54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had vested restricted stock units (RSUs) settled in ordinary shares (Ordinary Shares) of LivaNova PLC (the Company), GBP 1.00 par value.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referenced shares were withheld from distribution at the request of reporting person to satisfy tax liability.</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RSU represents a contingent right to receive one Ordinary Share of the Company, GBP 1.00 par value, in accordance with the terms of the LivaNova PLC 2015 Incentive Award Plan (the Plan) and the award agreement.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was granted RSUs that vested and all forfeiture restrictions thereon lapsed on June 15, 2019.</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06/18/2019</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6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6" w:right="1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2019-12-24T08:56:08Z</dcterms:created>
  <dcterms:modified xsi:type="dcterms:W3CDTF">2019-12-24T08:56:08Z</dcterms:modified>
</cp:coreProperties>
</file>