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168910</wp:posOffset>
            </wp:positionV>
            <wp:extent cx="145732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44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236"/>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820"/>
        <w:spacing w:after="0" w:line="271"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7"/>
          <w:szCs w:val="27"/>
          <w:color w:val="auto"/>
          <w:vertAlign w:val="subscript"/>
        </w:rPr>
        <w:t>☐</w:t>
      </w:r>
    </w:p>
    <w:p>
      <w:pPr>
        <w:spacing w:after="0" w:line="200" w:lineRule="exact"/>
        <w:rPr>
          <w:sz w:val="24"/>
          <w:szCs w:val="24"/>
          <w:color w:val="auto"/>
        </w:rPr>
      </w:pPr>
    </w:p>
    <w:p>
      <w:pPr>
        <w:spacing w:after="0" w:line="27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64" w:right="339" w:bottom="1440" w:gutter="0" w:footer="0" w:header="0"/>
        </w:sectPr>
      </w:pPr>
    </w:p>
    <w:p>
      <w:pPr>
        <w:spacing w:after="0" w:line="6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r>
        <w:rPr>
          <w:rFonts w:ascii="Arial" w:cs="Arial" w:eastAsia="Arial" w:hAnsi="Arial"/>
          <w:sz w:val="18"/>
          <w:szCs w:val="18"/>
          <w:color w:val="auto"/>
        </w:rPr>
        <w: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29, 2020, LivaNova PLC (the “Company”) issued a press release announcing financial results for the second quarter ended June 30, 2020. The Company will host a business update conference call and webcast today, July 29, 2020, at 12 p.m. London time (7 a.m. Eastern Time), during which the Company will discuss the financial results. The conference call will be available to interested parties through a live audio webcast and accessible through the Investor Relations section of the LivaNova corporate website at www.livanova.com. A copy of the Company’s press release is furnished as Exhibit 99.1 on this Current Report on Form 8-K.</w:t>
      </w:r>
    </w:p>
    <w:p>
      <w:pPr>
        <w:spacing w:after="0" w:line="21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of LivaNova PLC dated July 29,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July 29,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1012" w:right="599" w:bottom="1440" w:gutter="0" w:footer="0" w:header="0"/>
        </w:sectPr>
      </w:pPr>
    </w:p>
    <w:bookmarkStart w:id="3" w:name="page4"/>
    <w:bookmarkEnd w:id="3"/>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6306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Second Quarter 2020 Results</w:t>
      </w:r>
    </w:p>
    <w:p>
      <w:pPr>
        <w:spacing w:after="0" w:line="327"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July 29, 2020 – </w:t>
      </w:r>
      <w:r>
        <w:rPr>
          <w:rFonts w:ascii="Arial" w:cs="Arial" w:eastAsia="Arial" w:hAnsi="Arial"/>
          <w:sz w:val="20"/>
          <w:szCs w:val="20"/>
          <w:color w:val="auto"/>
        </w:rPr>
        <w:t>LivaNova PLC (NASDAQ:LIVN),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June 30, 2020.</w:t>
      </w:r>
    </w:p>
    <w:p>
      <w:pPr>
        <w:spacing w:after="0" w:line="206"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For the second quarter of 2020, worldwide sales from continuing operations were $182.2 million, a decrease of 34.3 percent on a reported basis and a decline of 33.1 percent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compared to the same quarter of the previous year. On the basis of U.S. Generally Accepted Accounting Principles (GAAP), second quarter 2020 diluted loss per share from continuing operations was $1.81. Second quarter 2020 adjusted diluted loss per share from continuing operations was $0.15.</w:t>
      </w:r>
    </w:p>
    <w:p>
      <w:pPr>
        <w:spacing w:after="0" w:line="262"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"Responding to current conditions, we implemented actions to continue serving our patients, their families and physicians. At the same time, we significantly reduced expenses, improved liquidity and increased financial flexibility. I am proud of our employees' determination in overcoming the challenges created by COVID-19," said Damien McDonald, Chief Executive Officer of LivaNova. "While COVID-19 continues to impact our business, we are encouraged by several trends and achievements, including a gradual improvement in procedure volumes, the full commercial release of LifeSPARC</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in the U.S. and the launch of Perceval</w:t>
      </w:r>
      <w:r>
        <w:rPr>
          <w:rFonts w:ascii="Arial" w:cs="Arial" w:eastAsia="Arial" w:hAnsi="Arial"/>
          <w:sz w:val="29"/>
          <w:szCs w:val="29"/>
          <w:color w:val="auto"/>
          <w:vertAlign w:val="superscript"/>
        </w:rPr>
        <w:t>®</w:t>
      </w:r>
      <w:r>
        <w:rPr>
          <w:rFonts w:ascii="Arial" w:cs="Arial" w:eastAsia="Arial" w:hAnsi="Arial"/>
          <w:sz w:val="20"/>
          <w:szCs w:val="20"/>
          <w:color w:val="auto"/>
        </w:rPr>
        <w:t xml:space="preserve"> Plus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Constant-currency percent change is considered a non-GAAP metric.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Results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worldwide sales for the second quarter of 2020 by business: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3480" w:type="dxa"/>
            <w:vAlign w:val="bottom"/>
            <w:tcBorders>
              <w:top w:val="single" w:sz="8" w:color="auto"/>
              <w:right w:val="single" w:sz="8" w:color="auto"/>
            </w:tcBorders>
            <w:gridSpan w:val="3"/>
            <w:vMerge w:val="restart"/>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17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20"/>
                <w:szCs w:val="20"/>
                <w:b w:val="1"/>
                <w:bCs w:val="1"/>
                <w:color w:val="auto"/>
              </w:rPr>
              <w:t>Constant-</w:t>
            </w:r>
          </w:p>
        </w:tc>
        <w:tc>
          <w:tcPr>
            <w:tcW w:w="0" w:type="dxa"/>
            <w:vAlign w:val="bottom"/>
          </w:tcPr>
          <w:p>
            <w:pPr>
              <w:spacing w:after="0"/>
              <w:rPr>
                <w:sz w:val="1"/>
                <w:szCs w:val="1"/>
                <w:color w:val="auto"/>
              </w:rPr>
            </w:pPr>
          </w:p>
        </w:tc>
      </w:tr>
      <w:tr>
        <w:trPr>
          <w:trHeight w:val="134"/>
        </w:trPr>
        <w:tc>
          <w:tcPr>
            <w:tcW w:w="4280" w:type="dxa"/>
            <w:vAlign w:val="bottom"/>
            <w:tcBorders>
              <w:left w:val="single" w:sz="8" w:color="auto"/>
              <w:right w:val="single" w:sz="8" w:color="auto"/>
            </w:tcBorders>
          </w:tcPr>
          <w:p>
            <w:pPr>
              <w:spacing w:after="0"/>
              <w:rPr>
                <w:sz w:val="11"/>
                <w:szCs w:val="11"/>
                <w:color w:val="auto"/>
              </w:rPr>
            </w:pPr>
          </w:p>
        </w:tc>
        <w:tc>
          <w:tcPr>
            <w:tcW w:w="3480" w:type="dxa"/>
            <w:vAlign w:val="bottom"/>
            <w:tcBorders>
              <w:bottom w:val="single" w:sz="8" w:color="auto"/>
              <w:right w:val="single" w:sz="8" w:color="auto"/>
            </w:tcBorders>
            <w:gridSpan w:val="3"/>
            <w:vMerge w:val="continue"/>
          </w:tcPr>
          <w:p>
            <w:pPr>
              <w:spacing w:after="0"/>
              <w:rPr>
                <w:sz w:val="11"/>
                <w:szCs w:val="11"/>
                <w:color w:val="auto"/>
              </w:rPr>
            </w:pPr>
          </w:p>
        </w:tc>
        <w:tc>
          <w:tcPr>
            <w:tcW w:w="1740" w:type="dxa"/>
            <w:vAlign w:val="bottom"/>
            <w:tcBorders>
              <w:right w:val="single" w:sz="8" w:color="auto"/>
            </w:tcBorders>
            <w:vMerge w:val="restart"/>
          </w:tcPr>
          <w:p>
            <w:pPr>
              <w:jc w:val="right"/>
              <w:ind w:right="309"/>
              <w:spacing w:after="0" w:line="216" w:lineRule="exact"/>
              <w:rPr>
                <w:sz w:val="20"/>
                <w:szCs w:val="20"/>
                <w:color w:val="auto"/>
              </w:rPr>
            </w:pPr>
            <w:r>
              <w:rPr>
                <w:rFonts w:ascii="Arial" w:cs="Arial" w:eastAsia="Arial" w:hAnsi="Arial"/>
                <w:sz w:val="20"/>
                <w:szCs w:val="20"/>
                <w:b w:val="1"/>
                <w:bCs w:val="1"/>
                <w:color w:val="auto"/>
              </w:rPr>
              <w:t>% Change</w:t>
            </w:r>
          </w:p>
        </w:tc>
        <w:tc>
          <w:tcPr>
            <w:tcW w:w="1760" w:type="dxa"/>
            <w:vAlign w:val="bottom"/>
            <w:tcBorders>
              <w:right w:val="single" w:sz="8" w:color="auto"/>
            </w:tcBorders>
            <w:vMerge w:val="restart"/>
          </w:tcPr>
          <w:p>
            <w:pPr>
              <w:ind w:left="400"/>
              <w:spacing w:after="0" w:line="216" w:lineRule="exact"/>
              <w:rPr>
                <w:sz w:val="20"/>
                <w:szCs w:val="20"/>
                <w:color w:val="auto"/>
              </w:rPr>
            </w:pPr>
            <w:r>
              <w:rPr>
                <w:rFonts w:ascii="Arial" w:cs="Arial" w:eastAsia="Arial" w:hAnsi="Arial"/>
                <w:sz w:val="20"/>
                <w:szCs w:val="20"/>
                <w:b w:val="1"/>
                <w:bCs w:val="1"/>
                <w:color w:val="auto"/>
              </w:rPr>
              <w:t>Currency</w:t>
            </w:r>
          </w:p>
        </w:tc>
        <w:tc>
          <w:tcPr>
            <w:tcW w:w="0" w:type="dxa"/>
            <w:vAlign w:val="bottom"/>
          </w:tcPr>
          <w:p>
            <w:pPr>
              <w:spacing w:after="0"/>
              <w:rPr>
                <w:sz w:val="1"/>
                <w:szCs w:val="1"/>
                <w:color w:val="auto"/>
              </w:rPr>
            </w:pPr>
          </w:p>
        </w:tc>
      </w:tr>
      <w:tr>
        <w:trPr>
          <w:trHeight w:val="67"/>
        </w:trPr>
        <w:tc>
          <w:tcPr>
            <w:tcW w:w="4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Business / Product Line:</w:t>
            </w:r>
          </w:p>
        </w:tc>
        <w:tc>
          <w:tcPr>
            <w:tcW w:w="108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7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280" w:type="dxa"/>
            <w:vAlign w:val="bottom"/>
            <w:tcBorders>
              <w:left w:val="single" w:sz="8" w:color="auto"/>
              <w:right w:val="single" w:sz="8" w:color="auto"/>
            </w:tcBorders>
            <w:vMerge w:val="continue"/>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vMerge w:val="restart"/>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7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vMerge w:val="restart"/>
          </w:tcPr>
          <w:p>
            <w:pPr>
              <w:ind w:left="38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98"/>
        </w:trPr>
        <w:tc>
          <w:tcPr>
            <w:tcW w:w="4280" w:type="dxa"/>
            <w:vAlign w:val="bottom"/>
            <w:tcBorders>
              <w:left w:val="single" w:sz="8" w:color="auto"/>
              <w:bottom w:val="single" w:sz="8" w:color="auto"/>
              <w:right w:val="single" w:sz="8" w:color="auto"/>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vMerge w:val="continue"/>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Cardiopulmonary</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$101.1</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$130.6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Heart Valves</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17.5</w:t>
            </w:r>
          </w:p>
        </w:tc>
        <w:tc>
          <w:tcPr>
            <w:tcW w:w="17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33.4</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(47.6 %)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Advanced Circulatory Support</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6.0</w:t>
            </w:r>
          </w:p>
        </w:tc>
        <w:tc>
          <w:tcPr>
            <w:tcW w:w="17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8.3</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124.5</w:t>
            </w:r>
          </w:p>
        </w:tc>
        <w:tc>
          <w:tcPr>
            <w:tcW w:w="17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172.2</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57.2</w:t>
            </w:r>
          </w:p>
        </w:tc>
        <w:tc>
          <w:tcPr>
            <w:tcW w:w="17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104.3</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(45.1 %)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7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5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(34.3 %)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percent change is considered a non-GAAP metric.</w:t>
      </w:r>
    </w:p>
    <w:p>
      <w:pPr>
        <w:spacing w:after="0" w:line="310"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14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Cardiovascular sales, which include Cardiopulmonary, Heart Valves and Advanced Circulatory Support (ACS) products, were $124.5 million, representing a 26.2 percent decrease versus the second quarter of 2019.</w:t>
      </w:r>
    </w:p>
    <w:p>
      <w:pPr>
        <w:spacing w:after="0" w:line="230" w:lineRule="exact"/>
        <w:rPr>
          <w:sz w:val="20"/>
          <w:szCs w:val="20"/>
          <w:color w:val="auto"/>
        </w:rPr>
      </w:pPr>
    </w:p>
    <w:p>
      <w:pPr>
        <w:jc w:val="both"/>
        <w:ind w:right="20"/>
        <w:spacing w:after="0" w:line="366" w:lineRule="auto"/>
        <w:rPr>
          <w:sz w:val="20"/>
          <w:szCs w:val="20"/>
          <w:color w:val="auto"/>
        </w:rPr>
      </w:pPr>
      <w:r>
        <w:rPr>
          <w:rFonts w:ascii="Arial" w:cs="Arial" w:eastAsia="Arial" w:hAnsi="Arial"/>
          <w:sz w:val="20"/>
          <w:szCs w:val="20"/>
          <w:color w:val="auto"/>
        </w:rPr>
        <w:t>Sales in Cardiopulmonary products were $101.1 million, representing a 20.8 percent decline versus the second quarter of 2019. For the second quarter of 2020, the sales decrease was related to the impact of COVID-19 on cardiac surgery procedure volumes and a slow-down in capital equipment purchases.</w:t>
      </w:r>
    </w:p>
    <w:p>
      <w:pPr>
        <w:spacing w:after="0" w:line="1"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Heart Valve sales were $17.5 million, a decrease of 46.8 percent compared to the second quarter of 2019 due to the impact of COVID-19 on surgical valve replacement procedures.</w:t>
      </w:r>
    </w:p>
    <w:p>
      <w:pPr>
        <w:spacing w:after="0" w:line="230"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ACS sales were $6.0 million in the quarter, a decrease of 27.6 percent compared to the second quarter of 2019, as customers delayed purchases in anticipation of the LifeSPARC launch in the third quarter of this year.</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440" w:right="319" w:bottom="1440" w:gutter="0" w:footer="0" w:header="0"/>
        </w:sectPr>
      </w:pPr>
    </w:p>
    <w:bookmarkStart w:id="5" w:name="page6"/>
    <w:bookmarkEnd w:id="5"/>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Neuromodulation sales were $57.2 million in the second quarter, representing a 44.7 percent decrease versus the second quarter of 2019. This decline was primarily related to the impact of COVID-19 on procedure volumes globally.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95" w:lineRule="auto"/>
        <w:rPr>
          <w:sz w:val="20"/>
          <w:szCs w:val="20"/>
          <w:color w:val="auto"/>
        </w:rPr>
      </w:pPr>
      <w:r>
        <w:rPr>
          <w:rFonts w:ascii="Arial" w:cs="Arial" w:eastAsia="Arial" w:hAnsi="Arial"/>
          <w:sz w:val="19"/>
          <w:szCs w:val="19"/>
          <w:color w:val="auto"/>
        </w:rPr>
        <w:t>On a U.S. GAAP basis, second quarter 2020 operating loss from continuing operations was $15.2 million. Adjusted operating loss from continuing operations for the second quarter of 2020 was $4.2 million, a decrease of 109.5 percent as compared to the second quarter of 2019 related to the revenue impact from COVID-19, partially offset by reductions in discretionary spending.</w:t>
      </w:r>
    </w:p>
    <w:p>
      <w:pPr>
        <w:spacing w:after="0" w:line="21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adjusted effective tax rate in the quarter was 2.8 percent, as compared to 15.4 percent in the second quarter of 2019 related to changes in the geographic income mix and a partial valuation allowance in the U.S.</w:t>
      </w:r>
    </w:p>
    <w:p>
      <w:pPr>
        <w:spacing w:after="0" w:line="230"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second quarter 2020 diluted loss per share from continuing operations was $1.81. Second quarter 2020 adjusted diluted loss per share from continuing operations was $0.15, versus a gain of $0.70 per share in the second quarter of 2019.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Updated Guidance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LivaNova worldwide net sales for full-year 2020 are still expected to decline between 7 and 17 percent on a constant-currency basis. In the second quarter, we undertook actions to improve our liquidity and refinance our debt. As a result, adjusted diluted earnings per share from continuing operations for 2020 are expected to be in the range of $1.15 to $1.35, which reflects an incremental impact of $0.28 due to these financing activities.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 xml:space="preserve">The Company will host a live audio webcast for interested parties commencing at 12 p.m. London time (7 a.m. Eastern Time) on Wednesday, July 29 that will be accessible through the Investor Relations section of the LivaNova corporate website at </w:t>
      </w:r>
      <w:r>
        <w:rPr>
          <w:rFonts w:ascii="Arial" w:cs="Arial" w:eastAsia="Arial" w:hAnsi="Arial"/>
          <w:sz w:val="20"/>
          <w:szCs w:val="20"/>
          <w:u w:val="single" w:color="auto"/>
          <w:color w:val="0E32E1"/>
        </w:rPr>
        <w:t>www.livanova.com</w:t>
      </w:r>
      <w:r>
        <w:rPr>
          <w:rFonts w:ascii="Arial" w:cs="Arial" w:eastAsia="Arial" w:hAnsi="Arial"/>
          <w:sz w:val="20"/>
          <w:szCs w:val="20"/>
          <w:color w:val="0E32E1"/>
        </w:rPr>
        <w:t xml:space="preserve">. </w:t>
      </w:r>
      <w:r>
        <w:rPr>
          <w:rFonts w:ascii="Arial" w:cs="Arial" w:eastAsia="Arial" w:hAnsi="Arial"/>
          <w:sz w:val="20"/>
          <w:szCs w:val="20"/>
          <w:color w:val="000000"/>
        </w:rPr>
        <w:t>Listeners should log on approximately 10 minutes in advance to ensure proper setup to receive the webcast.</w:t>
      </w:r>
      <w:r>
        <w:rPr>
          <w:rFonts w:ascii="Arial" w:cs="Arial" w:eastAsia="Arial" w:hAnsi="Arial"/>
          <w:sz w:val="20"/>
          <w:szCs w:val="20"/>
          <w:color w:val="0E32E1"/>
        </w:rPr>
        <w:t xml:space="preserve"> </w:t>
      </w:r>
      <w:r>
        <w:rPr>
          <w:rFonts w:ascii="Arial" w:cs="Arial" w:eastAsia="Arial" w:hAnsi="Arial"/>
          <w:sz w:val="20"/>
          <w:szCs w:val="20"/>
          <w:color w:val="000000"/>
        </w:rPr>
        <w:t xml:space="preserve">To listen to the conference call by telephone, dial 844-239-5285 (if dialing from within the U.S. or Canada) or 512-961-6524 (if dialing from outside the U.S. or Canada). The conference ID is 9894538. Within 24 hours of the webcast, a replay will be available under the </w:t>
      </w:r>
      <w:r>
        <w:rPr>
          <w:rFonts w:ascii="Arial" w:cs="Arial" w:eastAsia="Arial" w:hAnsi="Arial"/>
          <w:sz w:val="20"/>
          <w:szCs w:val="20"/>
          <w:b w:val="1"/>
          <w:bCs w:val="1"/>
          <w:color w:val="000000"/>
        </w:rPr>
        <w:t>"News &amp; Events / Presentations"</w:t>
      </w:r>
      <w:r>
        <w:rPr>
          <w:rFonts w:ascii="Arial" w:cs="Arial" w:eastAsia="Arial" w:hAnsi="Arial"/>
          <w:sz w:val="20"/>
          <w:szCs w:val="20"/>
          <w:color w:val="000000"/>
        </w:rPr>
        <w:t xml:space="preserve"> section of the Investor Relations portion of the LivaNova website, where it will be archived and accessible for approximately 90 days.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08"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b w:val="1"/>
          <w:bCs w:val="1"/>
          <w:color w:val="auto"/>
        </w:rPr>
        <w:t>.</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1"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46"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4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08"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46"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2020,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and its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 (iv) 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raw material costs or availability, benefit or retirement plan costs, or other regulatory compliance costs; (xiii) the inability of LivaNova to meet expectations regarding the timing, completion and accounting of tax treatments; (xiv) and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4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23" w:lineRule="exact"/>
        <w:rPr>
          <w:sz w:val="20"/>
          <w:szCs w:val="20"/>
          <w:color w:val="auto"/>
        </w:rPr>
      </w:pPr>
    </w:p>
    <w:p>
      <w:pPr>
        <w:ind w:left="60"/>
        <w:spacing w:after="0" w:line="230" w:lineRule="exact"/>
        <w:rPr>
          <w:sz w:val="20"/>
          <w:szCs w:val="20"/>
          <w:color w:val="auto"/>
        </w:rPr>
      </w:pPr>
      <w:r>
        <w:rPr>
          <w:rFonts w:ascii="Arial" w:cs="Arial" w:eastAsia="Arial" w:hAnsi="Arial"/>
          <w:sz w:val="20"/>
          <w:szCs w:val="20"/>
          <w:b w:val="1"/>
          <w:bCs w:val="1"/>
          <w:color w:val="auto"/>
        </w:rPr>
        <w:t>Melissa Farina</w:t>
      </w:r>
      <w:r>
        <w:rPr>
          <w:rFonts w:ascii="MS PGothic" w:cs="MS PGothic" w:eastAsia="MS PGothic" w:hAnsi="MS PGothic"/>
          <w:sz w:val="20"/>
          <w:szCs w:val="20"/>
          <w:color w:val="auto"/>
        </w:rPr>
        <w:t> </w:t>
      </w:r>
      <w:r>
        <w:rPr>
          <w:rFonts w:ascii="Arial" w:cs="Arial" w:eastAsia="Arial" w:hAnsi="Arial"/>
          <w:sz w:val="20"/>
          <w:szCs w:val="20"/>
          <w:color w:val="auto"/>
        </w:rPr>
        <w:t>Vice President, Investor Relations</w:t>
      </w:r>
      <w:r>
        <w:rPr>
          <w:rFonts w:ascii="Arial" w:cs="Arial" w:eastAsia="Arial" w:hAnsi="Arial"/>
          <w:sz w:val="20"/>
          <w:szCs w:val="20"/>
          <w:b w:val="1"/>
          <w:bCs w:val="1"/>
          <w:color w:val="auto"/>
        </w:rPr>
        <w:t xml:space="preserve"> </w:t>
      </w:r>
      <w:r>
        <w:rPr>
          <w:rFonts w:ascii="MS PGothic" w:cs="MS PGothic" w:eastAsia="MS PGothic" w:hAnsi="MS PGothic"/>
          <w:sz w:val="20"/>
          <w:szCs w:val="20"/>
          <w:color w:val="auto"/>
        </w:rPr>
        <w:t> </w:t>
      </w:r>
      <w:r>
        <w:rPr>
          <w:rFonts w:ascii="Arial" w:cs="Arial" w:eastAsia="Arial" w:hAnsi="Arial"/>
          <w:sz w:val="20"/>
          <w:szCs w:val="20"/>
          <w:color w:val="auto"/>
        </w:rPr>
        <w:t>Phone: +1 (281) 228 7262</w:t>
      </w:r>
      <w:r>
        <w:rPr>
          <w:rFonts w:ascii="Arial" w:cs="Arial" w:eastAsia="Arial" w:hAnsi="Arial"/>
          <w:sz w:val="20"/>
          <w:szCs w:val="20"/>
          <w:b w:val="1"/>
          <w:bCs w:val="1"/>
          <w:color w:val="auto"/>
        </w:rPr>
        <w:t xml:space="preserve"> </w:t>
      </w:r>
      <w:r>
        <w:rPr>
          <w:rFonts w:ascii="MS PGothic" w:cs="MS PGothic" w:eastAsia="MS PGothic" w:hAnsi="MS PGothic"/>
          <w:sz w:val="20"/>
          <w:szCs w:val="20"/>
          <w:color w:val="auto"/>
        </w:rPr>
        <w:t> </w:t>
      </w: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LIVANOVA PLC</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NET SALES</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(U.S. dollars in millions)</w:t>
      </w:r>
    </w:p>
    <w:p>
      <w:pPr>
        <w:spacing w:after="0" w:line="54" w:lineRule="exact"/>
        <w:rPr>
          <w:sz w:val="20"/>
          <w:szCs w:val="20"/>
          <w:color w:val="auto"/>
        </w:rPr>
      </w:pPr>
    </w:p>
    <w:tbl>
      <w:tblPr>
        <w:tblLayout w:type="fixed"/>
        <w:tblInd w:w="1" w:type="dxa"/>
        <w:tblCellMar>
          <w:top w:w="0" w:type="dxa"/>
          <w:left w:w="0" w:type="dxa"/>
          <w:bottom w:w="0" w:type="dxa"/>
          <w:right w:w="0" w:type="dxa"/>
        </w:tblCellMar>
      </w:tblPr>
      <w:tr>
        <w:trPr>
          <w:trHeight w:val="246"/>
        </w:trPr>
        <w:tc>
          <w:tcPr>
            <w:tcW w:w="46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Three Months Ended June 30,</w:t>
            </w: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 at Actual</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Currency Rates</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152"/>
              <w:spacing w:after="0" w:line="216" w:lineRule="exact"/>
              <w:rPr>
                <w:sz w:val="20"/>
                <w:szCs w:val="20"/>
                <w:color w:val="auto"/>
              </w:rPr>
            </w:pPr>
            <w:r>
              <w:rPr>
                <w:rFonts w:ascii="Arial" w:cs="Arial" w:eastAsia="Arial" w:hAnsi="Arial"/>
                <w:sz w:val="16"/>
                <w:szCs w:val="16"/>
                <w:b w:val="1"/>
                <w:bCs w:val="1"/>
                <w:color w:val="auto"/>
              </w:rPr>
              <w:t>Currency Rates</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4"/>
        </w:trPr>
        <w:tc>
          <w:tcPr>
            <w:tcW w:w="4620" w:type="dxa"/>
            <w:vAlign w:val="bottom"/>
          </w:tcPr>
          <w:p>
            <w:pPr>
              <w:ind w:left="80"/>
              <w:spacing w:after="0"/>
              <w:rPr>
                <w:sz w:val="20"/>
                <w:szCs w:val="20"/>
                <w:color w:val="auto"/>
              </w:rPr>
            </w:pPr>
            <w:r>
              <w:rPr>
                <w:rFonts w:ascii="Arial" w:cs="Arial" w:eastAsia="Arial" w:hAnsi="Arial"/>
                <w:sz w:val="16"/>
                <w:szCs w:val="16"/>
                <w:b w:val="1"/>
                <w:bCs w:val="1"/>
                <w:color w:val="auto"/>
              </w:rPr>
              <w:t>Cardiopulmonary</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7"/>
                <w:szCs w:val="17"/>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$41.4</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(37.6) %</w:t>
            </w:r>
          </w:p>
        </w:tc>
        <w:tc>
          <w:tcPr>
            <w:tcW w:w="12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63"/>
        </w:trPr>
        <w:tc>
          <w:tcPr>
            <w:tcW w:w="46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34.3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63"/>
        </w:trPr>
        <w:tc>
          <w:tcPr>
            <w:tcW w:w="46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0"/>
        </w:trPr>
        <w:tc>
          <w:tcPr>
            <w:tcW w:w="46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130.6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0"/>
        </w:trPr>
        <w:tc>
          <w:tcPr>
            <w:tcW w:w="4620" w:type="dxa"/>
            <w:vAlign w:val="bottom"/>
          </w:tcPr>
          <w:p>
            <w:pPr>
              <w:ind w:left="80"/>
              <w:spacing w:after="0"/>
              <w:rPr>
                <w:sz w:val="20"/>
                <w:szCs w:val="20"/>
                <w:color w:val="auto"/>
              </w:rPr>
            </w:pPr>
            <w:r>
              <w:rPr>
                <w:rFonts w:ascii="Arial" w:cs="Arial" w:eastAsia="Arial" w:hAnsi="Arial"/>
                <w:sz w:val="16"/>
                <w:szCs w:val="16"/>
                <w:b w:val="1"/>
                <w:bCs w:val="1"/>
                <w:color w:val="auto"/>
              </w:rPr>
              <w:t>Heart Valves</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4.7</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(46.8)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63"/>
        </w:trPr>
        <w:tc>
          <w:tcPr>
            <w:tcW w:w="46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(49.9)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63"/>
        </w:trPr>
        <w:tc>
          <w:tcPr>
            <w:tcW w:w="46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(46.5)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50"/>
        </w:trPr>
        <w:tc>
          <w:tcPr>
            <w:tcW w:w="46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(47.6)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10"/>
        </w:trPr>
        <w:tc>
          <w:tcPr>
            <w:tcW w:w="4620" w:type="dxa"/>
            <w:vAlign w:val="bottom"/>
          </w:tcPr>
          <w:p>
            <w:pPr>
              <w:ind w:left="80"/>
              <w:spacing w:after="0"/>
              <w:rPr>
                <w:sz w:val="20"/>
                <w:szCs w:val="20"/>
                <w:color w:val="auto"/>
              </w:rPr>
            </w:pPr>
            <w:r>
              <w:rPr>
                <w:rFonts w:ascii="Arial" w:cs="Arial" w:eastAsia="Arial" w:hAnsi="Arial"/>
                <w:sz w:val="16"/>
                <w:szCs w:val="16"/>
                <w:b w:val="1"/>
                <w:bCs w:val="1"/>
                <w:color w:val="auto"/>
              </w:rPr>
              <w:t>Advanced Circulatory Support</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7.9</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(28.7)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62"/>
        </w:trPr>
        <w:tc>
          <w:tcPr>
            <w:tcW w:w="46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900" w:type="dxa"/>
            <w:vAlign w:val="bottom"/>
            <w:gridSpan w:val="2"/>
          </w:tcPr>
          <w:p>
            <w:pPr>
              <w:ind w:left="150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3"/>
        </w:trPr>
        <w:tc>
          <w:tcPr>
            <w:tcW w:w="46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900" w:type="dxa"/>
            <w:vAlign w:val="bottom"/>
            <w:gridSpan w:val="2"/>
          </w:tcPr>
          <w:p>
            <w:pPr>
              <w:ind w:left="150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50"/>
        </w:trPr>
        <w:tc>
          <w:tcPr>
            <w:tcW w:w="46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54.0</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45.2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(35.9)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73.0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80.6</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(45.1)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(50.6)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(38.6)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(45.1)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80"/>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900" w:type="dxa"/>
            <w:vAlign w:val="bottom"/>
            <w:gridSpan w:val="2"/>
          </w:tcPr>
          <w:p>
            <w:pPr>
              <w:ind w:left="150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4620" w:type="dxa"/>
            <w:vAlign w:val="bottom"/>
          </w:tcPr>
          <w:p>
            <w:pPr>
              <w:ind w:left="80"/>
              <w:spacing w:after="0"/>
              <w:rPr>
                <w:sz w:val="20"/>
                <w:szCs w:val="20"/>
                <w:color w:val="auto"/>
              </w:rPr>
            </w:pPr>
            <w:r>
              <w:rPr>
                <w:rFonts w:ascii="Arial" w:cs="Arial" w:eastAsia="Arial" w:hAnsi="Arial"/>
                <w:sz w:val="16"/>
                <w:szCs w:val="16"/>
                <w:color w:val="auto"/>
              </w:rPr>
              <w:t>Europe</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900" w:type="dxa"/>
            <w:vAlign w:val="bottom"/>
            <w:gridSpan w:val="2"/>
          </w:tcPr>
          <w:p>
            <w:pPr>
              <w:ind w:left="150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46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134.6</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(41.9)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58.2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63"/>
        </w:trPr>
        <w:tc>
          <w:tcPr>
            <w:tcW w:w="46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56"/>
        </w:trPr>
        <w:tc>
          <w:tcPr>
            <w:tcW w:w="46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$277.2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(34.3)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1" w:right="20" w:hanging="401"/>
        <w:spacing w:after="0" w:line="258" w:lineRule="auto"/>
        <w:tabs>
          <w:tab w:leader="none" w:pos="401"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401" w:hanging="401"/>
        <w:spacing w:after="0"/>
        <w:tabs>
          <w:tab w:leader="none" w:pos="4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1"/>
          </w:cols>
          <w:pgMar w:left="359" w:top="1440" w:right="359" w:bottom="1440" w:gutter="0" w:footer="0" w:header="0"/>
        </w:sectPr>
      </w:pPr>
    </w:p>
    <w:bookmarkStart w:id="11" w:name="page12"/>
    <w:bookmarkEnd w:id="11"/>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LIVANOVA PLC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Six Months Ended June 30,</w:t>
            </w: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 at Actual</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Currency Rates</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132"/>
              <w:spacing w:after="0" w:line="216" w:lineRule="exact"/>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4"/>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Cardiopulmonary</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$80.5</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62"/>
        </w:trPr>
        <w:tc>
          <w:tcPr>
            <w:tcW w:w="464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69.9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0"/>
        </w:trPr>
        <w:tc>
          <w:tcPr>
            <w:tcW w:w="4640" w:type="dxa"/>
            <w:vAlign w:val="bottom"/>
          </w:tcPr>
          <w:p>
            <w:pPr>
              <w:ind w:left="3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252.1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Heart Valves</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9.0</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(35.1)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50"/>
        </w:trPr>
        <w:tc>
          <w:tcPr>
            <w:tcW w:w="4640" w:type="dxa"/>
            <w:vAlign w:val="bottom"/>
          </w:tcPr>
          <w:p>
            <w:pPr>
              <w:ind w:left="3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Advanced Circulatory Support</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16.0</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920" w:type="dxa"/>
            <w:vAlign w:val="bottom"/>
            <w:gridSpan w:val="2"/>
          </w:tcPr>
          <w:p>
            <w:pPr>
              <w:ind w:left="152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920" w:type="dxa"/>
            <w:vAlign w:val="bottom"/>
            <w:gridSpan w:val="2"/>
          </w:tcPr>
          <w:p>
            <w:pPr>
              <w:ind w:left="152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50"/>
        </w:trPr>
        <w:tc>
          <w:tcPr>
            <w:tcW w:w="4640" w:type="dxa"/>
            <w:vAlign w:val="bottom"/>
          </w:tcPr>
          <w:p>
            <w:pPr>
              <w:ind w:left="3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105.5</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4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91.4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130.8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327.7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157.4</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4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23.7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198.9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(26.2)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00"/>
              <w:spacing w:after="0"/>
              <w:rPr>
                <w:sz w:val="20"/>
                <w:szCs w:val="20"/>
                <w:color w:val="auto"/>
              </w:rPr>
            </w:pPr>
            <w:r>
              <w:rPr>
                <w:rFonts w:ascii="Arial" w:cs="Arial" w:eastAsia="Arial" w:hAnsi="Arial"/>
                <w:sz w:val="16"/>
                <w:szCs w:val="16"/>
                <w:color w:val="auto"/>
              </w:rPr>
              <w:t>US</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4640" w:type="dxa"/>
            <w:vAlign w:val="bottom"/>
          </w:tcPr>
          <w:p>
            <w:pPr>
              <w:ind w:left="100"/>
              <w:spacing w:after="0"/>
              <w:rPr>
                <w:sz w:val="20"/>
                <w:szCs w:val="20"/>
                <w:color w:val="auto"/>
              </w:rPr>
            </w:pPr>
            <w:r>
              <w:rPr>
                <w:rFonts w:ascii="Arial" w:cs="Arial" w:eastAsia="Arial" w:hAnsi="Arial"/>
                <w:sz w:val="16"/>
                <w:szCs w:val="16"/>
                <w:color w:val="auto"/>
              </w:rPr>
              <w:t>Europe</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464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1.3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20" w:type="dxa"/>
            <w:vAlign w:val="bottom"/>
            <w:vMerge w:val="restart"/>
          </w:tcPr>
          <w:p>
            <w:pPr>
              <w:jc w:val="right"/>
              <w:ind w:right="5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263.0</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9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2"/>
                <w:szCs w:val="22"/>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63"/>
        </w:trPr>
        <w:tc>
          <w:tcPr>
            <w:tcW w:w="464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56"/>
        </w:trPr>
        <w:tc>
          <w:tcPr>
            <w:tcW w:w="464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$528.0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20" w:right="20" w:hanging="414"/>
        <w:spacing w:after="0" w:line="258"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420" w:hanging="414"/>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40" w:right="339" w:bottom="1440" w:gutter="0" w:footer="0" w:header="0"/>
        </w:sectPr>
      </w:pPr>
    </w:p>
    <w:bookmarkStart w:id="12" w:name="page13"/>
    <w:bookmarkEnd w:id="12"/>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5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720" w:type="dxa"/>
            <w:vAlign w:val="bottom"/>
            <w:tcBorders>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8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20"/>
                <w:szCs w:val="20"/>
                <w:color w:val="auto"/>
              </w:rPr>
            </w:pPr>
            <w:r>
              <w:rPr>
                <w:rFonts w:ascii="Arial" w:cs="Arial" w:eastAsia="Arial" w:hAnsi="Arial"/>
                <w:sz w:val="16"/>
                <w:szCs w:val="16"/>
                <w:color w:val="auto"/>
              </w:rPr>
              <w:t>Net sales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6"/>
                <w:szCs w:val="16"/>
                <w:color w:val="auto"/>
              </w:rPr>
              <w:t>Costs and expenses:</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Cost of sales - exclusive of amortization</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Product remediation</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Merger and integration expenses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Restructuring expenses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Impairment of intangible assets</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Amortization of intangibles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Litigation provision, net</w:t>
            </w:r>
          </w:p>
        </w:tc>
        <w:tc>
          <w:tcPr>
            <w:tcW w:w="17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6"/>
                <w:szCs w:val="16"/>
                <w:color w:val="auto"/>
              </w:rPr>
              <w:t>Operating loss from 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0" w:type="dxa"/>
            <w:vAlign w:val="bottom"/>
          </w:tcPr>
          <w:p>
            <w:pPr>
              <w:spacing w:after="0"/>
              <w:rPr>
                <w:sz w:val="1"/>
                <w:szCs w:val="1"/>
                <w:color w:val="auto"/>
              </w:rPr>
            </w:pPr>
          </w:p>
        </w:tc>
      </w:tr>
      <w:tr>
        <w:trPr>
          <w:trHeight w:val="224"/>
        </w:trPr>
        <w:tc>
          <w:tcPr>
            <w:tcW w:w="574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7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Foreign exchange and other losses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6"/>
                <w:szCs w:val="16"/>
                <w:color w:val="auto"/>
              </w:rPr>
              <w:t>Loss from continuing operations before tax</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37"/>
        </w:trPr>
        <w:tc>
          <w:tcPr>
            <w:tcW w:w="5740" w:type="dxa"/>
            <w:vAlign w:val="bottom"/>
          </w:tcPr>
          <w:p>
            <w:pPr>
              <w:ind w:left="100"/>
              <w:spacing w:after="0"/>
              <w:rPr>
                <w:sz w:val="20"/>
                <w:szCs w:val="20"/>
                <w:color w:val="auto"/>
              </w:rPr>
            </w:pPr>
            <w:r>
              <w:rPr>
                <w:rFonts w:ascii="Arial" w:cs="Arial" w:eastAsia="Arial" w:hAnsi="Arial"/>
                <w:sz w:val="16"/>
                <w:szCs w:val="16"/>
                <w:color w:val="auto"/>
              </w:rPr>
              <w:t>Income tax expense (benefit)</w:t>
            </w:r>
          </w:p>
        </w:tc>
        <w:tc>
          <w:tcPr>
            <w:tcW w:w="17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199.3 %</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6"/>
                <w:szCs w:val="16"/>
                <w:color w:val="auto"/>
              </w:rPr>
              <w:t>Net income from discontinued operations, net of tax</w:t>
            </w:r>
          </w:p>
        </w:tc>
        <w:tc>
          <w:tcPr>
            <w:tcW w:w="17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6"/>
                <w:szCs w:val="16"/>
                <w:color w:val="auto"/>
              </w:rPr>
              <w:t>Net loss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201.4 %</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Basic loss per share:</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6"/>
                <w:szCs w:val="16"/>
                <w:color w:val="auto"/>
              </w:rPr>
              <w:t>Diluted loss per share:</w:t>
            </w: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Basic</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Diluted</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40" w:right="339" w:bottom="1440" w:gutter="0" w:footer="0" w:header="0"/>
        </w:sectPr>
      </w:pPr>
    </w:p>
    <w:bookmarkStart w:id="13" w:name="page14"/>
    <w:bookmarkEnd w:id="13"/>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w w:val="99"/>
              </w:rPr>
              <w:t>Adjusted Financial Measures (U.S. dollars in millions, except per share amounts)</w:t>
            </w: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79"/>
        </w:trPr>
        <w:tc>
          <w:tcPr>
            <w:tcW w:w="6340" w:type="dxa"/>
            <w:vAlign w:val="bottom"/>
          </w:tcPr>
          <w:p>
            <w:pPr>
              <w:spacing w:after="0"/>
              <w:rPr>
                <w:sz w:val="24"/>
                <w:szCs w:val="24"/>
                <w:color w:val="auto"/>
              </w:rPr>
            </w:pPr>
          </w:p>
        </w:tc>
        <w:tc>
          <w:tcPr>
            <w:tcW w:w="3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1400" w:type="dxa"/>
            <w:vAlign w:val="bottom"/>
          </w:tcPr>
          <w:p>
            <w:pPr>
              <w:spacing w:after="0"/>
              <w:rPr>
                <w:sz w:val="24"/>
                <w:szCs w:val="24"/>
                <w:color w:val="auto"/>
              </w:rPr>
            </w:pPr>
          </w:p>
        </w:tc>
      </w:tr>
      <w:tr>
        <w:trPr>
          <w:trHeight w:val="299"/>
        </w:trPr>
        <w:tc>
          <w:tcPr>
            <w:tcW w:w="79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ind w:left="440"/>
              <w:spacing w:after="0"/>
              <w:rPr>
                <w:sz w:val="20"/>
                <w:szCs w:val="20"/>
                <w:color w:val="auto"/>
              </w:rPr>
            </w:pPr>
            <w:r>
              <w:rPr>
                <w:rFonts w:ascii="Arial" w:cs="Arial" w:eastAsia="Arial" w:hAnsi="Arial"/>
                <w:sz w:val="16"/>
                <w:szCs w:val="16"/>
                <w:b w:val="1"/>
                <w:bCs w:val="1"/>
                <w:color w:val="auto"/>
                <w:w w:val="94"/>
              </w:rPr>
              <w:t xml:space="preserve">% Change </w:t>
            </w:r>
            <w:r>
              <w:rPr>
                <w:rFonts w:ascii="Arial" w:cs="Arial" w:eastAsia="Arial" w:hAnsi="Arial"/>
                <w:sz w:val="21"/>
                <w:szCs w:val="21"/>
                <w:b w:val="1"/>
                <w:bCs w:val="1"/>
                <w:color w:val="auto"/>
                <w:w w:val="94"/>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-26035</wp:posOffset>
            </wp:positionV>
            <wp:extent cx="3103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operating (loss) income from continuing operations </w:t>
      </w:r>
      <w:r>
        <w:rPr>
          <w:rFonts w:ascii="Arial" w:cs="Arial" w:eastAsia="Arial" w:hAnsi="Arial"/>
          <w:sz w:val="21"/>
          <w:szCs w:val="21"/>
          <w:color w:val="auto"/>
          <w:vertAlign w:val="superscript"/>
        </w:rPr>
        <w:t>(1)</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Adjusted net (loss) income from continuing operations </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6"/>
          <w:szCs w:val="16"/>
          <w:color w:val="auto"/>
        </w:rPr>
        <w:t xml:space="preserve">Adjusted diluted (loss) earnings per share from continuing operations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499"/>
              <w:spacing w:after="0"/>
              <w:rPr>
                <w:sz w:val="20"/>
                <w:szCs w:val="20"/>
                <w:color w:val="auto"/>
              </w:rPr>
            </w:pPr>
            <w:r>
              <w:rPr>
                <w:rFonts w:ascii="Arial" w:cs="Arial" w:eastAsia="Arial" w:hAnsi="Arial"/>
                <w:sz w:val="16"/>
                <w:szCs w:val="16"/>
                <w:color w:val="auto"/>
              </w:rPr>
              <w:t>$79.7</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$108.1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(26.3 %)</w:t>
            </w:r>
          </w:p>
        </w:tc>
      </w:tr>
      <w:tr>
        <w:trPr>
          <w:trHeight w:val="243"/>
        </w:trPr>
        <w:tc>
          <w:tcPr>
            <w:tcW w:w="1060" w:type="dxa"/>
            <w:vAlign w:val="bottom"/>
          </w:tcPr>
          <w:p>
            <w:pPr>
              <w:jc w:val="right"/>
              <w:ind w:right="499"/>
              <w:spacing w:after="0"/>
              <w:rPr>
                <w:sz w:val="20"/>
                <w:szCs w:val="20"/>
                <w:color w:val="auto"/>
              </w:rPr>
            </w:pPr>
            <w:r>
              <w:rPr>
                <w:rFonts w:ascii="Arial" w:cs="Arial" w:eastAsia="Arial" w:hAnsi="Arial"/>
                <w:sz w:val="16"/>
                <w:szCs w:val="16"/>
                <w:color w:val="auto"/>
              </w:rPr>
              <w:t>35.2</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39.7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(11.3 %)</w:t>
            </w:r>
          </w:p>
        </w:tc>
      </w:tr>
      <w:tr>
        <w:trPr>
          <w:trHeight w:val="243"/>
        </w:trPr>
        <w:tc>
          <w:tcPr>
            <w:tcW w:w="1060" w:type="dxa"/>
            <w:vAlign w:val="bottom"/>
          </w:tcPr>
          <w:p>
            <w:pPr>
              <w:jc w:val="right"/>
              <w:ind w:right="459"/>
              <w:spacing w:after="0"/>
              <w:rPr>
                <w:sz w:val="20"/>
                <w:szCs w:val="20"/>
                <w:color w:val="auto"/>
              </w:rPr>
            </w:pPr>
            <w:r>
              <w:rPr>
                <w:rFonts w:ascii="Arial" w:cs="Arial" w:eastAsia="Arial" w:hAnsi="Arial"/>
                <w:sz w:val="16"/>
                <w:szCs w:val="16"/>
                <w:color w:val="auto"/>
              </w:rPr>
              <w:t>(4.2)</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44.2</w:t>
            </w:r>
          </w:p>
        </w:tc>
        <w:tc>
          <w:tcPr>
            <w:tcW w:w="1080" w:type="dxa"/>
            <w:vAlign w:val="bottom"/>
          </w:tcPr>
          <w:p>
            <w:pPr>
              <w:jc w:val="right"/>
              <w:spacing w:after="0"/>
              <w:rPr>
                <w:sz w:val="20"/>
                <w:szCs w:val="20"/>
                <w:color w:val="auto"/>
              </w:rPr>
            </w:pPr>
            <w:r>
              <w:rPr>
                <w:rFonts w:ascii="Arial" w:cs="Arial" w:eastAsia="Arial" w:hAnsi="Arial"/>
                <w:sz w:val="16"/>
                <w:szCs w:val="16"/>
                <w:color w:val="auto"/>
              </w:rPr>
              <w:t>(109.5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060" w:type="dxa"/>
            <w:vAlign w:val="bottom"/>
          </w:tcPr>
          <w:p>
            <w:pPr>
              <w:jc w:val="right"/>
              <w:ind w:right="459"/>
              <w:spacing w:after="0"/>
              <w:rPr>
                <w:sz w:val="20"/>
                <w:szCs w:val="20"/>
                <w:color w:val="auto"/>
              </w:rPr>
            </w:pPr>
            <w:r>
              <w:rPr>
                <w:rFonts w:ascii="Arial" w:cs="Arial" w:eastAsia="Arial" w:hAnsi="Arial"/>
                <w:sz w:val="16"/>
                <w:szCs w:val="16"/>
                <w:color w:val="auto"/>
              </w:rPr>
              <w:t>(7.5)</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34.3</w:t>
            </w:r>
          </w:p>
        </w:tc>
        <w:tc>
          <w:tcPr>
            <w:tcW w:w="1080" w:type="dxa"/>
            <w:vAlign w:val="bottom"/>
          </w:tcPr>
          <w:p>
            <w:pPr>
              <w:jc w:val="right"/>
              <w:spacing w:after="0"/>
              <w:rPr>
                <w:sz w:val="20"/>
                <w:szCs w:val="20"/>
                <w:color w:val="auto"/>
              </w:rPr>
            </w:pPr>
            <w:r>
              <w:rPr>
                <w:rFonts w:ascii="Arial" w:cs="Arial" w:eastAsia="Arial" w:hAnsi="Arial"/>
                <w:sz w:val="16"/>
                <w:szCs w:val="16"/>
                <w:color w:val="auto"/>
              </w:rPr>
              <w:t>(121.9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060" w:type="dxa"/>
            <w:vAlign w:val="bottom"/>
          </w:tcPr>
          <w:p>
            <w:pPr>
              <w:jc w:val="right"/>
              <w:ind w:right="459"/>
              <w:spacing w:after="0"/>
              <w:rPr>
                <w:sz w:val="20"/>
                <w:szCs w:val="20"/>
                <w:color w:val="auto"/>
              </w:rPr>
            </w:pPr>
            <w:r>
              <w:rPr>
                <w:rFonts w:ascii="Arial" w:cs="Arial" w:eastAsia="Arial" w:hAnsi="Arial"/>
                <w:sz w:val="16"/>
                <w:szCs w:val="16"/>
                <w:color w:val="auto"/>
                <w:w w:val="98"/>
              </w:rPr>
              <w:t>($0.15)</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$0.70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(121.4 %)</w:t>
            </w:r>
          </w:p>
        </w:tc>
      </w:tr>
    </w:tbl>
    <w:p>
      <w:pPr>
        <w:spacing w:after="0" w:line="159" w:lineRule="exact"/>
        <w:rPr>
          <w:sz w:val="20"/>
          <w:szCs w:val="20"/>
          <w:color w:val="auto"/>
        </w:rPr>
      </w:pPr>
    </w:p>
    <w:p>
      <w:pPr>
        <w:sectPr>
          <w:pgSz w:w="11900" w:h="16838" w:orient="portrait"/>
          <w:cols w:equalWidth="0" w:num="2">
            <w:col w:w="6500" w:space="720"/>
            <w:col w:w="4000"/>
          </w:cols>
          <w:pgMar w:left="340" w:top="1440" w:right="339" w:bottom="1440" w:gutter="0" w:footer="0" w:header="0"/>
          <w:type w:val="continuous"/>
        </w:sectPr>
      </w:pPr>
    </w:p>
    <w:p>
      <w:pPr>
        <w:ind w:left="460" w:right="20" w:hanging="330"/>
        <w:spacing w:after="0" w:line="258"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1"/>
                <w:szCs w:val="21"/>
                <w:color w:val="auto"/>
              </w:rPr>
            </w:pPr>
          </w:p>
        </w:tc>
        <w:tc>
          <w:tcPr>
            <w:tcW w:w="402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6"/>
                <w:szCs w:val="16"/>
                <w:b w:val="1"/>
                <w:bCs w:val="1"/>
                <w:color w:val="auto"/>
              </w:rPr>
              <w:t>GAAP Three Months Ended June 30,</w:t>
            </w:r>
          </w:p>
        </w:tc>
        <w:tc>
          <w:tcPr>
            <w:tcW w:w="100" w:type="dxa"/>
            <w:vAlign w:val="bottom"/>
          </w:tcPr>
          <w:p>
            <w:pPr>
              <w:spacing w:after="0"/>
              <w:rPr>
                <w:sz w:val="21"/>
                <w:szCs w:val="21"/>
                <w:color w:val="auto"/>
              </w:rPr>
            </w:pPr>
          </w:p>
        </w:tc>
        <w:tc>
          <w:tcPr>
            <w:tcW w:w="400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Three Months Ended June 30,</w:t>
            </w:r>
          </w:p>
        </w:tc>
      </w:tr>
      <w:tr>
        <w:trPr>
          <w:trHeight w:val="243"/>
        </w:trPr>
        <w:tc>
          <w:tcPr>
            <w:tcW w:w="3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98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rPr>
              <w:t>2019</w:t>
            </w:r>
          </w:p>
        </w:tc>
      </w:tr>
      <w:tr>
        <w:trPr>
          <w:trHeight w:val="224"/>
        </w:trPr>
        <w:tc>
          <w:tcPr>
            <w:tcW w:w="43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60" w:type="dxa"/>
            <w:vAlign w:val="bottom"/>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71.1 %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60.7 %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69.3 %</w:t>
            </w:r>
          </w:p>
        </w:tc>
      </w:tr>
      <w:tr>
        <w:trPr>
          <w:trHeight w:val="243"/>
        </w:trPr>
        <w:tc>
          <w:tcPr>
            <w:tcW w:w="430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60" w:type="dxa"/>
            <w:vAlign w:val="bottom"/>
          </w:tcPr>
          <w:p>
            <w:pPr>
              <w:jc w:val="right"/>
              <w:spacing w:after="0"/>
              <w:rPr>
                <w:sz w:val="20"/>
                <w:szCs w:val="20"/>
                <w:color w:val="auto"/>
              </w:rPr>
            </w:pPr>
            <w:r>
              <w:rPr>
                <w:rFonts w:ascii="Arial" w:cs="Arial" w:eastAsia="Arial" w:hAnsi="Arial"/>
                <w:sz w:val="16"/>
                <w:szCs w:val="16"/>
                <w:color w:val="auto"/>
              </w:rPr>
              <w:t>53.8 %</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45.9 %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43.7 %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39.0 %</w:t>
            </w:r>
          </w:p>
        </w:tc>
      </w:tr>
      <w:tr>
        <w:trPr>
          <w:trHeight w:val="243"/>
        </w:trPr>
        <w:tc>
          <w:tcPr>
            <w:tcW w:w="4300" w:type="dxa"/>
            <w:vAlign w:val="bottom"/>
            <w:gridSpan w:val="2"/>
          </w:tcPr>
          <w:p>
            <w:pPr>
              <w:spacing w:after="0"/>
              <w:rPr>
                <w:sz w:val="20"/>
                <w:szCs w:val="20"/>
                <w:color w:val="auto"/>
              </w:rPr>
            </w:pPr>
            <w:r>
              <w:rPr>
                <w:rFonts w:ascii="Arial" w:cs="Arial" w:eastAsia="Arial" w:hAnsi="Arial"/>
                <w:sz w:val="16"/>
                <w:szCs w:val="16"/>
                <w:color w:val="auto"/>
              </w:rPr>
              <w:t>R&amp;D</w:t>
            </w:r>
          </w:p>
        </w:tc>
        <w:tc>
          <w:tcPr>
            <w:tcW w:w="760" w:type="dxa"/>
            <w:vAlign w:val="bottom"/>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37"/>
        </w:trPr>
        <w:tc>
          <w:tcPr>
            <w:tcW w:w="4300" w:type="dxa"/>
            <w:vAlign w:val="bottom"/>
            <w:gridSpan w:val="2"/>
          </w:tcPr>
          <w:p>
            <w:pPr>
              <w:spacing w:after="0"/>
              <w:rPr>
                <w:sz w:val="20"/>
                <w:szCs w:val="20"/>
                <w:color w:val="auto"/>
              </w:rPr>
            </w:pPr>
            <w:r>
              <w:rPr>
                <w:rFonts w:ascii="Arial" w:cs="Arial" w:eastAsia="Arial" w:hAnsi="Arial"/>
                <w:sz w:val="16"/>
                <w:szCs w:val="16"/>
                <w:color w:val="auto"/>
              </w:rPr>
              <w:t>Operating (loss) income from continuing</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195"/>
        </w:trPr>
        <w:tc>
          <w:tcPr>
            <w:tcW w:w="430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6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15.9 %</w:t>
            </w:r>
          </w:p>
        </w:tc>
      </w:tr>
      <w:tr>
        <w:trPr>
          <w:trHeight w:val="237"/>
        </w:trPr>
        <w:tc>
          <w:tcPr>
            <w:tcW w:w="4300" w:type="dxa"/>
            <w:vAlign w:val="bottom"/>
            <w:gridSpan w:val="2"/>
          </w:tcPr>
          <w:p>
            <w:pPr>
              <w:spacing w:after="0"/>
              <w:rPr>
                <w:sz w:val="20"/>
                <w:szCs w:val="20"/>
                <w:color w:val="auto"/>
              </w:rPr>
            </w:pPr>
            <w:r>
              <w:rPr>
                <w:rFonts w:ascii="Arial" w:cs="Arial" w:eastAsia="Arial" w:hAnsi="Arial"/>
                <w:sz w:val="16"/>
                <w:szCs w:val="16"/>
                <w:color w:val="auto"/>
              </w:rPr>
              <w:t>Net (loss) income from continuing</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195"/>
        </w:trPr>
        <w:tc>
          <w:tcPr>
            <w:tcW w:w="430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60" w:type="dxa"/>
            <w:vAlign w:val="bottom"/>
          </w:tcPr>
          <w:p>
            <w:pPr>
              <w:jc w:val="right"/>
              <w:spacing w:after="0"/>
              <w:rPr>
                <w:sz w:val="20"/>
                <w:szCs w:val="20"/>
                <w:color w:val="auto"/>
              </w:rPr>
            </w:pPr>
            <w:r>
              <w:rPr>
                <w:rFonts w:ascii="Arial" w:cs="Arial" w:eastAsia="Arial" w:hAnsi="Arial"/>
                <w:sz w:val="16"/>
                <w:szCs w:val="16"/>
                <w:color w:val="auto"/>
              </w:rPr>
              <w:t>(48.3 %)</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43"/>
        </w:trPr>
        <w:tc>
          <w:tcPr>
            <w:tcW w:w="430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60" w:type="dxa"/>
            <w:vAlign w:val="bottom"/>
          </w:tcPr>
          <w:p>
            <w:pPr>
              <w:jc w:val="right"/>
              <w:spacing w:after="0"/>
              <w:rPr>
                <w:sz w:val="20"/>
                <w:szCs w:val="20"/>
                <w:color w:val="auto"/>
              </w:rPr>
            </w:pPr>
            <w:r>
              <w:rPr>
                <w:rFonts w:ascii="Arial" w:cs="Arial" w:eastAsia="Arial" w:hAnsi="Arial"/>
                <w:sz w:val="16"/>
                <w:szCs w:val="16"/>
                <w:color w:val="auto"/>
              </w:rPr>
              <w:t>(306.0 %)</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15.4 %</w:t>
            </w:r>
          </w:p>
        </w:tc>
      </w:tr>
    </w:tbl>
    <w:p>
      <w:pPr>
        <w:spacing w:after="0" w:line="159" w:lineRule="exact"/>
        <w:rPr>
          <w:sz w:val="20"/>
          <w:szCs w:val="20"/>
          <w:color w:val="auto"/>
        </w:rPr>
      </w:pPr>
    </w:p>
    <w:p>
      <w:pPr>
        <w:ind w:left="460" w:right="20" w:hanging="337"/>
        <w:spacing w:after="0" w:line="258"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1440" w:right="339" w:bottom="1440" w:gutter="0" w:footer="0" w:header="0"/>
          <w:type w:val="continuous"/>
        </w:sectPr>
      </w:pPr>
    </w:p>
    <w:bookmarkStart w:id="14" w:name="page15"/>
    <w:bookmarkEnd w:id="14"/>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5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720" w:type="dxa"/>
            <w:vAlign w:val="bottom"/>
            <w:tcBorders>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8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20"/>
                <w:szCs w:val="20"/>
                <w:color w:val="auto"/>
              </w:rPr>
            </w:pPr>
            <w:r>
              <w:rPr>
                <w:rFonts w:ascii="Arial" w:cs="Arial" w:eastAsia="Arial" w:hAnsi="Arial"/>
                <w:sz w:val="16"/>
                <w:szCs w:val="16"/>
                <w:color w:val="auto"/>
              </w:rPr>
              <w:t>Net sales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$424.6</w:t>
            </w:r>
          </w:p>
        </w:tc>
        <w:tc>
          <w:tcPr>
            <w:tcW w:w="10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6"/>
                <w:szCs w:val="16"/>
                <w:color w:val="auto"/>
              </w:rPr>
              <w:t>Costs and expenses:</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Cost of sales - exclusive of amortization</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Product remediation</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252.9</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Merger and integration expenses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Restructuring expenses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Impairment of intangible assets</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Amortization of intangibles</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Litigation provision, net</w:t>
            </w:r>
          </w:p>
        </w:tc>
        <w:tc>
          <w:tcPr>
            <w:tcW w:w="17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6"/>
                <w:szCs w:val="16"/>
                <w:color w:val="auto"/>
              </w:rPr>
              <w:t>Operating loss from 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(71.2 %)</w:t>
            </w:r>
          </w:p>
        </w:tc>
        <w:tc>
          <w:tcPr>
            <w:tcW w:w="0" w:type="dxa"/>
            <w:vAlign w:val="bottom"/>
          </w:tcPr>
          <w:p>
            <w:pPr>
              <w:spacing w:after="0"/>
              <w:rPr>
                <w:sz w:val="1"/>
                <w:szCs w:val="1"/>
                <w:color w:val="auto"/>
              </w:rPr>
            </w:pPr>
          </w:p>
        </w:tc>
      </w:tr>
      <w:tr>
        <w:trPr>
          <w:trHeight w:val="223"/>
        </w:trPr>
        <w:tc>
          <w:tcPr>
            <w:tcW w:w="574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7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Foreign exchange and other losses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6"/>
                <w:szCs w:val="16"/>
                <w:color w:val="auto"/>
              </w:rPr>
              <w:t>Loss from continuing operations before tax</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(51.4 %)</w:t>
            </w:r>
          </w:p>
        </w:tc>
        <w:tc>
          <w:tcPr>
            <w:tcW w:w="0" w:type="dxa"/>
            <w:vAlign w:val="bottom"/>
          </w:tcPr>
          <w:p>
            <w:pPr>
              <w:spacing w:after="0"/>
              <w:rPr>
                <w:sz w:val="1"/>
                <w:szCs w:val="1"/>
                <w:color w:val="auto"/>
              </w:rPr>
            </w:pPr>
          </w:p>
        </w:tc>
      </w:tr>
      <w:tr>
        <w:trPr>
          <w:trHeight w:val="224"/>
        </w:trPr>
        <w:tc>
          <w:tcPr>
            <w:tcW w:w="5740" w:type="dxa"/>
            <w:vAlign w:val="bottom"/>
          </w:tcPr>
          <w:p>
            <w:pPr>
              <w:ind w:left="100"/>
              <w:spacing w:after="0"/>
              <w:rPr>
                <w:sz w:val="20"/>
                <w:szCs w:val="20"/>
                <w:color w:val="auto"/>
              </w:rPr>
            </w:pPr>
            <w:r>
              <w:rPr>
                <w:rFonts w:ascii="Arial" w:cs="Arial" w:eastAsia="Arial" w:hAnsi="Arial"/>
                <w:sz w:val="16"/>
                <w:szCs w:val="16"/>
                <w:color w:val="auto"/>
              </w:rPr>
              <w:t>Income tax expense (benefit)</w:t>
            </w:r>
          </w:p>
        </w:tc>
        <w:tc>
          <w:tcPr>
            <w:tcW w:w="172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Losses from equity method investments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6"/>
                <w:szCs w:val="16"/>
                <w:color w:val="auto"/>
              </w:rPr>
              <w:t>Net (loss) income from discontinued operations, net of tax</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6"/>
                <w:szCs w:val="16"/>
                <w:color w:val="auto"/>
              </w:rPr>
              <w:t>Net loss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Basic loss per share:</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6"/>
                <w:szCs w:val="16"/>
                <w:color w:val="auto"/>
              </w:rPr>
              <w:t>Diluted loss per share:</w:t>
            </w: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Basic</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Arial" w:cs="Arial" w:eastAsia="Arial" w:hAnsi="Arial"/>
                <w:sz w:val="16"/>
                <w:szCs w:val="16"/>
                <w:color w:val="auto"/>
              </w:rPr>
              <w:t>Diluted</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40" w:right="339" w:bottom="1440" w:gutter="0" w:footer="0" w:header="0"/>
        </w:sectPr>
      </w:pPr>
    </w:p>
    <w:bookmarkStart w:id="15" w:name="page16"/>
    <w:bookmarkEnd w:id="15"/>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5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99"/>
              </w:rPr>
              <w:t>Adjusted Financial Measures (U.S. dollars in millions, except per share amounts)</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79"/>
        </w:trPr>
        <w:tc>
          <w:tcPr>
            <w:tcW w:w="5700" w:type="dxa"/>
            <w:vAlign w:val="bottom"/>
          </w:tcPr>
          <w:p>
            <w:pPr>
              <w:spacing w:after="0"/>
              <w:rPr>
                <w:sz w:val="24"/>
                <w:szCs w:val="24"/>
                <w:color w:val="auto"/>
              </w:rPr>
            </w:pPr>
          </w:p>
        </w:tc>
        <w:tc>
          <w:tcPr>
            <w:tcW w:w="35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1500" w:type="dxa"/>
            <w:vAlign w:val="bottom"/>
          </w:tcPr>
          <w:p>
            <w:pPr>
              <w:spacing w:after="0"/>
              <w:rPr>
                <w:sz w:val="24"/>
                <w:szCs w:val="24"/>
                <w:color w:val="auto"/>
              </w:rPr>
            </w:pPr>
          </w:p>
        </w:tc>
      </w:tr>
      <w:tr>
        <w:trPr>
          <w:trHeight w:val="299"/>
        </w:trPr>
        <w:tc>
          <w:tcPr>
            <w:tcW w:w="75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500" w:type="dxa"/>
            <w:vAlign w:val="bottom"/>
          </w:tcPr>
          <w:p>
            <w:pPr>
              <w:ind w:left="560"/>
              <w:spacing w:after="0"/>
              <w:rPr>
                <w:sz w:val="20"/>
                <w:szCs w:val="20"/>
                <w:color w:val="auto"/>
              </w:rPr>
            </w:pPr>
            <w:r>
              <w:rPr>
                <w:rFonts w:ascii="Arial" w:cs="Arial" w:eastAsia="Arial" w:hAnsi="Arial"/>
                <w:sz w:val="16"/>
                <w:szCs w:val="16"/>
                <w:b w:val="1"/>
                <w:bCs w:val="1"/>
                <w:color w:val="auto"/>
                <w:w w:val="92"/>
              </w:rPr>
              <w:t xml:space="preserve">% Change </w:t>
            </w:r>
            <w:r>
              <w:rPr>
                <w:rFonts w:ascii="Arial" w:cs="Arial" w:eastAsia="Arial" w:hAnsi="Arial"/>
                <w:sz w:val="21"/>
                <w:szCs w:val="21"/>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-26035</wp:posOffset>
            </wp:positionV>
            <wp:extent cx="348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jc w:val="right"/>
              <w:ind w:right="599"/>
              <w:spacing w:after="0"/>
              <w:rPr>
                <w:sz w:val="20"/>
                <w:szCs w:val="20"/>
                <w:color w:val="auto"/>
              </w:rPr>
            </w:pPr>
            <w:r>
              <w:rPr>
                <w:rFonts w:ascii="Arial" w:cs="Arial" w:eastAsia="Arial" w:hAnsi="Arial"/>
                <w:sz w:val="16"/>
                <w:szCs w:val="16"/>
                <w:color w:val="auto"/>
                <w:w w:val="93"/>
              </w:rPr>
              <w:t>$183.4</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$212.6</w:t>
            </w:r>
          </w:p>
        </w:tc>
        <w:tc>
          <w:tcPr>
            <w:tcW w:w="1340" w:type="dxa"/>
            <w:vAlign w:val="bottom"/>
          </w:tcPr>
          <w:p>
            <w:pPr>
              <w:jc w:val="right"/>
              <w:spacing w:after="0"/>
              <w:rPr>
                <w:sz w:val="20"/>
                <w:szCs w:val="20"/>
                <w:color w:val="auto"/>
              </w:rPr>
            </w:pPr>
            <w:r>
              <w:rPr>
                <w:rFonts w:ascii="Arial" w:cs="Arial" w:eastAsia="Arial" w:hAnsi="Arial"/>
                <w:sz w:val="16"/>
                <w:szCs w:val="16"/>
                <w:color w:val="auto"/>
              </w:rPr>
              <w:t>(13.7 %)</w:t>
            </w:r>
          </w:p>
        </w:tc>
      </w:tr>
      <w:tr>
        <w:trPr>
          <w:trHeight w:val="243"/>
        </w:trPr>
        <w:tc>
          <w:tcPr>
            <w:tcW w:w="1160" w:type="dxa"/>
            <w:vAlign w:val="bottom"/>
          </w:tcPr>
          <w:p>
            <w:pPr>
              <w:jc w:val="right"/>
              <w:ind w:right="599"/>
              <w:spacing w:after="0"/>
              <w:rPr>
                <w:sz w:val="20"/>
                <w:szCs w:val="20"/>
                <w:color w:val="auto"/>
              </w:rPr>
            </w:pPr>
            <w:r>
              <w:rPr>
                <w:rFonts w:ascii="Arial" w:cs="Arial" w:eastAsia="Arial" w:hAnsi="Arial"/>
                <w:sz w:val="16"/>
                <w:szCs w:val="16"/>
                <w:color w:val="auto"/>
              </w:rPr>
              <w:t>76.1</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76.5</w:t>
            </w: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43"/>
        </w:trPr>
        <w:tc>
          <w:tcPr>
            <w:tcW w:w="1160" w:type="dxa"/>
            <w:vAlign w:val="bottom"/>
          </w:tcPr>
          <w:p>
            <w:pPr>
              <w:jc w:val="right"/>
              <w:ind w:right="599"/>
              <w:spacing w:after="0"/>
              <w:rPr>
                <w:sz w:val="20"/>
                <w:szCs w:val="20"/>
                <w:color w:val="auto"/>
              </w:rPr>
            </w:pPr>
            <w:r>
              <w:rPr>
                <w:rFonts w:ascii="Arial" w:cs="Arial" w:eastAsia="Arial" w:hAnsi="Arial"/>
                <w:sz w:val="16"/>
                <w:szCs w:val="16"/>
                <w:color w:val="auto"/>
              </w:rPr>
              <w:t>16.8</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76.6</w:t>
            </w:r>
          </w:p>
        </w:tc>
        <w:tc>
          <w:tcPr>
            <w:tcW w:w="1340" w:type="dxa"/>
            <w:vAlign w:val="bottom"/>
          </w:tcPr>
          <w:p>
            <w:pPr>
              <w:jc w:val="right"/>
              <w:spacing w:after="0"/>
              <w:rPr>
                <w:sz w:val="20"/>
                <w:szCs w:val="20"/>
                <w:color w:val="auto"/>
              </w:rPr>
            </w:pPr>
            <w:r>
              <w:rPr>
                <w:rFonts w:ascii="Arial" w:cs="Arial" w:eastAsia="Arial" w:hAnsi="Arial"/>
                <w:sz w:val="16"/>
                <w:szCs w:val="16"/>
                <w:color w:val="auto"/>
              </w:rPr>
              <w:t>(78.1 %)</w:t>
            </w:r>
          </w:p>
        </w:tc>
      </w:tr>
      <w:tr>
        <w:trPr>
          <w:trHeight w:val="243"/>
        </w:trPr>
        <w:tc>
          <w:tcPr>
            <w:tcW w:w="1160" w:type="dxa"/>
            <w:vAlign w:val="bottom"/>
          </w:tcPr>
          <w:p>
            <w:pPr>
              <w:jc w:val="right"/>
              <w:ind w:right="599"/>
              <w:spacing w:after="0"/>
              <w:rPr>
                <w:sz w:val="20"/>
                <w:szCs w:val="20"/>
                <w:color w:val="auto"/>
              </w:rPr>
            </w:pPr>
            <w:r>
              <w:rPr>
                <w:rFonts w:ascii="Arial" w:cs="Arial" w:eastAsia="Arial" w:hAnsi="Arial"/>
                <w:sz w:val="16"/>
                <w:szCs w:val="16"/>
                <w:color w:val="auto"/>
              </w:rPr>
              <w:t>8.5</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60.9</w:t>
            </w:r>
          </w:p>
        </w:tc>
        <w:tc>
          <w:tcPr>
            <w:tcW w:w="1340" w:type="dxa"/>
            <w:vAlign w:val="bottom"/>
          </w:tcPr>
          <w:p>
            <w:pPr>
              <w:jc w:val="right"/>
              <w:spacing w:after="0"/>
              <w:rPr>
                <w:sz w:val="20"/>
                <w:szCs w:val="20"/>
                <w:color w:val="auto"/>
              </w:rPr>
            </w:pPr>
            <w:r>
              <w:rPr>
                <w:rFonts w:ascii="Arial" w:cs="Arial" w:eastAsia="Arial" w:hAnsi="Arial"/>
                <w:sz w:val="16"/>
                <w:szCs w:val="16"/>
                <w:color w:val="auto"/>
              </w:rPr>
              <w:t>(86.0 %)</w:t>
            </w:r>
          </w:p>
        </w:tc>
      </w:tr>
      <w:tr>
        <w:trPr>
          <w:trHeight w:val="243"/>
        </w:trPr>
        <w:tc>
          <w:tcPr>
            <w:tcW w:w="1160" w:type="dxa"/>
            <w:vAlign w:val="bottom"/>
          </w:tcPr>
          <w:p>
            <w:pPr>
              <w:jc w:val="right"/>
              <w:ind w:right="599"/>
              <w:spacing w:after="0"/>
              <w:rPr>
                <w:sz w:val="20"/>
                <w:szCs w:val="20"/>
                <w:color w:val="auto"/>
              </w:rPr>
            </w:pPr>
            <w:r>
              <w:rPr>
                <w:rFonts w:ascii="Arial" w:cs="Arial" w:eastAsia="Arial" w:hAnsi="Arial"/>
                <w:sz w:val="16"/>
                <w:szCs w:val="16"/>
                <w:color w:val="auto"/>
              </w:rPr>
              <w:t>$0.17</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$1.25</w:t>
            </w:r>
          </w:p>
        </w:tc>
        <w:tc>
          <w:tcPr>
            <w:tcW w:w="1340" w:type="dxa"/>
            <w:vAlign w:val="bottom"/>
          </w:tcPr>
          <w:p>
            <w:pPr>
              <w:jc w:val="right"/>
              <w:spacing w:after="0"/>
              <w:rPr>
                <w:sz w:val="20"/>
                <w:szCs w:val="20"/>
                <w:color w:val="auto"/>
              </w:rPr>
            </w:pPr>
            <w:r>
              <w:rPr>
                <w:rFonts w:ascii="Arial" w:cs="Arial" w:eastAsia="Arial" w:hAnsi="Arial"/>
                <w:sz w:val="16"/>
                <w:szCs w:val="16"/>
                <w:color w:val="auto"/>
              </w:rPr>
              <w:t>(86.4 %)</w:t>
            </w:r>
          </w:p>
        </w:tc>
      </w:tr>
    </w:tbl>
    <w:p>
      <w:pPr>
        <w:spacing w:after="0" w:line="159" w:lineRule="exact"/>
        <w:rPr>
          <w:sz w:val="20"/>
          <w:szCs w:val="20"/>
          <w:color w:val="auto"/>
        </w:rPr>
      </w:pPr>
    </w:p>
    <w:p>
      <w:pPr>
        <w:sectPr>
          <w:pgSz w:w="11900" w:h="16838" w:orient="portrait"/>
          <w:cols w:equalWidth="0" w:num="2">
            <w:col w:w="6080" w:space="720"/>
            <w:col w:w="4420"/>
          </w:cols>
          <w:pgMar w:left="340" w:top="1440" w:right="339" w:bottom="1440" w:gutter="0" w:footer="0" w:header="0"/>
          <w:type w:val="continuous"/>
        </w:sectPr>
      </w:pPr>
    </w:p>
    <w:p>
      <w:pPr>
        <w:ind w:left="480" w:right="40" w:hanging="337"/>
        <w:spacing w:after="0" w:line="258"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1"/>
                <w:szCs w:val="21"/>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GAAP Six Months Ended June 30,</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Six Months Ended June 30,</w:t>
            </w:r>
          </w:p>
        </w:tc>
      </w:tr>
      <w:tr>
        <w:trPr>
          <w:trHeight w:val="243"/>
        </w:trPr>
        <w:tc>
          <w:tcPr>
            <w:tcW w:w="3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94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rPr>
              <w:t>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68.3 %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65.1 %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69.3 %</w:t>
            </w:r>
          </w:p>
        </w:tc>
      </w:tr>
      <w:tr>
        <w:trPr>
          <w:trHeight w:val="243"/>
        </w:trPr>
        <w:tc>
          <w:tcPr>
            <w:tcW w:w="43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20" w:type="dxa"/>
            <w:vAlign w:val="bottom"/>
          </w:tcPr>
          <w:p>
            <w:pPr>
              <w:jc w:val="right"/>
              <w:spacing w:after="0"/>
              <w:rPr>
                <w:sz w:val="20"/>
                <w:szCs w:val="20"/>
                <w:color w:val="auto"/>
              </w:rPr>
            </w:pPr>
            <w:r>
              <w:rPr>
                <w:rFonts w:ascii="Arial" w:cs="Arial" w:eastAsia="Arial" w:hAnsi="Arial"/>
                <w:sz w:val="16"/>
                <w:szCs w:val="16"/>
                <w:color w:val="auto"/>
              </w:rPr>
              <w:t>51.4 %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43.2 %</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40.3 %</w:t>
            </w:r>
          </w:p>
        </w:tc>
      </w:tr>
      <w:tr>
        <w:trPr>
          <w:trHeight w:val="243"/>
        </w:trPr>
        <w:tc>
          <w:tcPr>
            <w:tcW w:w="4360" w:type="dxa"/>
            <w:vAlign w:val="bottom"/>
            <w:gridSpan w:val="2"/>
          </w:tcPr>
          <w:p>
            <w:pPr>
              <w:spacing w:after="0"/>
              <w:rPr>
                <w:sz w:val="20"/>
                <w:szCs w:val="20"/>
                <w:color w:val="auto"/>
              </w:rPr>
            </w:pPr>
            <w:r>
              <w:rPr>
                <w:rFonts w:ascii="Arial" w:cs="Arial" w:eastAsia="Arial" w:hAnsi="Arial"/>
                <w:sz w:val="16"/>
                <w:szCs w:val="16"/>
                <w:color w:val="auto"/>
              </w:rPr>
              <w:t>R&amp;D</w:t>
            </w:r>
          </w:p>
        </w:tc>
        <w:tc>
          <w:tcPr>
            <w:tcW w:w="72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17.9 %</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37"/>
        </w:trPr>
        <w:tc>
          <w:tcPr>
            <w:tcW w:w="4360" w:type="dxa"/>
            <w:vAlign w:val="bottom"/>
            <w:gridSpan w:val="2"/>
          </w:tcPr>
          <w:p>
            <w:pPr>
              <w:spacing w:after="0"/>
              <w:rPr>
                <w:sz w:val="20"/>
                <w:szCs w:val="20"/>
                <w:color w:val="auto"/>
              </w:rPr>
            </w:pPr>
            <w:r>
              <w:rPr>
                <w:rFonts w:ascii="Arial" w:cs="Arial" w:eastAsia="Arial" w:hAnsi="Arial"/>
                <w:sz w:val="16"/>
                <w:szCs w:val="16"/>
                <w:color w:val="auto"/>
              </w:rPr>
              <w:t>Operating (loss) income from continuing</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5"/>
        </w:trPr>
        <w:tc>
          <w:tcPr>
            <w:tcW w:w="436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37"/>
        </w:trPr>
        <w:tc>
          <w:tcPr>
            <w:tcW w:w="4360" w:type="dxa"/>
            <w:vAlign w:val="bottom"/>
            <w:gridSpan w:val="2"/>
          </w:tcPr>
          <w:p>
            <w:pPr>
              <w:spacing w:after="0"/>
              <w:rPr>
                <w:sz w:val="20"/>
                <w:szCs w:val="20"/>
                <w:color w:val="auto"/>
              </w:rPr>
            </w:pPr>
            <w:r>
              <w:rPr>
                <w:rFonts w:ascii="Arial" w:cs="Arial" w:eastAsia="Arial" w:hAnsi="Arial"/>
                <w:sz w:val="16"/>
                <w:szCs w:val="16"/>
                <w:color w:val="auto"/>
              </w:rPr>
              <w:t>Net (loss) income from continuing</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5"/>
        </w:trPr>
        <w:tc>
          <w:tcPr>
            <w:tcW w:w="436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43"/>
        </w:trPr>
        <w:tc>
          <w:tcPr>
            <w:tcW w:w="43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20" w:type="dxa"/>
            <w:vAlign w:val="bottom"/>
          </w:tcPr>
          <w:p>
            <w:pPr>
              <w:jc w:val="right"/>
              <w:spacing w:after="0"/>
              <w:rPr>
                <w:sz w:val="20"/>
                <w:szCs w:val="20"/>
                <w:color w:val="auto"/>
              </w:rPr>
            </w:pPr>
            <w:r>
              <w:rPr>
                <w:rFonts w:ascii="Arial" w:cs="Arial" w:eastAsia="Arial" w:hAnsi="Arial"/>
                <w:sz w:val="16"/>
                <w:szCs w:val="16"/>
                <w:color w:val="auto"/>
              </w:rPr>
              <w:t>(78.0 %)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15.4 %</w:t>
            </w:r>
          </w:p>
        </w:tc>
      </w:tr>
    </w:tbl>
    <w:p>
      <w:pPr>
        <w:spacing w:after="0" w:line="159" w:lineRule="exact"/>
        <w:rPr>
          <w:sz w:val="20"/>
          <w:szCs w:val="20"/>
          <w:color w:val="auto"/>
        </w:rPr>
      </w:pPr>
    </w:p>
    <w:p>
      <w:pPr>
        <w:ind w:left="460" w:right="20" w:hanging="337"/>
        <w:spacing w:after="0" w:line="258"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40" w:top="1440" w:right="339" w:bottom="1440" w:gutter="0" w:footer="0" w:header="0"/>
          <w:type w:val="continuous"/>
        </w:sectPr>
      </w:pPr>
    </w:p>
    <w:bookmarkStart w:id="16" w:name="page17"/>
    <w:bookmarkEnd w:id="16"/>
    <w:p>
      <w:pPr>
        <w:ind w:left="20" w:right="5580"/>
        <w:spacing w:after="0" w:line="285"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26035</wp:posOffset>
            </wp:positionV>
            <wp:extent cx="4928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Non-recurring</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9"/>
              </w:rPr>
              <w:t>Merger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7"/>
              </w:rPr>
              <w:t>Product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Stock-based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8"/>
              </w:rPr>
              <w:t>Certain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1"/>
                <w:szCs w:val="11"/>
                <w:color w:val="auto"/>
              </w:rPr>
            </w:pPr>
          </w:p>
        </w:tc>
        <w:tc>
          <w:tcPr>
            <w:tcW w:w="56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5"/>
              </w:rPr>
              <w:t>GAAP</w:t>
            </w: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Integration</w:t>
            </w: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120" w:type="dxa"/>
            <w:vAlign w:val="bottom"/>
          </w:tcPr>
          <w:p>
            <w:pPr>
              <w:spacing w:after="0"/>
              <w:rPr>
                <w:sz w:val="11"/>
                <w:szCs w:val="11"/>
                <w:color w:val="auto"/>
              </w:rPr>
            </w:pPr>
          </w:p>
        </w:tc>
        <w:tc>
          <w:tcPr>
            <w:tcW w:w="7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4"/>
              </w:rPr>
              <w:t>Financing</w:t>
            </w:r>
          </w:p>
        </w:tc>
        <w:tc>
          <w:tcPr>
            <w:tcW w:w="120" w:type="dxa"/>
            <w:vAlign w:val="bottom"/>
          </w:tcPr>
          <w:p>
            <w:pPr>
              <w:spacing w:after="0"/>
              <w:rPr>
                <w:sz w:val="11"/>
                <w:szCs w:val="11"/>
                <w:color w:val="auto"/>
              </w:rPr>
            </w:pPr>
          </w:p>
        </w:tc>
        <w:tc>
          <w:tcPr>
            <w:tcW w:w="8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6"/>
              </w:rPr>
              <w:t>Contingent</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Certain Tax</w:t>
            </w:r>
          </w:p>
        </w:tc>
        <w:tc>
          <w:tcPr>
            <w:tcW w:w="160" w:type="dxa"/>
            <w:vAlign w:val="bottom"/>
          </w:tcPr>
          <w:p>
            <w:pPr>
              <w:spacing w:after="0"/>
              <w:rPr>
                <w:sz w:val="11"/>
                <w:szCs w:val="11"/>
                <w:color w:val="auto"/>
              </w:rPr>
            </w:pPr>
          </w:p>
        </w:tc>
        <w:tc>
          <w:tcPr>
            <w:tcW w:w="68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Interest</w:t>
            </w:r>
          </w:p>
        </w:tc>
        <w:tc>
          <w:tcPr>
            <w:tcW w:w="6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2120" w:type="dxa"/>
            <w:vAlign w:val="bottom"/>
            <w:vMerge w:val="continue"/>
          </w:tcPr>
          <w:p>
            <w:pPr>
              <w:spacing w:after="0"/>
              <w:rPr>
                <w:sz w:val="11"/>
                <w:szCs w:val="11"/>
                <w:color w:val="auto"/>
              </w:rPr>
            </w:pPr>
          </w:p>
        </w:tc>
        <w:tc>
          <w:tcPr>
            <w:tcW w:w="68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60" w:type="dxa"/>
            <w:vAlign w:val="bottom"/>
            <w:gridSpan w:val="2"/>
          </w:tcPr>
          <w:p>
            <w:pPr>
              <w:jc w:val="right"/>
              <w:ind w:right="29"/>
              <w:spacing w:after="0" w:line="130" w:lineRule="exact"/>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1"/>
                <w:szCs w:val="11"/>
                <w:color w:val="auto"/>
              </w:rPr>
            </w:pPr>
          </w:p>
        </w:tc>
        <w:tc>
          <w:tcPr>
            <w:tcW w:w="780" w:type="dxa"/>
            <w:vAlign w:val="bottom"/>
          </w:tcPr>
          <w:p>
            <w:pPr>
              <w:jc w:val="right"/>
              <w:ind w:right="109"/>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40" w:type="dxa"/>
            <w:vAlign w:val="bottom"/>
          </w:tcPr>
          <w:p>
            <w:pPr>
              <w:jc w:val="center"/>
              <w:ind w:right="50"/>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4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8"/>
              </w:rPr>
              <w:t>Expenses</w:t>
            </w:r>
          </w:p>
        </w:tc>
        <w:tc>
          <w:tcPr>
            <w:tcW w:w="8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6"/>
              </w:rPr>
              <w:t>Transactions</w:t>
            </w:r>
          </w:p>
        </w:tc>
        <w:tc>
          <w:tcPr>
            <w:tcW w:w="94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8"/>
              </w:rPr>
              <w:t>Consideration</w:t>
            </w:r>
          </w:p>
        </w:tc>
        <w:tc>
          <w:tcPr>
            <w:tcW w:w="100" w:type="dxa"/>
            <w:vAlign w:val="bottom"/>
          </w:tcPr>
          <w:p>
            <w:pPr>
              <w:spacing w:after="0"/>
              <w:rPr>
                <w:sz w:val="11"/>
                <w:szCs w:val="11"/>
                <w:color w:val="auto"/>
              </w:rPr>
            </w:pPr>
          </w:p>
        </w:tc>
        <w:tc>
          <w:tcPr>
            <w:tcW w:w="860" w:type="dxa"/>
            <w:vAlign w:val="bottom"/>
          </w:tcPr>
          <w:p>
            <w:pPr>
              <w:jc w:val="center"/>
              <w:ind w:right="90"/>
              <w:spacing w:after="0" w:line="130" w:lineRule="exact"/>
              <w:rPr>
                <w:sz w:val="20"/>
                <w:szCs w:val="20"/>
                <w:color w:val="auto"/>
              </w:rPr>
            </w:pPr>
            <w:r>
              <w:rPr>
                <w:rFonts w:ascii="Arial" w:cs="Arial" w:eastAsia="Arial" w:hAnsi="Arial"/>
                <w:sz w:val="13"/>
                <w:szCs w:val="13"/>
                <w:b w:val="1"/>
                <w:bCs w:val="1"/>
                <w:color w:val="auto"/>
                <w:w w:val="94"/>
              </w:rPr>
              <w:t>Costs</w:t>
            </w:r>
          </w:p>
        </w:tc>
        <w:tc>
          <w:tcPr>
            <w:tcW w:w="1660" w:type="dxa"/>
            <w:vAlign w:val="bottom"/>
            <w:gridSpan w:val="4"/>
          </w:tcPr>
          <w:p>
            <w:pPr>
              <w:ind w:left="20"/>
              <w:spacing w:after="0" w:line="130" w:lineRule="exact"/>
              <w:rPr>
                <w:sz w:val="20"/>
                <w:szCs w:val="20"/>
                <w:color w:val="auto"/>
              </w:rPr>
            </w:pPr>
            <w:r>
              <w:rPr>
                <w:rFonts w:ascii="Arial" w:cs="Arial" w:eastAsia="Arial" w:hAnsi="Arial"/>
                <w:sz w:val="13"/>
                <w:szCs w:val="13"/>
                <w:b w:val="1"/>
                <w:bCs w:val="1"/>
                <w:color w:val="auto"/>
              </w:rPr>
              <w:t>Adjustments Adjustments</w:t>
            </w:r>
          </w:p>
        </w:tc>
        <w:tc>
          <w:tcPr>
            <w:tcW w:w="680" w:type="dxa"/>
            <w:vAlign w:val="bottom"/>
            <w:gridSpan w:val="2"/>
          </w:tcPr>
          <w:p>
            <w:pPr>
              <w:ind w:left="6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2020</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(B)</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8"/>
              </w:rPr>
              <w:t>(C)</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8"/>
              </w:rPr>
              <w:t>(D)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(F)</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5"/>
              </w:rPr>
              <w:t>(G)</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(H)</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(I)</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Measures</w:t>
            </w:r>
          </w:p>
        </w:tc>
        <w:tc>
          <w:tcPr>
            <w:tcW w:w="0" w:type="dxa"/>
            <w:vAlign w:val="bottom"/>
          </w:tcPr>
          <w:p>
            <w:pPr>
              <w:spacing w:after="0"/>
              <w:rPr>
                <w:sz w:val="1"/>
                <w:szCs w:val="1"/>
                <w:color w:val="auto"/>
              </w:rPr>
            </w:pPr>
          </w:p>
        </w:tc>
      </w:tr>
      <w:tr>
        <w:trPr>
          <w:trHeight w:val="187"/>
        </w:trPr>
        <w:tc>
          <w:tcPr>
            <w:tcW w:w="2120" w:type="dxa"/>
            <w:vAlign w:val="bottom"/>
          </w:tcPr>
          <w:p>
            <w:pPr>
              <w:ind w:left="20"/>
              <w:spacing w:after="0"/>
              <w:rPr>
                <w:sz w:val="20"/>
                <w:szCs w:val="20"/>
                <w:color w:val="auto"/>
              </w:rPr>
            </w:pPr>
            <w:r>
              <w:rPr>
                <w:rFonts w:ascii="Arial" w:cs="Arial" w:eastAsia="Arial" w:hAnsi="Arial"/>
                <w:sz w:val="14"/>
                <w:szCs w:val="14"/>
                <w:color w:val="auto"/>
              </w:rPr>
              <w:t>Cost of sales - exclusive of</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56.8</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15.4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12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66.5 %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0.2 %</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60.7 %</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12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98.0</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rPr>
                <w:sz w:val="20"/>
                <w:szCs w:val="20"/>
                <w:color w:val="auto"/>
              </w:rPr>
            </w:pPr>
            <w:r>
              <w:rPr>
                <w:rFonts w:ascii="Arial" w:cs="Arial" w:eastAsia="Arial" w:hAnsi="Arial"/>
                <w:sz w:val="14"/>
                <w:szCs w:val="14"/>
                <w:color w:val="auto"/>
              </w:rPr>
              <w:t>administrative as a percent of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53.8 %</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43.7 %</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Research and development as a</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13.8 %</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Litigation provision, net</w:t>
            </w:r>
          </w:p>
        </w:tc>
        <w:tc>
          <w:tcPr>
            <w:tcW w:w="12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12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Operating loss from continuing</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20" w:type="dxa"/>
            <w:vAlign w:val="bottom"/>
          </w:tcPr>
          <w:p>
            <w:pPr>
              <w:spacing w:after="0"/>
              <w:rPr>
                <w:sz w:val="14"/>
                <w:szCs w:val="14"/>
                <w:color w:val="auto"/>
              </w:rPr>
            </w:pPr>
          </w:p>
        </w:tc>
        <w:tc>
          <w:tcPr>
            <w:tcW w:w="560" w:type="dxa"/>
            <w:vAlign w:val="bottom"/>
          </w:tcPr>
          <w:p>
            <w:pPr>
              <w:jc w:val="right"/>
              <w:ind w:right="89"/>
              <w:spacing w:after="0"/>
              <w:rPr>
                <w:sz w:val="20"/>
                <w:szCs w:val="20"/>
                <w:color w:val="auto"/>
              </w:rPr>
            </w:pPr>
            <w:r>
              <w:rPr>
                <w:rFonts w:ascii="Arial" w:cs="Arial" w:eastAsia="Arial" w:hAnsi="Arial"/>
                <w:sz w:val="14"/>
                <w:szCs w:val="14"/>
                <w:color w:val="auto"/>
              </w:rPr>
              <w:t>(15.2)</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5.5 %</w:t>
            </w:r>
          </w:p>
        </w:tc>
        <w:tc>
          <w:tcPr>
            <w:tcW w:w="18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66.3</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rPr>
              <w:t>(67.9)</w:t>
            </w:r>
          </w:p>
        </w:tc>
        <w:tc>
          <w:tcPr>
            <w:tcW w:w="16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Net loss from continuing</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20" w:type="dxa"/>
            <w:vAlign w:val="bottom"/>
          </w:tcPr>
          <w:p>
            <w:pPr>
              <w:spacing w:after="0"/>
              <w:rPr>
                <w:sz w:val="14"/>
                <w:szCs w:val="14"/>
                <w:color w:val="auto"/>
              </w:rPr>
            </w:pPr>
          </w:p>
        </w:tc>
        <w:tc>
          <w:tcPr>
            <w:tcW w:w="560" w:type="dxa"/>
            <w:vAlign w:val="bottom"/>
          </w:tcPr>
          <w:p>
            <w:pPr>
              <w:jc w:val="right"/>
              <w:ind w:right="89"/>
              <w:spacing w:after="0"/>
              <w:rPr>
                <w:sz w:val="20"/>
                <w:szCs w:val="20"/>
                <w:color w:val="auto"/>
              </w:rPr>
            </w:pPr>
            <w:r>
              <w:rPr>
                <w:rFonts w:ascii="Arial" w:cs="Arial" w:eastAsia="Arial" w:hAnsi="Arial"/>
                <w:sz w:val="14"/>
                <w:szCs w:val="14"/>
                <w:color w:val="auto"/>
              </w:rPr>
              <w:t>(88.0)</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67.9</w:t>
            </w:r>
          </w:p>
        </w:tc>
        <w:tc>
          <w:tcPr>
            <w:tcW w:w="160" w:type="dxa"/>
            <w:vAlign w:val="bottom"/>
          </w:tcPr>
          <w:p>
            <w:pPr>
              <w:spacing w:after="0"/>
              <w:rPr>
                <w:sz w:val="14"/>
                <w:szCs w:val="14"/>
                <w:color w:val="auto"/>
              </w:rPr>
            </w:pP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4"/>
                <w:szCs w:val="14"/>
                <w:color w:val="auto"/>
              </w:rPr>
              <w:t>Diluted EPS - Continuing</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9"/>
              <w:spacing w:after="0"/>
              <w:rPr>
                <w:sz w:val="20"/>
                <w:szCs w:val="20"/>
                <w:color w:val="auto"/>
              </w:rPr>
            </w:pPr>
            <w:r>
              <w:rPr>
                <w:rFonts w:ascii="Arial" w:cs="Arial" w:eastAsia="Arial" w:hAnsi="Arial"/>
                <w:sz w:val="14"/>
                <w:szCs w:val="14"/>
                <w:color w:val="auto"/>
              </w:rPr>
              <w:t>(1.81)</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0.04</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0.02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0.17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0.08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0.05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(0.39)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0.21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1.40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0.07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2020 include:</w:t>
      </w:r>
    </w:p>
    <w:p>
      <w:pPr>
        <w:spacing w:after="0" w:line="73" w:lineRule="exact"/>
        <w:rPr>
          <w:sz w:val="20"/>
          <w:szCs w:val="20"/>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41"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68" w:lineRule="exact"/>
        <w:rPr>
          <w:rFonts w:ascii="Arial" w:cs="Arial" w:eastAsia="Arial" w:hAnsi="Arial"/>
          <w:sz w:val="14"/>
          <w:szCs w:val="14"/>
          <w:color w:val="auto"/>
        </w:rPr>
      </w:pPr>
    </w:p>
    <w:p>
      <w:pPr>
        <w:ind w:left="400" w:right="640" w:hanging="374"/>
        <w:spacing w:after="0" w:line="258"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w:t>
      </w:r>
    </w:p>
    <w:p>
      <w:pPr>
        <w:spacing w:after="0" w:line="31"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400" w:right="200" w:hanging="374"/>
        <w:spacing w:after="0" w:line="258"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 and intellectual property migration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47" w:right="339" w:bottom="1440" w:gutter="0" w:footer="0" w:header="0"/>
        </w:sectPr>
      </w:pPr>
    </w:p>
    <w:bookmarkStart w:id="17" w:name="page18"/>
    <w:bookmarkEnd w:id="17"/>
    <w:p>
      <w:pPr>
        <w:ind w:left="20" w:right="5580"/>
        <w:spacing w:after="0" w:line="285"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26035</wp:posOffset>
            </wp:positionV>
            <wp:extent cx="54089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Non-recurring</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8"/>
              </w:rPr>
              <w:t>Legal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9"/>
              </w:rPr>
              <w:t>Contingent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9"/>
              </w:rPr>
              <w:t>Merger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Product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Consideration</w:t>
            </w:r>
          </w:p>
        </w:tc>
        <w:tc>
          <w:tcPr>
            <w:tcW w:w="100" w:type="dxa"/>
            <w:vAlign w:val="bottom"/>
          </w:tcPr>
          <w:p>
            <w:pPr>
              <w:spacing w:after="0"/>
              <w:rPr>
                <w:sz w:val="11"/>
                <w:szCs w:val="11"/>
                <w:color w:val="auto"/>
              </w:rPr>
            </w:pPr>
          </w:p>
        </w:tc>
        <w:tc>
          <w:tcPr>
            <w:tcW w:w="8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8"/>
              </w:rPr>
              <w:t>Stock-based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3"/>
              </w:rPr>
              <w:t>Certain</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center"/>
              <w:ind w:right="29"/>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Integration</w:t>
            </w:r>
          </w:p>
        </w:tc>
        <w:tc>
          <w:tcPr>
            <w:tcW w:w="90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8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78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Acquisition</w:t>
            </w:r>
          </w:p>
        </w:tc>
        <w:tc>
          <w:tcPr>
            <w:tcW w:w="120" w:type="dxa"/>
            <w:vAlign w:val="bottom"/>
          </w:tcPr>
          <w:p>
            <w:pPr>
              <w:spacing w:after="0"/>
              <w:rPr>
                <w:sz w:val="7"/>
                <w:szCs w:val="7"/>
                <w:color w:val="auto"/>
              </w:rPr>
            </w:pPr>
          </w:p>
        </w:tc>
        <w:tc>
          <w:tcPr>
            <w:tcW w:w="800" w:type="dxa"/>
            <w:vAlign w:val="bottom"/>
            <w:vMerge w:val="restart"/>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and Other</w:t>
            </w:r>
          </w:p>
        </w:tc>
        <w:tc>
          <w:tcPr>
            <w:tcW w:w="9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Certain Tax</w:t>
            </w:r>
          </w:p>
        </w:tc>
        <w:tc>
          <w:tcPr>
            <w:tcW w:w="140" w:type="dxa"/>
            <w:vAlign w:val="bottom"/>
          </w:tcPr>
          <w:p>
            <w:pPr>
              <w:spacing w:after="0"/>
              <w:rPr>
                <w:sz w:val="7"/>
                <w:szCs w:val="7"/>
                <w:color w:val="auto"/>
              </w:rPr>
            </w:pPr>
          </w:p>
        </w:tc>
        <w:tc>
          <w:tcPr>
            <w:tcW w:w="72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Interest</w:t>
            </w:r>
          </w:p>
        </w:tc>
        <w:tc>
          <w:tcPr>
            <w:tcW w:w="64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360" w:type="dxa"/>
            <w:vAlign w:val="bottom"/>
            <w:vMerge w:val="continue"/>
          </w:tcPr>
          <w:p>
            <w:pPr>
              <w:spacing w:after="0"/>
              <w:rPr>
                <w:sz w:val="11"/>
                <w:szCs w:val="11"/>
                <w:color w:val="auto"/>
              </w:rPr>
            </w:pPr>
          </w:p>
        </w:tc>
        <w:tc>
          <w:tcPr>
            <w:tcW w:w="7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gridSpan w:val="2"/>
          </w:tcPr>
          <w:p>
            <w:pPr>
              <w:jc w:val="right"/>
              <w:ind w:right="29"/>
              <w:spacing w:after="0" w:line="130" w:lineRule="exact"/>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1"/>
                <w:szCs w:val="11"/>
                <w:color w:val="auto"/>
              </w:rPr>
            </w:pPr>
          </w:p>
        </w:tc>
        <w:tc>
          <w:tcPr>
            <w:tcW w:w="780" w:type="dxa"/>
            <w:vAlign w:val="bottom"/>
          </w:tcPr>
          <w:p>
            <w:pPr>
              <w:jc w:val="right"/>
              <w:ind w:right="109"/>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6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5"/>
              </w:rPr>
              <w:t>Expenses</w:t>
            </w:r>
          </w:p>
        </w:tc>
        <w:tc>
          <w:tcPr>
            <w:tcW w:w="82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8"/>
              </w:rPr>
              <w:t>Impairments</w:t>
            </w:r>
          </w:p>
        </w:tc>
        <w:tc>
          <w:tcPr>
            <w:tcW w:w="120" w:type="dxa"/>
            <w:vAlign w:val="bottom"/>
          </w:tcPr>
          <w:p>
            <w:pPr>
              <w:spacing w:after="0"/>
              <w:rPr>
                <w:sz w:val="11"/>
                <w:szCs w:val="11"/>
                <w:color w:val="auto"/>
              </w:rPr>
            </w:pPr>
          </w:p>
        </w:tc>
        <w:tc>
          <w:tcPr>
            <w:tcW w:w="72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5"/>
              </w:rPr>
              <w:t>Expenses</w:t>
            </w:r>
          </w:p>
        </w:tc>
        <w:tc>
          <w:tcPr>
            <w:tcW w:w="160" w:type="dxa"/>
            <w:vAlign w:val="bottom"/>
          </w:tcPr>
          <w:p>
            <w:pPr>
              <w:spacing w:after="0"/>
              <w:rPr>
                <w:sz w:val="11"/>
                <w:szCs w:val="11"/>
                <w:color w:val="auto"/>
              </w:rPr>
            </w:pPr>
          </w:p>
        </w:tc>
        <w:tc>
          <w:tcPr>
            <w:tcW w:w="620" w:type="dxa"/>
            <w:vAlign w:val="bottom"/>
          </w:tcPr>
          <w:p>
            <w:pPr>
              <w:jc w:val="center"/>
              <w:ind w:right="129"/>
              <w:spacing w:after="0" w:line="130" w:lineRule="exact"/>
              <w:rPr>
                <w:sz w:val="20"/>
                <w:szCs w:val="20"/>
                <w:color w:val="auto"/>
              </w:rPr>
            </w:pPr>
            <w:r>
              <w:rPr>
                <w:rFonts w:ascii="Arial" w:cs="Arial" w:eastAsia="Arial" w:hAnsi="Arial"/>
                <w:sz w:val="13"/>
                <w:szCs w:val="13"/>
                <w:b w:val="1"/>
                <w:bCs w:val="1"/>
                <w:color w:val="auto"/>
                <w:w w:val="94"/>
              </w:rPr>
              <w:t>Costs</w:t>
            </w:r>
          </w:p>
        </w:tc>
        <w:tc>
          <w:tcPr>
            <w:tcW w:w="120" w:type="dxa"/>
            <w:vAlign w:val="bottom"/>
          </w:tcPr>
          <w:p>
            <w:pPr>
              <w:spacing w:after="0"/>
              <w:rPr>
                <w:sz w:val="11"/>
                <w:szCs w:val="11"/>
                <w:color w:val="auto"/>
              </w:rPr>
            </w:pPr>
          </w:p>
        </w:tc>
        <w:tc>
          <w:tcPr>
            <w:tcW w:w="800" w:type="dxa"/>
            <w:vAlign w:val="bottom"/>
          </w:tcPr>
          <w:p>
            <w:pPr>
              <w:jc w:val="center"/>
              <w:ind w:right="51"/>
              <w:spacing w:after="0" w:line="130" w:lineRule="exact"/>
              <w:rPr>
                <w:sz w:val="20"/>
                <w:szCs w:val="20"/>
                <w:color w:val="auto"/>
              </w:rPr>
            </w:pPr>
            <w:r>
              <w:rPr>
                <w:rFonts w:ascii="Arial" w:cs="Arial" w:eastAsia="Arial" w:hAnsi="Arial"/>
                <w:sz w:val="13"/>
                <w:szCs w:val="13"/>
                <w:b w:val="1"/>
                <w:bCs w:val="1"/>
                <w:color w:val="auto"/>
                <w:w w:val="96"/>
              </w:rPr>
              <w:t>Reserves</w:t>
            </w:r>
          </w:p>
        </w:tc>
        <w:tc>
          <w:tcPr>
            <w:tcW w:w="100" w:type="dxa"/>
            <w:vAlign w:val="bottom"/>
          </w:tcPr>
          <w:p>
            <w:pPr>
              <w:spacing w:after="0"/>
              <w:rPr>
                <w:sz w:val="11"/>
                <w:szCs w:val="11"/>
                <w:color w:val="auto"/>
              </w:rPr>
            </w:pPr>
          </w:p>
        </w:tc>
        <w:tc>
          <w:tcPr>
            <w:tcW w:w="86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9"/>
              </w:rPr>
              <w:t>Costs</w:t>
            </w:r>
          </w:p>
        </w:tc>
        <w:tc>
          <w:tcPr>
            <w:tcW w:w="840" w:type="dxa"/>
            <w:vAlign w:val="bottom"/>
            <w:gridSpan w:val="2"/>
          </w:tcPr>
          <w:p>
            <w:pPr>
              <w:ind w:left="20"/>
              <w:spacing w:after="0" w:line="130" w:lineRule="exact"/>
              <w:rPr>
                <w:sz w:val="20"/>
                <w:szCs w:val="20"/>
                <w:color w:val="auto"/>
              </w:rPr>
            </w:pPr>
            <w:r>
              <w:rPr>
                <w:rFonts w:ascii="Arial" w:cs="Arial" w:eastAsia="Arial" w:hAnsi="Arial"/>
                <w:sz w:val="13"/>
                <w:szCs w:val="13"/>
                <w:b w:val="1"/>
                <w:bCs w:val="1"/>
                <w:color w:val="auto"/>
              </w:rPr>
              <w:t>Adjustments</w:t>
            </w:r>
          </w:p>
        </w:tc>
        <w:tc>
          <w:tcPr>
            <w:tcW w:w="8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9"/>
              </w:rPr>
              <w:t>Adjustments</w:t>
            </w:r>
          </w:p>
        </w:tc>
        <w:tc>
          <w:tcPr>
            <w:tcW w:w="640" w:type="dxa"/>
            <w:vAlign w:val="bottom"/>
          </w:tcPr>
          <w:p>
            <w:pPr>
              <w:ind w:left="4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2019</w:t>
            </w: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(B)</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(C)</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(E)</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(F)</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rPr>
              <w:t>(G)</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8"/>
              </w:rPr>
              <w:t>(H)</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rPr>
              <w:t>(J)</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Measures</w:t>
            </w:r>
          </w:p>
        </w:tc>
        <w:tc>
          <w:tcPr>
            <w:tcW w:w="0" w:type="dxa"/>
            <w:vAlign w:val="bottom"/>
          </w:tcPr>
          <w:p>
            <w:pPr>
              <w:spacing w:after="0"/>
              <w:rPr>
                <w:sz w:val="1"/>
                <w:szCs w:val="1"/>
                <w:color w:val="auto"/>
              </w:rPr>
            </w:pPr>
          </w:p>
        </w:tc>
      </w:tr>
      <w:tr>
        <w:trPr>
          <w:trHeight w:val="187"/>
        </w:trPr>
        <w:tc>
          <w:tcPr>
            <w:tcW w:w="1360" w:type="dxa"/>
            <w:vAlign w:val="bottom"/>
          </w:tcPr>
          <w:p>
            <w:pPr>
              <w:ind w:left="20"/>
              <w:spacing w:after="0"/>
              <w:rPr>
                <w:sz w:val="20"/>
                <w:szCs w:val="20"/>
                <w:color w:val="auto"/>
              </w:rPr>
            </w:pPr>
            <w:r>
              <w:rPr>
                <w:rFonts w:ascii="Arial" w:cs="Arial" w:eastAsia="Arial" w:hAnsi="Arial"/>
                <w:sz w:val="14"/>
                <w:szCs w:val="14"/>
                <w:color w:val="auto"/>
              </w:rPr>
              <w:t>Cost of sales -</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exclusive of</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74.9</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(0.7)</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11.7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400"/>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$ 85.2</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14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8"/>
                <w:szCs w:val="18"/>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71.1 %</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0.3 %</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14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127.2</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administrative as a</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45.9 %</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39.0 %</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34.5</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development as a</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12.5 %</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65.2</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income from</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continuing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40" w:type="dxa"/>
            <w:vAlign w:val="bottom"/>
          </w:tcPr>
          <w:p>
            <w:pPr>
              <w:spacing w:after="0"/>
              <w:rPr>
                <w:sz w:val="14"/>
                <w:szCs w:val="14"/>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(29.9)</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percent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3.7 %</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18.5 %</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3.1 %</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4"/>
                <w:szCs w:val="14"/>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0.4</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from continuing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40" w:type="dxa"/>
            <w:vAlign w:val="bottom"/>
          </w:tcPr>
          <w:p>
            <w:pPr>
              <w:spacing w:after="0"/>
              <w:rPr>
                <w:sz w:val="14"/>
                <w:szCs w:val="14"/>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(29.4)</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4"/>
                <w:szCs w:val="14"/>
                <w:color w:val="auto"/>
              </w:rPr>
            </w:pP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1.6</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6"/>
        </w:trPr>
        <w:tc>
          <w:tcPr>
            <w:tcW w:w="1360" w:type="dxa"/>
            <w:vAlign w:val="bottom"/>
          </w:tcPr>
          <w:p>
            <w:pPr>
              <w:ind w:left="20"/>
              <w:spacing w:after="0"/>
              <w:rPr>
                <w:sz w:val="20"/>
                <w:szCs w:val="20"/>
                <w:color w:val="auto"/>
              </w:rPr>
            </w:pPr>
            <w:r>
              <w:rPr>
                <w:rFonts w:ascii="Arial" w:cs="Arial" w:eastAsia="Arial" w:hAnsi="Arial"/>
                <w:sz w:val="14"/>
                <w:szCs w:val="14"/>
                <w:color w:val="auto"/>
              </w:rPr>
              <w:t>Diluted EPS -</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
              <w:spacing w:after="0"/>
              <w:rPr>
                <w:sz w:val="20"/>
                <w:szCs w:val="20"/>
                <w:color w:val="auto"/>
              </w:rPr>
            </w:pPr>
            <w:r>
              <w:rPr>
                <w:rFonts w:ascii="Arial" w:cs="Arial" w:eastAsia="Arial" w:hAnsi="Arial"/>
                <w:sz w:val="14"/>
                <w:szCs w:val="14"/>
                <w:color w:val="auto"/>
              </w:rPr>
              <w:t>Continuing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(0.61)</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0.07</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0.02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0.15</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0.80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0.07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0.01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0.14</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0.03</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$ 0.70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2019 include:</w:t>
      </w:r>
    </w:p>
    <w:p>
      <w:pPr>
        <w:spacing w:after="0" w:line="73" w:lineRule="exact"/>
        <w:rPr>
          <w:sz w:val="20"/>
          <w:szCs w:val="20"/>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Impairment of ImThera intangible assets and other long-lived assets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47" w:right="339" w:bottom="1440" w:gutter="0" w:footer="0" w:header="0"/>
        </w:sectPr>
      </w:pPr>
    </w:p>
    <w:bookmarkStart w:id="18" w:name="page19"/>
    <w:bookmarkEnd w:id="18"/>
    <w:p>
      <w:pPr>
        <w:ind w:left="20" w:right="5580"/>
        <w:spacing w:after="0" w:line="285"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26035</wp:posOffset>
            </wp:positionV>
            <wp:extent cx="4937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Non-recurring</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9"/>
              </w:rPr>
              <w:t>Merger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7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3"/>
              </w:rPr>
              <w:t>Product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8"/>
              </w:rPr>
              <w:t>Legal and</w:t>
            </w:r>
          </w:p>
        </w:tc>
        <w:tc>
          <w:tcPr>
            <w:tcW w:w="100" w:type="dxa"/>
            <w:vAlign w:val="bottom"/>
          </w:tcPr>
          <w:p>
            <w:pPr>
              <w:spacing w:after="0"/>
              <w:rPr>
                <w:sz w:val="11"/>
                <w:szCs w:val="11"/>
                <w:color w:val="auto"/>
              </w:rPr>
            </w:pPr>
          </w:p>
        </w:tc>
        <w:tc>
          <w:tcPr>
            <w:tcW w:w="86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5"/>
              </w:rPr>
              <w:t>Stock-based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8"/>
              </w:rPr>
              <w:t>Certain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GAAP</w:t>
            </w: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Integration</w:t>
            </w: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Remediation</w:t>
            </w:r>
          </w:p>
        </w:tc>
        <w:tc>
          <w:tcPr>
            <w:tcW w:w="100" w:type="dxa"/>
            <w:vAlign w:val="bottom"/>
          </w:tcPr>
          <w:p>
            <w:pPr>
              <w:spacing w:after="0"/>
              <w:rPr>
                <w:sz w:val="11"/>
                <w:szCs w:val="11"/>
                <w:color w:val="auto"/>
              </w:rPr>
            </w:pPr>
          </w:p>
        </w:tc>
        <w:tc>
          <w:tcPr>
            <w:tcW w:w="76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7"/>
              </w:rPr>
              <w:t>Financing</w:t>
            </w:r>
          </w:p>
        </w:tc>
        <w:tc>
          <w:tcPr>
            <w:tcW w:w="100" w:type="dxa"/>
            <w:vAlign w:val="bottom"/>
          </w:tcPr>
          <w:p>
            <w:pPr>
              <w:spacing w:after="0"/>
              <w:rPr>
                <w:sz w:val="11"/>
                <w:szCs w:val="11"/>
                <w:color w:val="auto"/>
              </w:rPr>
            </w:pPr>
          </w:p>
        </w:tc>
        <w:tc>
          <w:tcPr>
            <w:tcW w:w="82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Contingent</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Certain Tax</w:t>
            </w: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3"/>
              </w:rPr>
              <w:t>Interest</w:t>
            </w:r>
          </w:p>
        </w:tc>
        <w:tc>
          <w:tcPr>
            <w:tcW w:w="7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202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60" w:type="dxa"/>
            <w:vAlign w:val="bottom"/>
            <w:gridSpan w:val="2"/>
          </w:tcPr>
          <w:p>
            <w:pPr>
              <w:jc w:val="right"/>
              <w:ind w:right="29"/>
              <w:spacing w:after="0" w:line="130" w:lineRule="exact"/>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1"/>
                <w:szCs w:val="11"/>
                <w:color w:val="auto"/>
              </w:rPr>
            </w:pPr>
          </w:p>
        </w:tc>
        <w:tc>
          <w:tcPr>
            <w:tcW w:w="780" w:type="dxa"/>
            <w:vAlign w:val="bottom"/>
          </w:tcPr>
          <w:p>
            <w:pPr>
              <w:jc w:val="right"/>
              <w:ind w:right="109"/>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6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40" w:type="dxa"/>
            <w:vAlign w:val="bottom"/>
          </w:tcPr>
          <w:p>
            <w:pPr>
              <w:jc w:val="center"/>
              <w:ind w:right="90"/>
              <w:spacing w:after="0" w:line="130" w:lineRule="exact"/>
              <w:rPr>
                <w:sz w:val="20"/>
                <w:szCs w:val="20"/>
                <w:color w:val="auto"/>
              </w:rPr>
            </w:pPr>
            <w:r>
              <w:rPr>
                <w:rFonts w:ascii="Arial" w:cs="Arial" w:eastAsia="Arial" w:hAnsi="Arial"/>
                <w:sz w:val="13"/>
                <w:szCs w:val="13"/>
                <w:b w:val="1"/>
                <w:bCs w:val="1"/>
                <w:color w:val="auto"/>
                <w:w w:val="95"/>
              </w:rPr>
              <w:t>Expenses</w:t>
            </w:r>
          </w:p>
        </w:tc>
        <w:tc>
          <w:tcPr>
            <w:tcW w:w="1780" w:type="dxa"/>
            <w:vAlign w:val="bottom"/>
            <w:gridSpan w:val="4"/>
          </w:tcPr>
          <w:p>
            <w:pPr>
              <w:jc w:val="right"/>
              <w:spacing w:after="0" w:line="130" w:lineRule="exact"/>
              <w:rPr>
                <w:sz w:val="20"/>
                <w:szCs w:val="20"/>
                <w:color w:val="auto"/>
              </w:rPr>
            </w:pPr>
            <w:r>
              <w:rPr>
                <w:rFonts w:ascii="Arial" w:cs="Arial" w:eastAsia="Arial" w:hAnsi="Arial"/>
                <w:sz w:val="13"/>
                <w:szCs w:val="13"/>
                <w:b w:val="1"/>
                <w:bCs w:val="1"/>
                <w:color w:val="auto"/>
                <w:w w:val="98"/>
              </w:rPr>
              <w:t>Transactions Consideration</w:t>
            </w:r>
          </w:p>
        </w:tc>
        <w:tc>
          <w:tcPr>
            <w:tcW w:w="100" w:type="dxa"/>
            <w:vAlign w:val="bottom"/>
          </w:tcPr>
          <w:p>
            <w:pPr>
              <w:spacing w:after="0"/>
              <w:rPr>
                <w:sz w:val="11"/>
                <w:szCs w:val="11"/>
                <w:color w:val="auto"/>
              </w:rPr>
            </w:pPr>
          </w:p>
        </w:tc>
        <w:tc>
          <w:tcPr>
            <w:tcW w:w="860" w:type="dxa"/>
            <w:vAlign w:val="bottom"/>
          </w:tcPr>
          <w:p>
            <w:pPr>
              <w:jc w:val="center"/>
              <w:ind w:right="50"/>
              <w:spacing w:after="0" w:line="130" w:lineRule="exact"/>
              <w:rPr>
                <w:sz w:val="20"/>
                <w:szCs w:val="20"/>
                <w:color w:val="auto"/>
              </w:rPr>
            </w:pPr>
            <w:r>
              <w:rPr>
                <w:rFonts w:ascii="Arial" w:cs="Arial" w:eastAsia="Arial" w:hAnsi="Arial"/>
                <w:sz w:val="13"/>
                <w:szCs w:val="13"/>
                <w:b w:val="1"/>
                <w:bCs w:val="1"/>
                <w:color w:val="auto"/>
                <w:w w:val="94"/>
              </w:rPr>
              <w:t>Costs</w:t>
            </w:r>
          </w:p>
        </w:tc>
        <w:tc>
          <w:tcPr>
            <w:tcW w:w="1680" w:type="dxa"/>
            <w:vAlign w:val="bottom"/>
            <w:gridSpan w:val="4"/>
          </w:tcPr>
          <w:p>
            <w:pPr>
              <w:ind w:left="20"/>
              <w:spacing w:after="0" w:line="130" w:lineRule="exact"/>
              <w:rPr>
                <w:sz w:val="20"/>
                <w:szCs w:val="20"/>
                <w:color w:val="auto"/>
              </w:rPr>
            </w:pPr>
            <w:r>
              <w:rPr>
                <w:rFonts w:ascii="Arial" w:cs="Arial" w:eastAsia="Arial" w:hAnsi="Arial"/>
                <w:sz w:val="13"/>
                <w:szCs w:val="13"/>
                <w:b w:val="1"/>
                <w:bCs w:val="1"/>
                <w:color w:val="auto"/>
              </w:rPr>
              <w:t>Adjustments Adjustments</w:t>
            </w:r>
          </w:p>
        </w:tc>
        <w:tc>
          <w:tcPr>
            <w:tcW w:w="700" w:type="dxa"/>
            <w:vAlign w:val="bottom"/>
            <w:gridSpan w:val="2"/>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2020</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(B)</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(C)</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9"/>
              </w:rPr>
              <w:t>(D)</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(E)</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(F)</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5"/>
              </w:rPr>
              <w:t>(G)</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(H)</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(I)</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2020" w:type="dxa"/>
            <w:vAlign w:val="bottom"/>
          </w:tcPr>
          <w:p>
            <w:pPr>
              <w:ind w:left="20"/>
              <w:spacing w:after="0"/>
              <w:rPr>
                <w:sz w:val="20"/>
                <w:szCs w:val="20"/>
                <w:color w:val="auto"/>
              </w:rPr>
            </w:pPr>
            <w:r>
              <w:rPr>
                <w:rFonts w:ascii="Arial" w:cs="Arial" w:eastAsia="Arial" w:hAnsi="Arial"/>
                <w:sz w:val="14"/>
                <w:szCs w:val="14"/>
                <w:color w:val="auto"/>
              </w:rPr>
              <w:t>Cost of sales - exclusive of</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$ 125.7</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(0.7)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24.2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(0.9)</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69.0 %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0.2 %</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65.1 %</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218.2</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Arial" w:cs="Arial" w:eastAsia="Arial" w:hAnsi="Arial"/>
                <w:sz w:val="14"/>
                <w:szCs w:val="14"/>
                <w:color w:val="auto"/>
              </w:rPr>
              <w:t>administrative as a percent of</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740" w:type="dxa"/>
            <w:vAlign w:val="bottom"/>
          </w:tcPr>
          <w:p>
            <w:pPr>
              <w:jc w:val="right"/>
              <w:spacing w:after="0"/>
              <w:rPr>
                <w:sz w:val="20"/>
                <w:szCs w:val="20"/>
                <w:color w:val="auto"/>
              </w:rPr>
            </w:pPr>
            <w:r>
              <w:rPr>
                <w:rFonts w:ascii="Arial" w:cs="Arial" w:eastAsia="Arial" w:hAnsi="Arial"/>
                <w:sz w:val="14"/>
                <w:szCs w:val="14"/>
                <w:color w:val="auto"/>
              </w:rPr>
              <w:t>51.4 %</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43.2 %</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61.1</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a percent of net sales</w:t>
            </w:r>
          </w:p>
        </w:tc>
        <w:tc>
          <w:tcPr>
            <w:tcW w:w="740" w:type="dxa"/>
            <w:vAlign w:val="bottom"/>
          </w:tcPr>
          <w:p>
            <w:pPr>
              <w:jc w:val="right"/>
              <w:spacing w:after="0"/>
              <w:rPr>
                <w:sz w:val="20"/>
                <w:szCs w:val="20"/>
                <w:color w:val="auto"/>
              </w:rPr>
            </w:pPr>
            <w:r>
              <w:rPr>
                <w:rFonts w:ascii="Arial" w:cs="Arial" w:eastAsia="Arial" w:hAnsi="Arial"/>
                <w:sz w:val="14"/>
                <w:szCs w:val="14"/>
                <w:color w:val="auto"/>
              </w:rPr>
              <w:t>14.4 %</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Litigation provision, net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27.6</w:t>
            </w:r>
          </w:p>
        </w:tc>
        <w:tc>
          <w:tcPr>
            <w:tcW w:w="18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Operating (loss) income from</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(14.6)</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4"/>
                <w:szCs w:val="14"/>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19.0</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4.5 %</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21.6</w:t>
            </w:r>
          </w:p>
        </w:tc>
        <w:tc>
          <w:tcPr>
            <w:tcW w:w="18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Net (loss) income from</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(49.4)</w:t>
            </w:r>
          </w:p>
        </w:tc>
        <w:tc>
          <w:tcPr>
            <w:tcW w:w="180" w:type="dxa"/>
            <w:vAlign w:val="bottom"/>
          </w:tcPr>
          <w:p>
            <w:pPr>
              <w:spacing w:after="0"/>
              <w:rPr>
                <w:sz w:val="14"/>
                <w:szCs w:val="14"/>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4"/>
                <w:szCs w:val="14"/>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18.4</w:t>
            </w:r>
          </w:p>
        </w:tc>
        <w:tc>
          <w:tcPr>
            <w:tcW w:w="2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4"/>
                <w:szCs w:val="14"/>
                <w:color w:val="auto"/>
              </w:rPr>
              <w:t>Diluted EPS - Continuing</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 (1.02)</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0.11</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0.05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0.36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0.10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0.05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(0.54)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0.38</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0.55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0.12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2020 include:</w:t>
      </w:r>
    </w:p>
    <w:p>
      <w:pPr>
        <w:spacing w:after="0" w:line="73" w:lineRule="exact"/>
        <w:rPr>
          <w:sz w:val="20"/>
          <w:szCs w:val="20"/>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41"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68" w:lineRule="exact"/>
        <w:rPr>
          <w:rFonts w:ascii="Arial" w:cs="Arial" w:eastAsia="Arial" w:hAnsi="Arial"/>
          <w:sz w:val="14"/>
          <w:szCs w:val="14"/>
          <w:color w:val="auto"/>
        </w:rPr>
      </w:pPr>
    </w:p>
    <w:p>
      <w:pPr>
        <w:ind w:left="400" w:right="640" w:hanging="374"/>
        <w:spacing w:after="0" w:line="258"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w:t>
      </w:r>
    </w:p>
    <w:p>
      <w:pPr>
        <w:spacing w:after="0" w:line="31"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400" w:right="200" w:hanging="374"/>
        <w:spacing w:after="0" w:line="258"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 and intellectual property migration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247" w:right="339" w:bottom="1440" w:gutter="0" w:footer="0" w:header="0"/>
        </w:sectPr>
      </w:pPr>
    </w:p>
    <w:bookmarkStart w:id="19" w:name="page20"/>
    <w:bookmarkEnd w:id="19"/>
    <w:p>
      <w:pPr>
        <w:ind w:left="20" w:right="5580"/>
        <w:spacing w:after="0" w:line="285"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4"/>
          <w:szCs w:val="14"/>
          <w:b w:val="1"/>
          <w:bCs w:val="1"/>
          <w:color w:val="auto"/>
        </w:rPr>
        <w:t>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26035</wp:posOffset>
            </wp:positionV>
            <wp:extent cx="5452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Non-recurring</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6"/>
              </w:rPr>
              <w:t>Contingent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9"/>
              </w:rPr>
              <w:t>Merger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4"/>
              </w:rPr>
              <w:t>and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7"/>
              </w:rPr>
              <w:t>Product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Consideration</w:t>
            </w:r>
          </w:p>
        </w:tc>
        <w:tc>
          <w:tcPr>
            <w:tcW w:w="100" w:type="dxa"/>
            <w:vAlign w:val="bottom"/>
          </w:tcPr>
          <w:p>
            <w:pPr>
              <w:spacing w:after="0"/>
              <w:rPr>
                <w:sz w:val="11"/>
                <w:szCs w:val="11"/>
                <w:color w:val="auto"/>
              </w:rPr>
            </w:pPr>
          </w:p>
        </w:tc>
        <w:tc>
          <w:tcPr>
            <w:tcW w:w="8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5"/>
              </w:rPr>
              <w:t>Stock-based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3"/>
              </w:rPr>
              <w:t>Certain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Integration</w:t>
            </w:r>
          </w:p>
        </w:tc>
        <w:tc>
          <w:tcPr>
            <w:tcW w:w="90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120" w:type="dxa"/>
            <w:vAlign w:val="bottom"/>
          </w:tcPr>
          <w:p>
            <w:pPr>
              <w:spacing w:after="0"/>
              <w:rPr>
                <w:sz w:val="7"/>
                <w:szCs w:val="7"/>
                <w:color w:val="auto"/>
              </w:rPr>
            </w:pPr>
          </w:p>
        </w:tc>
        <w:tc>
          <w:tcPr>
            <w:tcW w:w="820" w:type="dxa"/>
            <w:vAlign w:val="bottom"/>
            <w:vMerge w:val="restart"/>
          </w:tcPr>
          <w:p>
            <w:pPr>
              <w:jc w:val="center"/>
              <w:ind w:right="71"/>
              <w:spacing w:after="0" w:line="135" w:lineRule="exact"/>
              <w:rPr>
                <w:sz w:val="20"/>
                <w:szCs w:val="20"/>
                <w:color w:val="auto"/>
              </w:rPr>
            </w:pPr>
            <w:r>
              <w:rPr>
                <w:rFonts w:ascii="Arial" w:cs="Arial" w:eastAsia="Arial" w:hAnsi="Arial"/>
                <w:sz w:val="13"/>
                <w:szCs w:val="13"/>
                <w:b w:val="1"/>
                <w:bCs w:val="1"/>
                <w:color w:val="auto"/>
                <w:w w:val="97"/>
              </w:rPr>
              <w:t>and Other</w:t>
            </w:r>
          </w:p>
        </w:tc>
        <w:tc>
          <w:tcPr>
            <w:tcW w:w="9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Certain Tax</w:t>
            </w:r>
          </w:p>
        </w:tc>
        <w:tc>
          <w:tcPr>
            <w:tcW w:w="160" w:type="dxa"/>
            <w:vAlign w:val="bottom"/>
          </w:tcPr>
          <w:p>
            <w:pPr>
              <w:spacing w:after="0"/>
              <w:rPr>
                <w:sz w:val="7"/>
                <w:szCs w:val="7"/>
                <w:color w:val="auto"/>
              </w:rPr>
            </w:pPr>
          </w:p>
        </w:tc>
        <w:tc>
          <w:tcPr>
            <w:tcW w:w="700" w:type="dxa"/>
            <w:vAlign w:val="bottom"/>
            <w:vMerge w:val="restart"/>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Interest</w:t>
            </w:r>
          </w:p>
        </w:tc>
        <w:tc>
          <w:tcPr>
            <w:tcW w:w="70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Ended</w:t>
            </w:r>
          </w:p>
        </w:tc>
        <w:tc>
          <w:tcPr>
            <w:tcW w:w="7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240" w:type="dxa"/>
            <w:vAlign w:val="bottom"/>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740" w:type="dxa"/>
            <w:vAlign w:val="bottom"/>
            <w:gridSpan w:val="2"/>
          </w:tcPr>
          <w:p>
            <w:pPr>
              <w:jc w:val="right"/>
              <w:ind w:right="29"/>
              <w:spacing w:after="0" w:line="130" w:lineRule="exact"/>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1"/>
                <w:szCs w:val="11"/>
                <w:color w:val="auto"/>
              </w:rPr>
            </w:pPr>
          </w:p>
        </w:tc>
        <w:tc>
          <w:tcPr>
            <w:tcW w:w="780" w:type="dxa"/>
            <w:vAlign w:val="bottom"/>
          </w:tcPr>
          <w:p>
            <w:pPr>
              <w:jc w:val="right"/>
              <w:ind w:right="109"/>
              <w:spacing w:after="0" w:line="130" w:lineRule="exact"/>
              <w:rPr>
                <w:sz w:val="20"/>
                <w:szCs w:val="20"/>
                <w:color w:val="auto"/>
              </w:rPr>
            </w:pPr>
            <w:r>
              <w:rPr>
                <w:rFonts w:ascii="Arial" w:cs="Arial" w:eastAsia="Arial" w:hAnsi="Arial"/>
                <w:sz w:val="13"/>
                <w:szCs w:val="13"/>
                <w:b w:val="1"/>
                <w:bCs w:val="1"/>
                <w:color w:val="auto"/>
                <w:w w:val="95"/>
              </w:rPr>
              <w:t>Expenses</w:t>
            </w:r>
          </w:p>
        </w:tc>
        <w:tc>
          <w:tcPr>
            <w:tcW w:w="100" w:type="dxa"/>
            <w:vAlign w:val="bottom"/>
          </w:tcPr>
          <w:p>
            <w:pPr>
              <w:spacing w:after="0"/>
              <w:rPr>
                <w:sz w:val="11"/>
                <w:szCs w:val="11"/>
                <w:color w:val="auto"/>
              </w:rPr>
            </w:pPr>
          </w:p>
        </w:tc>
        <w:tc>
          <w:tcPr>
            <w:tcW w:w="740" w:type="dxa"/>
            <w:vAlign w:val="bottom"/>
          </w:tcPr>
          <w:p>
            <w:pPr>
              <w:jc w:val="center"/>
              <w:ind w:right="50"/>
              <w:spacing w:after="0" w:line="130" w:lineRule="exact"/>
              <w:rPr>
                <w:sz w:val="20"/>
                <w:szCs w:val="20"/>
                <w:color w:val="auto"/>
              </w:rPr>
            </w:pPr>
            <w:r>
              <w:rPr>
                <w:rFonts w:ascii="Arial" w:cs="Arial" w:eastAsia="Arial" w:hAnsi="Arial"/>
                <w:sz w:val="13"/>
                <w:szCs w:val="13"/>
                <w:b w:val="1"/>
                <w:bCs w:val="1"/>
                <w:color w:val="auto"/>
                <w:w w:val="95"/>
              </w:rPr>
              <w:t>Expenses</w:t>
            </w:r>
          </w:p>
        </w:tc>
        <w:tc>
          <w:tcPr>
            <w:tcW w:w="8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rPr>
              <w:t>Impairments</w:t>
            </w:r>
          </w:p>
        </w:tc>
        <w:tc>
          <w:tcPr>
            <w:tcW w:w="100" w:type="dxa"/>
            <w:vAlign w:val="bottom"/>
          </w:tcPr>
          <w:p>
            <w:pPr>
              <w:spacing w:after="0"/>
              <w:rPr>
                <w:sz w:val="11"/>
                <w:szCs w:val="11"/>
                <w:color w:val="auto"/>
              </w:rPr>
            </w:pPr>
          </w:p>
        </w:tc>
        <w:tc>
          <w:tcPr>
            <w:tcW w:w="740" w:type="dxa"/>
            <w:vAlign w:val="bottom"/>
          </w:tcPr>
          <w:p>
            <w:pPr>
              <w:jc w:val="center"/>
              <w:ind w:right="50"/>
              <w:spacing w:after="0" w:line="130" w:lineRule="exact"/>
              <w:rPr>
                <w:sz w:val="20"/>
                <w:szCs w:val="20"/>
                <w:color w:val="auto"/>
              </w:rPr>
            </w:pPr>
            <w:r>
              <w:rPr>
                <w:rFonts w:ascii="Arial" w:cs="Arial" w:eastAsia="Arial" w:hAnsi="Arial"/>
                <w:sz w:val="13"/>
                <w:szCs w:val="13"/>
                <w:b w:val="1"/>
                <w:bCs w:val="1"/>
                <w:color w:val="auto"/>
                <w:w w:val="95"/>
              </w:rPr>
              <w:t>Expenses</w:t>
            </w:r>
          </w:p>
        </w:tc>
        <w:tc>
          <w:tcPr>
            <w:tcW w:w="160" w:type="dxa"/>
            <w:vAlign w:val="bottom"/>
          </w:tcPr>
          <w:p>
            <w:pPr>
              <w:spacing w:after="0"/>
              <w:rPr>
                <w:sz w:val="11"/>
                <w:szCs w:val="11"/>
                <w:color w:val="auto"/>
              </w:rPr>
            </w:pPr>
          </w:p>
        </w:tc>
        <w:tc>
          <w:tcPr>
            <w:tcW w:w="680" w:type="dxa"/>
            <w:vAlign w:val="bottom"/>
          </w:tcPr>
          <w:p>
            <w:pPr>
              <w:jc w:val="center"/>
              <w:ind w:right="129"/>
              <w:spacing w:after="0" w:line="130" w:lineRule="exact"/>
              <w:rPr>
                <w:sz w:val="20"/>
                <w:szCs w:val="20"/>
                <w:color w:val="auto"/>
              </w:rPr>
            </w:pPr>
            <w:r>
              <w:rPr>
                <w:rFonts w:ascii="Arial" w:cs="Arial" w:eastAsia="Arial" w:hAnsi="Arial"/>
                <w:sz w:val="13"/>
                <w:szCs w:val="13"/>
                <w:b w:val="1"/>
                <w:bCs w:val="1"/>
                <w:color w:val="auto"/>
                <w:w w:val="99"/>
              </w:rPr>
              <w:t>Costs</w:t>
            </w:r>
          </w:p>
        </w:tc>
        <w:tc>
          <w:tcPr>
            <w:tcW w:w="120" w:type="dxa"/>
            <w:vAlign w:val="bottom"/>
          </w:tcPr>
          <w:p>
            <w:pPr>
              <w:spacing w:after="0"/>
              <w:rPr>
                <w:sz w:val="11"/>
                <w:szCs w:val="11"/>
                <w:color w:val="auto"/>
              </w:rPr>
            </w:pPr>
          </w:p>
        </w:tc>
        <w:tc>
          <w:tcPr>
            <w:tcW w:w="820" w:type="dxa"/>
            <w:vAlign w:val="bottom"/>
          </w:tcPr>
          <w:p>
            <w:pPr>
              <w:jc w:val="center"/>
              <w:ind w:right="71"/>
              <w:spacing w:after="0" w:line="130" w:lineRule="exact"/>
              <w:rPr>
                <w:sz w:val="20"/>
                <w:szCs w:val="20"/>
                <w:color w:val="auto"/>
              </w:rPr>
            </w:pPr>
            <w:r>
              <w:rPr>
                <w:rFonts w:ascii="Arial" w:cs="Arial" w:eastAsia="Arial" w:hAnsi="Arial"/>
                <w:sz w:val="13"/>
                <w:szCs w:val="13"/>
                <w:b w:val="1"/>
                <w:bCs w:val="1"/>
                <w:color w:val="auto"/>
                <w:w w:val="96"/>
              </w:rPr>
              <w:t>Reserves</w:t>
            </w:r>
          </w:p>
        </w:tc>
        <w:tc>
          <w:tcPr>
            <w:tcW w:w="100" w:type="dxa"/>
            <w:vAlign w:val="bottom"/>
          </w:tcPr>
          <w:p>
            <w:pPr>
              <w:spacing w:after="0"/>
              <w:rPr>
                <w:sz w:val="11"/>
                <w:szCs w:val="11"/>
                <w:color w:val="auto"/>
              </w:rPr>
            </w:pPr>
          </w:p>
        </w:tc>
        <w:tc>
          <w:tcPr>
            <w:tcW w:w="840" w:type="dxa"/>
            <w:vAlign w:val="bottom"/>
          </w:tcPr>
          <w:p>
            <w:pPr>
              <w:jc w:val="center"/>
              <w:ind w:right="70"/>
              <w:spacing w:after="0" w:line="130" w:lineRule="exact"/>
              <w:rPr>
                <w:sz w:val="20"/>
                <w:szCs w:val="20"/>
                <w:color w:val="auto"/>
              </w:rPr>
            </w:pPr>
            <w:r>
              <w:rPr>
                <w:rFonts w:ascii="Arial" w:cs="Arial" w:eastAsia="Arial" w:hAnsi="Arial"/>
                <w:sz w:val="13"/>
                <w:szCs w:val="13"/>
                <w:b w:val="1"/>
                <w:bCs w:val="1"/>
                <w:color w:val="auto"/>
                <w:w w:val="94"/>
              </w:rPr>
              <w:t>Costs</w:t>
            </w:r>
          </w:p>
        </w:tc>
        <w:tc>
          <w:tcPr>
            <w:tcW w:w="840" w:type="dxa"/>
            <w:vAlign w:val="bottom"/>
            <w:gridSpan w:val="2"/>
          </w:tcPr>
          <w:p>
            <w:pPr>
              <w:ind w:left="20"/>
              <w:spacing w:after="0" w:line="130" w:lineRule="exact"/>
              <w:rPr>
                <w:sz w:val="20"/>
                <w:szCs w:val="20"/>
                <w:color w:val="auto"/>
              </w:rPr>
            </w:pPr>
            <w:r>
              <w:rPr>
                <w:rFonts w:ascii="Arial" w:cs="Arial" w:eastAsia="Arial" w:hAnsi="Arial"/>
                <w:sz w:val="13"/>
                <w:szCs w:val="13"/>
                <w:b w:val="1"/>
                <w:bCs w:val="1"/>
                <w:color w:val="auto"/>
              </w:rPr>
              <w:t>Adjustments</w:t>
            </w:r>
          </w:p>
        </w:tc>
        <w:tc>
          <w:tcPr>
            <w:tcW w:w="8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00" w:type="dxa"/>
            <w:vAlign w:val="bottom"/>
            <w:gridSpan w:val="2"/>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2019</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(B)</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(C)</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(E)</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(F)</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5"/>
              </w:rPr>
              <w:t>(G)</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(H)</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7"/>
              </w:rPr>
              <w:t>(J)</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240" w:type="dxa"/>
            <w:vAlign w:val="bottom"/>
          </w:tcPr>
          <w:p>
            <w:pPr>
              <w:ind w:left="20"/>
              <w:spacing w:after="0"/>
              <w:rPr>
                <w:sz w:val="20"/>
                <w:szCs w:val="20"/>
                <w:color w:val="auto"/>
              </w:rPr>
            </w:pPr>
            <w:r>
              <w:rPr>
                <w:rFonts w:ascii="Arial" w:cs="Arial" w:eastAsia="Arial" w:hAnsi="Arial"/>
                <w:sz w:val="14"/>
                <w:szCs w:val="14"/>
                <w:color w:val="auto"/>
              </w:rPr>
              <w:t>Cost of sales -</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exclusive of</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$ 159.2</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(1.4)</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5.5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Product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68.3 %</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0.3 %</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0.2 %</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Selling, general</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and administrative</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252.9</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Selling, general</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and administrative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as a percent of net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sales</w:t>
            </w:r>
          </w:p>
        </w:tc>
        <w:tc>
          <w:tcPr>
            <w:tcW w:w="720" w:type="dxa"/>
            <w:vAlign w:val="bottom"/>
          </w:tcPr>
          <w:p>
            <w:pPr>
              <w:jc w:val="right"/>
              <w:spacing w:after="0"/>
              <w:rPr>
                <w:sz w:val="20"/>
                <w:szCs w:val="20"/>
                <w:color w:val="auto"/>
              </w:rPr>
            </w:pPr>
            <w:r>
              <w:rPr>
                <w:rFonts w:ascii="Arial" w:cs="Arial" w:eastAsia="Arial" w:hAnsi="Arial"/>
                <w:sz w:val="14"/>
                <w:szCs w:val="14"/>
                <w:color w:val="auto"/>
              </w:rPr>
              <w:t>47.9 %</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40.3 %</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78.1</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development as a</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percent of net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sales</w:t>
            </w:r>
          </w:p>
        </w:tc>
        <w:tc>
          <w:tcPr>
            <w:tcW w:w="720" w:type="dxa"/>
            <w:vAlign w:val="bottom"/>
          </w:tcPr>
          <w:p>
            <w:pPr>
              <w:jc w:val="right"/>
              <w:spacing w:after="0"/>
              <w:rPr>
                <w:sz w:val="20"/>
                <w:szCs w:val="20"/>
                <w:color w:val="auto"/>
              </w:rPr>
            </w:pPr>
            <w:r>
              <w:rPr>
                <w:rFonts w:ascii="Arial" w:cs="Arial" w:eastAsia="Arial" w:hAnsi="Arial"/>
                <w:sz w:val="14"/>
                <w:szCs w:val="14"/>
                <w:color w:val="auto"/>
              </w:rPr>
              <w:t>14.8 %</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80.3</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(18.5)</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income from</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(50.7)</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3.8 %</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0.5 %</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3.0 %</w:t>
            </w:r>
          </w:p>
        </w:tc>
        <w:tc>
          <w:tcPr>
            <w:tcW w:w="20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(benefit) expense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from continuing</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(44.2)</w:t>
            </w:r>
          </w:p>
        </w:tc>
        <w:tc>
          <w:tcPr>
            <w:tcW w:w="18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15.2</w:t>
            </w:r>
          </w:p>
        </w:tc>
        <w:tc>
          <w:tcPr>
            <w:tcW w:w="2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06"/>
        </w:trPr>
        <w:tc>
          <w:tcPr>
            <w:tcW w:w="1240" w:type="dxa"/>
            <w:vAlign w:val="bottom"/>
          </w:tcPr>
          <w:p>
            <w:pPr>
              <w:ind w:left="20"/>
              <w:spacing w:after="0"/>
              <w:rPr>
                <w:sz w:val="20"/>
                <w:szCs w:val="20"/>
                <w:color w:val="auto"/>
              </w:rPr>
            </w:pPr>
            <w:r>
              <w:rPr>
                <w:rFonts w:ascii="Arial" w:cs="Arial" w:eastAsia="Arial" w:hAnsi="Arial"/>
                <w:sz w:val="14"/>
                <w:szCs w:val="14"/>
                <w:color w:val="auto"/>
              </w:rPr>
              <w:t>Diluted EPS -</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 (0.92)</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0.12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0.06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0.31</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0.79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0.11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0.04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0.17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0.25</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0.27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0.03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2019 include:</w:t>
      </w:r>
    </w:p>
    <w:p>
      <w:pPr>
        <w:spacing w:after="0" w:line="73" w:lineRule="exact"/>
        <w:rPr>
          <w:sz w:val="20"/>
          <w:szCs w:val="20"/>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 of ImThera intangible assets and other long-lived assets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400" w:hanging="374"/>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47" w:right="339" w:bottom="1440" w:gutter="0" w:footer="0" w:header="0"/>
        </w:sectPr>
      </w:pPr>
    </w:p>
    <w:bookmarkStart w:id="20" w:name="page21"/>
    <w:bookmarkEnd w:id="20"/>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gridSpan w:val="2"/>
          </w:tcPr>
          <w:p>
            <w:pPr>
              <w:ind w:left="20"/>
              <w:spacing w:after="0"/>
              <w:rPr>
                <w:sz w:val="20"/>
                <w:szCs w:val="20"/>
                <w:color w:val="auto"/>
              </w:rPr>
            </w:pPr>
            <w:r>
              <w:rPr>
                <w:rFonts w:ascii="Arial" w:cs="Arial" w:eastAsia="Arial" w:hAnsi="Arial"/>
                <w:sz w:val="16"/>
                <w:szCs w:val="16"/>
                <w:b w:val="1"/>
                <w:bCs w:val="1"/>
                <w:color w:val="auto"/>
              </w:rPr>
              <w:t>LIVANOVA PLC AND SUBSIDIARIES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CONDENSED CONSOLIDATED BALANCE SHEETS - UNAUDITED</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b w:val="1"/>
                <w:bCs w:val="1"/>
                <w:color w:val="auto"/>
              </w:rPr>
              <w:t>(U.S. dollars in millions)</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14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June 30, 2020</w:t>
            </w:r>
          </w:p>
        </w:tc>
        <w:tc>
          <w:tcPr>
            <w:tcW w:w="80" w:type="dxa"/>
            <w:vAlign w:val="bottom"/>
          </w:tcPr>
          <w:p>
            <w:pPr>
              <w:spacing w:after="0"/>
              <w:rPr>
                <w:sz w:val="23"/>
                <w:szCs w:val="23"/>
                <w:color w:val="auto"/>
              </w:rPr>
            </w:pPr>
          </w:p>
        </w:tc>
        <w:tc>
          <w:tcPr>
            <w:tcW w:w="214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4"/>
        </w:trPr>
        <w:tc>
          <w:tcPr>
            <w:tcW w:w="684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i w:val="1"/>
                <w:iCs w:val="1"/>
                <w:color w:val="auto"/>
              </w:rPr>
              <w:t>Current Assets:</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$232.5</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 of allowance</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186.1</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Inventories, net</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177.2</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Prepaid and refundable taxes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56"/>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22"/>
                <w:szCs w:val="22"/>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Current Assets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672.4</w:t>
            </w:r>
          </w:p>
        </w:tc>
        <w:tc>
          <w:tcPr>
            <w:tcW w:w="80" w:type="dxa"/>
            <w:vAlign w:val="bottom"/>
          </w:tcPr>
          <w:p>
            <w:pPr>
              <w:spacing w:after="0"/>
              <w:rPr>
                <w:sz w:val="20"/>
                <w:szCs w:val="20"/>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549.4</w:t>
            </w:r>
          </w:p>
        </w:tc>
        <w:tc>
          <w:tcPr>
            <w:tcW w:w="0" w:type="dxa"/>
            <w:vAlign w:val="bottom"/>
          </w:tcPr>
          <w:p>
            <w:pPr>
              <w:spacing w:after="0"/>
              <w:rPr>
                <w:sz w:val="1"/>
                <w:szCs w:val="1"/>
                <w:color w:val="auto"/>
              </w:rPr>
            </w:pPr>
          </w:p>
        </w:tc>
      </w:tr>
      <w:tr>
        <w:trPr>
          <w:trHeight w:val="224"/>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Property, plant and equipment, net</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185.7</w:t>
            </w:r>
          </w:p>
        </w:tc>
        <w:tc>
          <w:tcPr>
            <w:tcW w:w="80" w:type="dxa"/>
            <w:vAlign w:val="bottom"/>
          </w:tcPr>
          <w:p>
            <w:pPr>
              <w:spacing w:after="0"/>
              <w:rPr>
                <w:sz w:val="19"/>
                <w:szCs w:val="19"/>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Goodwill</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902.2</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915.8</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Intangible assets, net</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583.5</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Operating lease assets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Investments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Deferred tax assets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56"/>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Other assets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22"/>
                <w:szCs w:val="22"/>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$2,502.7</w:t>
            </w:r>
          </w:p>
        </w:tc>
        <w:tc>
          <w:tcPr>
            <w:tcW w:w="80" w:type="dxa"/>
            <w:vAlign w:val="bottom"/>
          </w:tcPr>
          <w:p>
            <w:pPr>
              <w:spacing w:after="0"/>
              <w:rPr>
                <w:sz w:val="21"/>
                <w:szCs w:val="21"/>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1"/>
        </w:trPr>
        <w:tc>
          <w:tcPr>
            <w:tcW w:w="6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684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Current debt obligations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69.1</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Accrued liabilities and other</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Current litigation provision liability</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Taxes payable</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56"/>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Accrued employee compensation and related benefits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48.8</w:t>
            </w:r>
          </w:p>
        </w:tc>
        <w:tc>
          <w:tcPr>
            <w:tcW w:w="80" w:type="dxa"/>
            <w:vAlign w:val="bottom"/>
          </w:tcPr>
          <w:p>
            <w:pPr>
              <w:spacing w:after="0"/>
              <w:rPr>
                <w:sz w:val="22"/>
                <w:szCs w:val="22"/>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Current Liabilities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268.4</w:t>
            </w:r>
          </w:p>
        </w:tc>
        <w:tc>
          <w:tcPr>
            <w:tcW w:w="80" w:type="dxa"/>
            <w:vAlign w:val="bottom"/>
          </w:tcPr>
          <w:p>
            <w:pPr>
              <w:spacing w:after="0"/>
              <w:rPr>
                <w:sz w:val="20"/>
                <w:szCs w:val="20"/>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512.6</w:t>
            </w:r>
          </w:p>
        </w:tc>
        <w:tc>
          <w:tcPr>
            <w:tcW w:w="0" w:type="dxa"/>
            <w:vAlign w:val="bottom"/>
          </w:tcPr>
          <w:p>
            <w:pPr>
              <w:spacing w:after="0"/>
              <w:rPr>
                <w:sz w:val="1"/>
                <w:szCs w:val="1"/>
                <w:color w:val="auto"/>
              </w:rPr>
            </w:pPr>
          </w:p>
        </w:tc>
      </w:tr>
      <w:tr>
        <w:trPr>
          <w:trHeight w:val="224"/>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Long-term debt obligations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639.2</w:t>
            </w:r>
          </w:p>
        </w:tc>
        <w:tc>
          <w:tcPr>
            <w:tcW w:w="80" w:type="dxa"/>
            <w:vAlign w:val="bottom"/>
          </w:tcPr>
          <w:p>
            <w:pPr>
              <w:spacing w:after="0"/>
              <w:rPr>
                <w:sz w:val="19"/>
                <w:szCs w:val="19"/>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Contingent consideration</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Litigation provision liability</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Deferred tax liabilities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Long-term operating lease liabilities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Long-term employee compensation and related benefits</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Long-term derivative liability</w:t>
            </w: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21"/>
                <w:szCs w:val="21"/>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6"/>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Other long-term liabilities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22"/>
                <w:szCs w:val="22"/>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1,169.5</w:t>
            </w:r>
          </w:p>
        </w:tc>
        <w:tc>
          <w:tcPr>
            <w:tcW w:w="80" w:type="dxa"/>
            <w:vAlign w:val="bottom"/>
          </w:tcPr>
          <w:p>
            <w:pPr>
              <w:spacing w:after="0"/>
              <w:rPr>
                <w:sz w:val="20"/>
                <w:szCs w:val="20"/>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1,333.2</w:t>
            </w:r>
          </w:p>
        </w:tc>
        <w:tc>
          <w:tcPr>
            <w:tcW w:w="80" w:type="dxa"/>
            <w:vAlign w:val="bottom"/>
          </w:tcPr>
          <w:p>
            <w:pPr>
              <w:spacing w:after="0"/>
              <w:rPr>
                <w:sz w:val="20"/>
                <w:szCs w:val="20"/>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$2,502.7</w:t>
            </w:r>
          </w:p>
        </w:tc>
        <w:tc>
          <w:tcPr>
            <w:tcW w:w="80" w:type="dxa"/>
            <w:vAlign w:val="bottom"/>
          </w:tcPr>
          <w:p>
            <w:pPr>
              <w:spacing w:after="0"/>
              <w:rPr>
                <w:sz w:val="21"/>
                <w:szCs w:val="21"/>
                <w:color w:val="auto"/>
              </w:rPr>
            </w:pPr>
          </w:p>
        </w:tc>
        <w:tc>
          <w:tcPr>
            <w:tcW w:w="2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40" w:top="1440" w:right="359" w:bottom="1440" w:gutter="0" w:footer="0" w:header="0"/>
        </w:sectPr>
      </w:pPr>
    </w:p>
    <w:bookmarkStart w:id="21" w:name="page22"/>
    <w:bookmarkEnd w:id="21"/>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20"/>
                <w:szCs w:val="20"/>
                <w:color w:val="auto"/>
              </w:rPr>
            </w:pPr>
            <w:r>
              <w:rPr>
                <w:rFonts w:ascii="Arial" w:cs="Arial" w:eastAsia="Arial" w:hAnsi="Arial"/>
                <w:sz w:val="16"/>
                <w:szCs w:val="16"/>
                <w:b w:val="1"/>
                <w:bCs w:val="1"/>
                <w:color w:val="auto"/>
              </w:rPr>
              <w:t>LIVANOVA PLC AND SUBSIDIARIES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CASH FLOWS - UNAUDITED</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36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Net loss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Non-cash items included in net loss: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Deferred tax expense</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Remeasurement of contingent consideration to fair value</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Amortization</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Remeasurement of derivative instruments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Amortization of operating lease assets</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Impairment of intangible assets</w:t>
            </w:r>
          </w:p>
        </w:tc>
        <w:tc>
          <w:tcPr>
            <w:tcW w:w="1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Other</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Other current and non-current assets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Accounts payable and accrued current and non-current liabilities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Taxes payable</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Litigation provision liability</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540" w:type="dxa"/>
            <w:vAlign w:val="bottom"/>
          </w:tcPr>
          <w:p>
            <w:pPr>
              <w:ind w:left="100"/>
              <w:spacing w:after="0"/>
              <w:rPr>
                <w:sz w:val="20"/>
                <w:szCs w:val="20"/>
                <w:color w:val="auto"/>
              </w:rPr>
            </w:pPr>
            <w:r>
              <w:rPr>
                <w:rFonts w:ascii="Arial" w:cs="Arial" w:eastAsia="Arial" w:hAnsi="Arial"/>
                <w:sz w:val="16"/>
                <w:szCs w:val="16"/>
                <w:color w:val="auto"/>
              </w:rPr>
              <w:t>Restructuring reserve</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6"/>
        </w:trPr>
        <w:tc>
          <w:tcPr>
            <w:tcW w:w="7540" w:type="dxa"/>
            <w:vAlign w:val="bottom"/>
          </w:tcPr>
          <w:p>
            <w:pPr>
              <w:ind w:left="200"/>
              <w:spacing w:after="0"/>
              <w:rPr>
                <w:sz w:val="20"/>
                <w:szCs w:val="20"/>
                <w:color w:val="auto"/>
              </w:rPr>
            </w:pPr>
            <w:r>
              <w:rPr>
                <w:rFonts w:ascii="Arial" w:cs="Arial" w:eastAsia="Arial" w:hAnsi="Arial"/>
                <w:sz w:val="16"/>
                <w:szCs w:val="16"/>
                <w:b w:val="1"/>
                <w:bCs w:val="1"/>
                <w:color w:val="auto"/>
              </w:rPr>
              <w:t>Net cash used in operating activities</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Purchase of investments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Loans to investees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Acquisitions, net of cash acquired</w:t>
            </w:r>
          </w:p>
        </w:tc>
        <w:tc>
          <w:tcPr>
            <w:tcW w:w="1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6"/>
        </w:trPr>
        <w:tc>
          <w:tcPr>
            <w:tcW w:w="7540" w:type="dxa"/>
            <w:vAlign w:val="bottom"/>
          </w:tcPr>
          <w:p>
            <w:pPr>
              <w:ind w:left="10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long-term debt obligations</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886.9</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Repayment of long-term debt obligations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Repayments of short term borrowings (maturities greater than 90 days)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Purchase of capped call</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Debt issuance costs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Closing adjustment payment for sale of CRM business</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Payment of contingent consideration</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Shares repurchased from employees for minimum tax withholding</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share issuances under ESPP</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3"/>
        </w:trPr>
        <w:tc>
          <w:tcPr>
            <w:tcW w:w="7540" w:type="dxa"/>
            <w:vAlign w:val="bottom"/>
          </w:tcPr>
          <w:p>
            <w:pPr>
              <w:ind w:left="100"/>
              <w:spacing w:after="0"/>
              <w:rPr>
                <w:sz w:val="20"/>
                <w:szCs w:val="20"/>
                <w:color w:val="auto"/>
              </w:rPr>
            </w:pPr>
            <w:r>
              <w:rPr>
                <w:rFonts w:ascii="Arial" w:cs="Arial" w:eastAsia="Arial" w:hAnsi="Arial"/>
                <w:sz w:val="16"/>
                <w:szCs w:val="16"/>
                <w:color w:val="auto"/>
              </w:rPr>
              <w:t>Change in short-term borrowing, net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6"/>
        </w:trPr>
        <w:tc>
          <w:tcPr>
            <w:tcW w:w="7540" w:type="dxa"/>
            <w:vAlign w:val="bottom"/>
          </w:tcPr>
          <w:p>
            <w:pPr>
              <w:ind w:left="100"/>
              <w:spacing w:after="0"/>
              <w:rPr>
                <w:sz w:val="20"/>
                <w:szCs w:val="20"/>
                <w:color w:val="auto"/>
              </w:rPr>
            </w:pPr>
            <w:r>
              <w:rPr>
                <w:rFonts w:ascii="Arial" w:cs="Arial" w:eastAsia="Arial" w:hAnsi="Arial"/>
                <w:sz w:val="16"/>
                <w:szCs w:val="16"/>
                <w:color w:val="auto"/>
              </w:rPr>
              <w:t>Other</w:t>
            </w:r>
          </w:p>
        </w:tc>
        <w:tc>
          <w:tcPr>
            <w:tcW w:w="1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6"/>
        </w:trPr>
        <w:tc>
          <w:tcPr>
            <w:tcW w:w="7540" w:type="dxa"/>
            <w:vAlign w:val="bottom"/>
          </w:tcPr>
          <w:p>
            <w:pPr>
              <w:ind w:left="200"/>
              <w:spacing w:after="0"/>
              <w:rPr>
                <w:sz w:val="20"/>
                <w:szCs w:val="20"/>
                <w:color w:val="auto"/>
              </w:rPr>
            </w:pPr>
            <w:r>
              <w:rPr>
                <w:rFonts w:ascii="Arial" w:cs="Arial" w:eastAsia="Arial" w:hAnsi="Arial"/>
                <w:sz w:val="16"/>
                <w:szCs w:val="16"/>
                <w:b w:val="1"/>
                <w:bCs w:val="1"/>
                <w:color w:val="auto"/>
              </w:rPr>
              <w:t>Net cash provided by financing activities</w:t>
            </w:r>
          </w:p>
        </w:tc>
        <w:tc>
          <w:tcPr>
            <w:tcW w:w="1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$232.5</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6"/>
                <w:szCs w:val="16"/>
                <w:color w:val="auto"/>
              </w:rPr>
              <w:t>* Numbers may not add up precisely due to rounding.</w:t>
            </w: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75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20"/>
          </w:cols>
          <w:pgMar w:left="340" w:top="1440" w:right="339" w:bottom="1440" w:gutter="0" w:footer="0" w:header="0"/>
        </w:sectPr>
      </w:pPr>
    </w:p>
    <w:p>
      <w:pPr>
        <w:jc w:val="center"/>
        <w:ind w:right="2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20"/>
          </w:cols>
          <w:pgMar w:left="340" w:top="1440" w:right="339" w:bottom="1440" w:gutter="0" w:footer="0" w:header="0"/>
          <w:type w:val="continuous"/>
        </w:sectPr>
      </w:pPr>
    </w:p>
    <w:bookmarkStart w:id="22" w:name="page23"/>
    <w:bookmarkEnd w:id="22"/>
    <w:p>
      <w:pPr>
        <w:ind w:right="120"/>
        <w:spacing w:after="0" w:line="271" w:lineRule="auto"/>
        <w:rPr>
          <w:sz w:val="20"/>
          <w:szCs w:val="20"/>
          <w:color w:val="auto"/>
        </w:rPr>
      </w:pPr>
      <w:r>
        <w:rPr>
          <w:rFonts w:ascii="Arial" w:cs="Arial" w:eastAsia="Arial" w:hAnsi="Arial"/>
          <w:sz w:val="16"/>
          <w:szCs w:val="16"/>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Three Months</w:t>
            </w:r>
          </w:p>
        </w:tc>
        <w:tc>
          <w:tcPr>
            <w:tcW w:w="298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98"/>
        </w:trPr>
        <w:tc>
          <w:tcPr>
            <w:tcW w:w="6740" w:type="dxa"/>
            <w:vAlign w:val="bottom"/>
          </w:tcPr>
          <w:p>
            <w:pPr>
              <w:spacing w:after="0"/>
              <w:rPr>
                <w:sz w:val="8"/>
                <w:szCs w:val="8"/>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Ended June 30,</w:t>
            </w:r>
          </w:p>
        </w:tc>
        <w:tc>
          <w:tcPr>
            <w:tcW w:w="29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74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74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6"/>
                <w:szCs w:val="16"/>
                <w:color w:val="auto"/>
              </w:rPr>
              <w:t>GAAP diluted weighted average shares outstanding</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8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0"/>
                <w:szCs w:val="20"/>
                <w:color w:val="auto"/>
              </w:rPr>
            </w:pPr>
            <w:r>
              <w:rPr>
                <w:rFonts w:ascii="Arial" w:cs="Arial" w:eastAsia="Arial" w:hAnsi="Arial"/>
                <w:sz w:val="16"/>
                <w:szCs w:val="16"/>
                <w:color w:val="auto"/>
              </w:rPr>
              <w:t>Add effects of stock-based compensation instruments</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6"/>
                <w:szCs w:val="16"/>
                <w:color w:val="auto"/>
              </w:rPr>
              <w:t xml:space="preserve">Adjusted diluted weighted average shares outstanding </w:t>
            </w:r>
            <w:r>
              <w:rPr>
                <w:rFonts w:ascii="Arial" w:cs="Arial" w:eastAsia="Arial" w:hAnsi="Arial"/>
                <w:sz w:val="21"/>
                <w:szCs w:val="21"/>
                <w:color w:val="auto"/>
                <w:vertAlign w:val="superscript"/>
              </w:rPr>
              <w:t>(1)</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21"/>
                <w:szCs w:val="21"/>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48.8</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40" w:right="80" w:hanging="414"/>
        <w:spacing w:after="0" w:line="260"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33" w:lineRule="exact"/>
        <w:rPr>
          <w:sz w:val="20"/>
          <w:szCs w:val="20"/>
          <w:color w:val="auto"/>
        </w:rPr>
      </w:pPr>
    </w:p>
    <w:p>
      <w:pPr>
        <w:ind w:left="440" w:hanging="414"/>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sectPr>
      <w:pgSz w:w="11900" w:h="16838" w:orient="portrait"/>
      <w:cols w:equalWidth="0" w:num="1">
        <w:col w:w="11240"/>
      </w:cols>
      <w:pgMar w:left="320" w:top="14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upperLetter"/>
      <w:start w:val="1"/>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upp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2020-07-29T05:22:20Z</dcterms:created>
  <dcterms:modified xsi:type="dcterms:W3CDTF">2020-07-29T05:22:20Z</dcterms:modified>
</cp:coreProperties>
</file>