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5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Report (Date of earliest event reported): November 4,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171450</wp:posOffset>
            </wp:positionV>
            <wp:extent cx="1645920" cy="2914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45920" cy="2914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LivaNova PLC</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35" w:lineRule="exact"/>
        <w:rPr>
          <w:sz w:val="24"/>
          <w:szCs w:val="24"/>
          <w:color w:val="auto"/>
        </w:rPr>
      </w:pPr>
    </w:p>
    <w:tbl>
      <w:tblPr>
        <w:tblLayout w:type="fixed"/>
        <w:tblInd w:w="1320" w:type="dxa"/>
        <w:tblCellMar>
          <w:top w:w="0" w:type="dxa"/>
          <w:left w:w="0" w:type="dxa"/>
          <w:bottom w:w="0" w:type="dxa"/>
          <w:right w:w="0" w:type="dxa"/>
        </w:tblCellMar>
      </w:tblPr>
      <w:tr>
        <w:trPr>
          <w:trHeight w:val="238"/>
        </w:trPr>
        <w:tc>
          <w:tcPr>
            <w:tcW w:w="2860" w:type="dxa"/>
            <w:vAlign w:val="bottom"/>
          </w:tcPr>
          <w:p>
            <w:pPr>
              <w:jc w:val="center"/>
              <w:ind w:right="810"/>
              <w:spacing w:after="0"/>
              <w:rPr>
                <w:sz w:val="20"/>
                <w:szCs w:val="20"/>
                <w:color w:val="auto"/>
              </w:rPr>
            </w:pPr>
            <w:r>
              <w:rPr>
                <w:rFonts w:ascii="Times New Roman" w:cs="Times New Roman" w:eastAsia="Times New Roman" w:hAnsi="Times New Roman"/>
                <w:sz w:val="18"/>
                <w:szCs w:val="18"/>
                <w:b w:val="1"/>
                <w:bCs w:val="1"/>
                <w:color w:val="auto"/>
                <w:w w:val="98"/>
              </w:rPr>
              <w:t>England and Wales</w:t>
            </w:r>
          </w:p>
        </w:tc>
        <w:tc>
          <w:tcPr>
            <w:tcW w:w="30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001-37599</w:t>
            </w:r>
          </w:p>
        </w:tc>
        <w:tc>
          <w:tcPr>
            <w:tcW w:w="2420" w:type="dxa"/>
            <w:vAlign w:val="bottom"/>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rPr>
              <w:t>98-1268150</w:t>
            </w:r>
          </w:p>
        </w:tc>
      </w:tr>
      <w:tr>
        <w:trPr>
          <w:trHeight w:val="252"/>
        </w:trPr>
        <w:tc>
          <w:tcPr>
            <w:tcW w:w="2860" w:type="dxa"/>
            <w:vAlign w:val="bottom"/>
          </w:tcPr>
          <w:p>
            <w:pPr>
              <w:jc w:val="center"/>
              <w:ind w:right="81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30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(Commission</w:t>
            </w:r>
          </w:p>
        </w:tc>
        <w:tc>
          <w:tcPr>
            <w:tcW w:w="2420" w:type="dxa"/>
            <w:vAlign w:val="bottom"/>
          </w:tcPr>
          <w:p>
            <w:pPr>
              <w:jc w:val="center"/>
              <w:ind w:left="95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860" w:type="dxa"/>
            <w:vAlign w:val="bottom"/>
          </w:tcPr>
          <w:p>
            <w:pPr>
              <w:jc w:val="center"/>
              <w:ind w:right="770"/>
              <w:spacing w:after="0"/>
              <w:rPr>
                <w:sz w:val="20"/>
                <w:szCs w:val="20"/>
                <w:color w:val="auto"/>
              </w:rPr>
            </w:pPr>
            <w:r>
              <w:rPr>
                <w:rFonts w:ascii="Times New Roman" w:cs="Times New Roman" w:eastAsia="Times New Roman" w:hAnsi="Times New Roman"/>
                <w:sz w:val="18"/>
                <w:szCs w:val="18"/>
                <w:color w:val="auto"/>
              </w:rPr>
              <w:t>of Incorporation)</w:t>
            </w:r>
          </w:p>
        </w:tc>
        <w:tc>
          <w:tcPr>
            <w:tcW w:w="30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File Number)</w:t>
            </w:r>
          </w:p>
        </w:tc>
        <w:tc>
          <w:tcPr>
            <w:tcW w:w="2420" w:type="dxa"/>
            <w:vAlign w:val="bottom"/>
          </w:tcPr>
          <w:p>
            <w:pPr>
              <w:jc w:val="center"/>
              <w:ind w:left="990"/>
              <w:spacing w:after="0"/>
              <w:rPr>
                <w:sz w:val="20"/>
                <w:szCs w:val="20"/>
                <w:color w:val="auto"/>
              </w:rPr>
            </w:pPr>
            <w:r>
              <w:rPr>
                <w:rFonts w:ascii="Times New Roman" w:cs="Times New Roman" w:eastAsia="Times New Roman" w:hAnsi="Times New Roman"/>
                <w:sz w:val="18"/>
                <w:szCs w:val="18"/>
                <w:color w:val="auto"/>
                <w:w w:val="99"/>
              </w:rPr>
              <w:t>Identification No.)</w:t>
            </w:r>
          </w:p>
        </w:tc>
      </w:tr>
    </w:tbl>
    <w:p>
      <w:pPr>
        <w:spacing w:after="0" w:line="3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5220 Valiant Court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Gloucester, GL3 4FE</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+ 44 20 33250660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34" w:lineRule="exact"/>
        <w:rPr>
          <w:sz w:val="24"/>
          <w:szCs w:val="24"/>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 (see General Instructions A.2. below):</w:t>
      </w:r>
    </w:p>
    <w:p>
      <w:pPr>
        <w:spacing w:after="0" w:line="229"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71" w:lineRule="exact"/>
        <w:rPr>
          <w:rFonts w:ascii="MS PGothic" w:cs="MS PGothic" w:eastAsia="MS PGothic" w:hAnsi="MS PGothic"/>
          <w:sz w:val="22"/>
          <w:szCs w:val="22"/>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71" w:lineRule="exact"/>
        <w:rPr>
          <w:rFonts w:ascii="MS PGothic" w:cs="MS PGothic" w:eastAsia="MS PGothic" w:hAnsi="MS PGothic"/>
          <w:sz w:val="22"/>
          <w:szCs w:val="22"/>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71" w:lineRule="exact"/>
        <w:rPr>
          <w:rFonts w:ascii="MS PGothic" w:cs="MS PGothic" w:eastAsia="MS PGothic" w:hAnsi="MS PGothic"/>
          <w:sz w:val="22"/>
          <w:szCs w:val="22"/>
          <w:color w:val="auto"/>
        </w:rPr>
      </w:pPr>
    </w:p>
    <w:p>
      <w:pPr>
        <w:ind w:right="2960" w:firstLine="8"/>
        <w:spacing w:after="0" w:line="397" w:lineRule="auto"/>
        <w:tabs>
          <w:tab w:leader="none" w:pos="234"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24"/>
        </w:trPr>
        <w:tc>
          <w:tcPr>
            <w:tcW w:w="41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9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8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41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Ordinary Shares - £1.00 par value per share</w:t>
            </w:r>
          </w:p>
        </w:tc>
        <w:tc>
          <w:tcPr>
            <w:tcW w:w="1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LIVN</w:t>
            </w:r>
          </w:p>
        </w:tc>
        <w:tc>
          <w:tcPr>
            <w:tcW w:w="4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319"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3" w:lineRule="exact"/>
        <w:rPr>
          <w:sz w:val="24"/>
          <w:szCs w:val="24"/>
          <w:color w:val="auto"/>
        </w:rPr>
      </w:pPr>
    </w:p>
    <w:p>
      <w:pPr>
        <w:ind w:left="7780"/>
        <w:spacing w:after="0" w:line="207" w:lineRule="exact"/>
        <w:tabs>
          <w:tab w:leader="none" w:pos="1072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8"/>
          <w:szCs w:val="18"/>
          <w:color w:val="auto"/>
        </w:rPr>
        <w:t>☐</w:t>
      </w:r>
    </w:p>
    <w:p>
      <w:pPr>
        <w:spacing w:after="0" w:line="188"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3" w:lineRule="exact"/>
        <w:rPr>
          <w:sz w:val="24"/>
          <w:szCs w:val="24"/>
          <w:color w:val="auto"/>
        </w:rPr>
      </w:pPr>
    </w:p>
    <w:p>
      <w:pPr>
        <w:ind w:left="10740"/>
        <w:spacing w:after="0" w:line="221" w:lineRule="exact"/>
        <w:rPr>
          <w:sz w:val="20"/>
          <w:szCs w:val="20"/>
          <w:color w:val="auto"/>
        </w:rPr>
      </w:pPr>
      <w:r>
        <w:rPr>
          <w:rFonts w:ascii="MS PGothic" w:cs="MS PGothic" w:eastAsia="MS PGothic" w:hAnsi="MS PGothic"/>
          <w:sz w:val="22"/>
          <w:szCs w:val="2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199390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4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On November 4, 2026, LivaNova PLC (the “Company”) issued a press release announcing financial results for the quarter ended September 30, 2026. The Company will host a conference call today, November 4, 2026, at 1 p.m. London time (8 a.m. Eastern Time), during which the Company will discuss the financial results. The conference call will be available through the LivaNova website at </w:t>
      </w:r>
      <w:r>
        <w:rPr>
          <w:rFonts w:ascii="Times New Roman" w:cs="Times New Roman" w:eastAsia="Times New Roman" w:hAnsi="Times New Roman"/>
          <w:sz w:val="18"/>
          <w:szCs w:val="18"/>
          <w:color w:val="3051F2"/>
        </w:rPr>
        <w:t>www.livanova.com/events</w:t>
      </w:r>
      <w:r>
        <w:rPr>
          <w:rFonts w:ascii="Times New Roman" w:cs="Times New Roman" w:eastAsia="Times New Roman" w:hAnsi="Times New Roman"/>
          <w:sz w:val="18"/>
          <w:szCs w:val="18"/>
          <w:color w:val="auto"/>
        </w:rPr>
        <w:t>.</w:t>
      </w:r>
    </w:p>
    <w:p>
      <w:pPr>
        <w:spacing w:after="0" w:line="204"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A copy of the Company’s press release related to the foregoing matters is attached hereto as Exhibit 99.1. The information in Exhibit 99.1 is being furnished and shall not be deemed “filed” for purposes of Section 18 of the Securities Exchange Act of 1934, as amended (the “Exchange Act”), and is not to be incorporated by reference into any filing by the Company under the Securities Act of 1933, as amended, or the Exchange Act, regardless of any general incorporation language contained in such filing, unless otherwise expressly stated in such filing.</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56" w:lineRule="exact"/>
        <w:rPr>
          <w:sz w:val="20"/>
          <w:szCs w:val="20"/>
          <w:color w:val="auto"/>
        </w:rPr>
      </w:pPr>
    </w:p>
    <w:p>
      <w:pPr>
        <w:ind w:left="400" w:hanging="392"/>
        <w:spacing w:after="0"/>
        <w:tabs>
          <w:tab w:leader="none" w:pos="4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960" w:type="dxa"/>
            <w:vAlign w:val="bottom"/>
          </w:tcPr>
          <w:p>
            <w:pPr>
              <w:spacing w:after="0"/>
              <w:rPr>
                <w:sz w:val="17"/>
                <w:szCs w:val="17"/>
                <w:color w:val="auto"/>
              </w:rPr>
            </w:pPr>
          </w:p>
        </w:tc>
        <w:tc>
          <w:tcPr>
            <w:tcW w:w="9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960" w:type="dxa"/>
            <w:vAlign w:val="bottom"/>
          </w:tcPr>
          <w:p>
            <w:pPr>
              <w:spacing w:after="0"/>
              <w:rPr>
                <w:sz w:val="18"/>
                <w:szCs w:val="18"/>
                <w:color w:val="auto"/>
              </w:rPr>
            </w:pPr>
          </w:p>
        </w:tc>
        <w:tc>
          <w:tcPr>
            <w:tcW w:w="41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Press Release of LivaNova PLC dated November 4, 2026</w:t>
            </w:r>
          </w:p>
        </w:tc>
        <w:tc>
          <w:tcPr>
            <w:tcW w:w="5540" w:type="dxa"/>
            <w:vAlign w:val="bottom"/>
          </w:tcPr>
          <w:p>
            <w:pPr>
              <w:spacing w:after="0"/>
              <w:rPr>
                <w:sz w:val="18"/>
                <w:szCs w:val="18"/>
                <w:color w:val="auto"/>
              </w:rPr>
            </w:pPr>
          </w:p>
        </w:tc>
      </w:tr>
      <w:tr>
        <w:trPr>
          <w:trHeight w:val="250"/>
        </w:trPr>
        <w:tc>
          <w:tcPr>
            <w:tcW w:w="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960" w:type="dxa"/>
            <w:vAlign w:val="bottom"/>
          </w:tcPr>
          <w:p>
            <w:pPr>
              <w:spacing w:after="0"/>
              <w:rPr>
                <w:sz w:val="21"/>
                <w:szCs w:val="21"/>
                <w:color w:val="auto"/>
              </w:rPr>
            </w:pPr>
          </w:p>
        </w:tc>
        <w:tc>
          <w:tcPr>
            <w:tcW w:w="9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2005"/>
        </w:trPr>
        <w:tc>
          <w:tcPr>
            <w:tcW w:w="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3260" w:type="dxa"/>
            <w:vAlign w:val="bottom"/>
            <w:tcBorders>
              <w:bottom w:val="single" w:sz="8" w:color="9A9A9A"/>
            </w:tcBorders>
          </w:tcPr>
          <w:p>
            <w:pPr>
              <w:spacing w:after="0"/>
              <w:rPr>
                <w:sz w:val="24"/>
                <w:szCs w:val="24"/>
                <w:color w:val="auto"/>
              </w:rPr>
            </w:pPr>
          </w:p>
        </w:tc>
        <w:tc>
          <w:tcPr>
            <w:tcW w:w="5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43"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LivaNova PLC</w:t>
      </w:r>
    </w:p>
    <w:p>
      <w:pPr>
        <w:spacing w:after="0" w:line="200" w:lineRule="exact"/>
        <w:rPr>
          <w:sz w:val="20"/>
          <w:szCs w:val="20"/>
          <w:color w:val="auto"/>
        </w:rPr>
      </w:pPr>
    </w:p>
    <w:p>
      <w:pPr>
        <w:spacing w:after="0" w:line="336" w:lineRule="exact"/>
        <w:rPr>
          <w:sz w:val="20"/>
          <w:szCs w:val="20"/>
          <w:color w:val="auto"/>
        </w:rPr>
      </w:pPr>
    </w:p>
    <w:p>
      <w:pPr>
        <w:ind w:left="20"/>
        <w:spacing w:after="0"/>
        <w:tabs>
          <w:tab w:leader="none" w:pos="3400" w:val="left"/>
        </w:tabs>
        <w:rPr>
          <w:sz w:val="20"/>
          <w:szCs w:val="20"/>
          <w:color w:val="auto"/>
        </w:rPr>
      </w:pPr>
      <w:r>
        <w:rPr>
          <w:rFonts w:ascii="Times New Roman" w:cs="Times New Roman" w:eastAsia="Times New Roman" w:hAnsi="Times New Roman"/>
          <w:sz w:val="18"/>
          <w:szCs w:val="18"/>
          <w:color w:val="auto"/>
        </w:rPr>
        <w:t>Date: November 4, 2026</w:t>
      </w:r>
      <w:r>
        <w:rPr>
          <w:sz w:val="20"/>
          <w:szCs w:val="20"/>
          <w:color w:val="auto"/>
        </w:rPr>
        <w:tab/>
      </w: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Sarah K. Mohr</w:t>
      </w:r>
    </w:p>
    <w:p>
      <w:pPr>
        <w:spacing w:after="0" w:line="63"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Name: Sarah K. Mohr</w:t>
      </w:r>
    </w:p>
    <w:p>
      <w:pPr>
        <w:spacing w:after="0" w:line="27"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Title: VP, Legal and Company Secretary</w:t>
      </w:r>
    </w:p>
    <w:p>
      <w:pPr>
        <w:sectPr>
          <w:pgSz w:w="11900" w:h="16838" w:orient="portrait"/>
          <w:cols w:equalWidth="0" w:num="1">
            <w:col w:w="11240"/>
          </w:cols>
          <w:pgMar w:left="320" w:top="1251" w:right="339" w:bottom="1440"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right"/>
        <w:spacing w:after="0"/>
        <w:rPr>
          <w:sz w:val="20"/>
          <w:szCs w:val="20"/>
          <w:color w:val="auto"/>
        </w:rPr>
      </w:pPr>
      <w:r>
        <w:rPr>
          <w:rFonts w:ascii="Arial" w:cs="Arial" w:eastAsia="Arial" w:hAnsi="Arial"/>
          <w:sz w:val="20"/>
          <w:szCs w:val="20"/>
          <w:u w:val="single" w:color="auto"/>
          <w:color w:val="060606"/>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1645920" cy="2654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45920" cy="265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060606"/>
        </w:rPr>
        <w:t>NEWS RELEASE</w:t>
      </w:r>
    </w:p>
    <w:p>
      <w:pPr>
        <w:spacing w:after="0" w:line="221" w:lineRule="exact"/>
        <w:rPr>
          <w:sz w:val="20"/>
          <w:szCs w:val="20"/>
          <w:color w:val="auto"/>
        </w:rPr>
      </w:pPr>
    </w:p>
    <w:p>
      <w:pPr>
        <w:ind w:right="540"/>
        <w:spacing w:after="0" w:line="256" w:lineRule="auto"/>
        <w:rPr>
          <w:sz w:val="20"/>
          <w:szCs w:val="20"/>
          <w:color w:val="auto"/>
        </w:rPr>
      </w:pPr>
      <w:r>
        <w:rPr>
          <w:rFonts w:ascii="Arial" w:cs="Arial" w:eastAsia="Arial" w:hAnsi="Arial"/>
          <w:sz w:val="31"/>
          <w:szCs w:val="31"/>
          <w:color w:val="9D19D1"/>
        </w:rPr>
        <w:t>LivaNova Reports Third-Quarter 2026 Results; Raises Full-Year 2026 Revenue and Adjusted Diluted EPS Guidance</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20"/>
          <w:szCs w:val="20"/>
          <w:color w:val="060606"/>
        </w:rPr>
        <w:t xml:space="preserve">–  </w:t>
      </w:r>
      <w:r>
        <w:rPr>
          <w:rFonts w:ascii="Arial" w:cs="Arial" w:eastAsia="Arial" w:hAnsi="Arial"/>
          <w:sz w:val="20"/>
          <w:szCs w:val="20"/>
          <w:i w:val="1"/>
          <w:iCs w:val="1"/>
          <w:color w:val="060606"/>
        </w:rPr>
        <w:t>Delivered</w:t>
      </w:r>
      <w:r>
        <w:rPr>
          <w:rFonts w:ascii="Arial" w:cs="Arial" w:eastAsia="Arial" w:hAnsi="Arial"/>
          <w:sz w:val="20"/>
          <w:szCs w:val="20"/>
          <w:color w:val="060606"/>
        </w:rPr>
        <w:t xml:space="preserve"> 9.9% </w:t>
      </w:r>
      <w:r>
        <w:rPr>
          <w:rFonts w:ascii="Arial" w:cs="Arial" w:eastAsia="Arial" w:hAnsi="Arial"/>
          <w:sz w:val="20"/>
          <w:szCs w:val="20"/>
          <w:i w:val="1"/>
          <w:iCs w:val="1"/>
          <w:color w:val="060606"/>
        </w:rPr>
        <w:t>reported and</w:t>
      </w:r>
      <w:r>
        <w:rPr>
          <w:rFonts w:ascii="Arial" w:cs="Arial" w:eastAsia="Arial" w:hAnsi="Arial"/>
          <w:sz w:val="20"/>
          <w:szCs w:val="20"/>
          <w:color w:val="060606"/>
        </w:rPr>
        <w:t xml:space="preserve"> 10.0% </w:t>
      </w:r>
      <w:r>
        <w:rPr>
          <w:rFonts w:ascii="Arial" w:cs="Arial" w:eastAsia="Arial" w:hAnsi="Arial"/>
          <w:sz w:val="20"/>
          <w:szCs w:val="20"/>
          <w:i w:val="1"/>
          <w:iCs w:val="1"/>
          <w:color w:val="060606"/>
        </w:rPr>
        <w:t>constant-currency revenue growth</w:t>
      </w:r>
    </w:p>
    <w:p>
      <w:pPr>
        <w:ind w:left="340"/>
        <w:spacing w:after="0" w:line="202" w:lineRule="auto"/>
        <w:rPr>
          <w:sz w:val="20"/>
          <w:szCs w:val="20"/>
          <w:color w:val="auto"/>
        </w:rPr>
      </w:pPr>
      <w:r>
        <w:rPr>
          <w:rFonts w:ascii="Arial" w:cs="Arial" w:eastAsia="Arial" w:hAnsi="Arial"/>
          <w:sz w:val="20"/>
          <w:szCs w:val="20"/>
          <w:i w:val="1"/>
          <w:iCs w:val="1"/>
          <w:color w:val="060606"/>
        </w:rPr>
        <w:t>–  Raised full-year 2026 revenue and adjusted diluted earnings per share guidance</w:t>
      </w:r>
      <w:r>
        <w:rPr>
          <w:rFonts w:ascii="Arial" w:cs="Arial" w:eastAsia="Arial" w:hAnsi="Arial"/>
          <w:sz w:val="25"/>
          <w:szCs w:val="25"/>
          <w:i w:val="1"/>
          <w:iCs w:val="1"/>
          <w:color w:val="060606"/>
          <w:vertAlign w:val="superscript"/>
        </w:rPr>
        <w:t>(1)</w:t>
      </w:r>
    </w:p>
    <w:p>
      <w:pPr>
        <w:spacing w:after="0" w:line="1" w:lineRule="exact"/>
        <w:rPr>
          <w:sz w:val="20"/>
          <w:szCs w:val="20"/>
          <w:color w:val="auto"/>
        </w:rPr>
      </w:pPr>
    </w:p>
    <w:p>
      <w:pPr>
        <w:ind w:left="660" w:right="960" w:hanging="324"/>
        <w:spacing w:after="0" w:line="253" w:lineRule="auto"/>
        <w:rPr>
          <w:sz w:val="20"/>
          <w:szCs w:val="20"/>
          <w:color w:val="auto"/>
        </w:rPr>
      </w:pPr>
      <w:r>
        <w:rPr>
          <w:rFonts w:ascii="Arial" w:cs="Arial" w:eastAsia="Arial" w:hAnsi="Arial"/>
          <w:sz w:val="20"/>
          <w:szCs w:val="20"/>
          <w:color w:val="060606"/>
        </w:rPr>
        <w:t xml:space="preserve">– </w:t>
      </w:r>
      <w:r>
        <w:rPr>
          <w:rFonts w:ascii="Arial" w:cs="Arial" w:eastAsia="Arial" w:hAnsi="Arial"/>
          <w:sz w:val="20"/>
          <w:szCs w:val="20"/>
          <w:i w:val="1"/>
          <w:iCs w:val="1"/>
          <w:color w:val="060606"/>
        </w:rPr>
        <w:t>Achieved a key milestone in scaling oxygenator production capacity with the operational launch of a dedicated</w:t>
      </w:r>
      <w:r>
        <w:rPr>
          <w:rFonts w:ascii="Arial" w:cs="Arial" w:eastAsia="Arial" w:hAnsi="Arial"/>
          <w:sz w:val="20"/>
          <w:szCs w:val="20"/>
          <w:color w:val="060606"/>
        </w:rPr>
        <w:t xml:space="preserve"> </w:t>
      </w:r>
      <w:r>
        <w:rPr>
          <w:rFonts w:ascii="Arial" w:cs="Arial" w:eastAsia="Arial" w:hAnsi="Arial"/>
          <w:sz w:val="20"/>
          <w:szCs w:val="20"/>
          <w:i w:val="1"/>
          <w:iCs w:val="1"/>
          <w:color w:val="060606"/>
        </w:rPr>
        <w:t>manufacturing line</w:t>
      </w:r>
    </w:p>
    <w:p>
      <w:pPr>
        <w:spacing w:after="0" w:line="132" w:lineRule="exact"/>
        <w:rPr>
          <w:sz w:val="20"/>
          <w:szCs w:val="20"/>
          <w:color w:val="auto"/>
        </w:rPr>
      </w:pPr>
    </w:p>
    <w:p>
      <w:pPr>
        <w:ind w:right="300"/>
        <w:spacing w:after="0" w:line="432" w:lineRule="auto"/>
        <w:rPr>
          <w:sz w:val="20"/>
          <w:szCs w:val="20"/>
          <w:color w:val="auto"/>
        </w:rPr>
      </w:pPr>
      <w:r>
        <w:rPr>
          <w:rFonts w:ascii="Arial" w:cs="Arial" w:eastAsia="Arial" w:hAnsi="Arial"/>
          <w:sz w:val="19"/>
          <w:szCs w:val="19"/>
          <w:color w:val="9D19D1"/>
        </w:rPr>
        <w:t xml:space="preserve">GLOUCESTER, United Kingdom, November 4, 2026 — </w:t>
      </w:r>
      <w:r>
        <w:rPr>
          <w:rFonts w:ascii="Arial" w:cs="Arial" w:eastAsia="Arial" w:hAnsi="Arial"/>
          <w:sz w:val="19"/>
          <w:szCs w:val="19"/>
          <w:color w:val="060606"/>
        </w:rPr>
        <w:t>LivaNova PLC (Nasdaq: LIVN), a market-leading medical technology</w:t>
      </w:r>
      <w:r>
        <w:rPr>
          <w:rFonts w:ascii="Arial" w:cs="Arial" w:eastAsia="Arial" w:hAnsi="Arial"/>
          <w:sz w:val="19"/>
          <w:szCs w:val="19"/>
          <w:color w:val="9D19D1"/>
        </w:rPr>
        <w:t xml:space="preserve"> </w:t>
      </w:r>
      <w:r>
        <w:rPr>
          <w:rFonts w:ascii="Arial" w:cs="Arial" w:eastAsia="Arial" w:hAnsi="Arial"/>
          <w:sz w:val="19"/>
          <w:szCs w:val="19"/>
          <w:color w:val="060606"/>
        </w:rPr>
        <w:t>company, today reported results for the third quarter ended September 30, 2026 and raised full-year 2026 guidance.</w:t>
      </w:r>
    </w:p>
    <w:p>
      <w:pPr>
        <w:spacing w:after="0" w:line="64" w:lineRule="exact"/>
        <w:rPr>
          <w:sz w:val="20"/>
          <w:szCs w:val="20"/>
          <w:color w:val="auto"/>
        </w:rPr>
      </w:pPr>
    </w:p>
    <w:p>
      <w:pPr>
        <w:spacing w:after="0"/>
        <w:rPr>
          <w:sz w:val="20"/>
          <w:szCs w:val="20"/>
          <w:color w:val="auto"/>
        </w:rPr>
      </w:pPr>
      <w:r>
        <w:rPr>
          <w:rFonts w:ascii="Arial" w:cs="Arial" w:eastAsia="Arial" w:hAnsi="Arial"/>
          <w:sz w:val="20"/>
          <w:szCs w:val="20"/>
          <w:u w:val="single" w:color="auto"/>
          <w:color w:val="060606"/>
        </w:rPr>
        <w:t>Financial Summary and Highlights</w:t>
      </w:r>
      <w:r>
        <w:rPr>
          <w:rFonts w:ascii="Arial" w:cs="Arial" w:eastAsia="Arial" w:hAnsi="Arial"/>
          <w:sz w:val="25"/>
          <w:szCs w:val="25"/>
          <w:color w:val="060606"/>
          <w:vertAlign w:val="superscript"/>
        </w:rPr>
        <w:t>(1)</w:t>
      </w:r>
    </w:p>
    <w:p>
      <w:pPr>
        <w:spacing w:after="0" w:line="172" w:lineRule="exact"/>
        <w:rPr>
          <w:sz w:val="20"/>
          <w:szCs w:val="20"/>
          <w:color w:val="auto"/>
        </w:rPr>
      </w:pPr>
    </w:p>
    <w:p>
      <w:pPr>
        <w:ind w:left="340" w:hanging="251"/>
        <w:spacing w:after="0" w:line="271" w:lineRule="auto"/>
        <w:tabs>
          <w:tab w:leader="none" w:pos="288" w:val="left"/>
        </w:tabs>
        <w:numPr>
          <w:ilvl w:val="1"/>
          <w:numId w:val="4"/>
        </w:numPr>
        <w:rPr>
          <w:rFonts w:ascii="Arial" w:cs="Arial" w:eastAsia="Arial" w:hAnsi="Arial"/>
          <w:sz w:val="20"/>
          <w:szCs w:val="20"/>
          <w:color w:val="060606"/>
        </w:rPr>
      </w:pPr>
      <w:r>
        <w:rPr>
          <w:rFonts w:ascii="Arial" w:cs="Arial" w:eastAsia="Arial" w:hAnsi="Arial"/>
          <w:sz w:val="20"/>
          <w:szCs w:val="20"/>
          <w:color w:val="060606"/>
        </w:rPr>
        <w:t>Third-quarter revenue of $393.1 million increased 9.9% on a reported basis and 10.0% on a constant-currency basis as compared to the prior-year period</w:t>
      </w:r>
    </w:p>
    <w:p>
      <w:pPr>
        <w:spacing w:after="0" w:line="74" w:lineRule="exact"/>
        <w:rPr>
          <w:rFonts w:ascii="Arial" w:cs="Arial" w:eastAsia="Arial" w:hAnsi="Arial"/>
          <w:sz w:val="20"/>
          <w:szCs w:val="20"/>
          <w:color w:val="060606"/>
        </w:rPr>
      </w:pPr>
    </w:p>
    <w:p>
      <w:pPr>
        <w:ind w:left="280" w:hanging="191"/>
        <w:spacing w:after="0"/>
        <w:tabs>
          <w:tab w:leader="none" w:pos="280" w:val="left"/>
        </w:tabs>
        <w:numPr>
          <w:ilvl w:val="1"/>
          <w:numId w:val="4"/>
        </w:numPr>
        <w:rPr>
          <w:rFonts w:ascii="Arial" w:cs="Arial" w:eastAsia="Arial" w:hAnsi="Arial"/>
          <w:sz w:val="20"/>
          <w:szCs w:val="20"/>
          <w:color w:val="060606"/>
        </w:rPr>
      </w:pPr>
      <w:r>
        <w:rPr>
          <w:rFonts w:ascii="Arial" w:cs="Arial" w:eastAsia="Arial" w:hAnsi="Arial"/>
          <w:sz w:val="20"/>
          <w:szCs w:val="20"/>
          <w:color w:val="060606"/>
        </w:rPr>
        <w:t>Third-quarter U.S. GAAP diluted earnings per share of $0.11 and adjusted diluted earnings per share of $1.23</w:t>
      </w:r>
    </w:p>
    <w:p>
      <w:pPr>
        <w:spacing w:after="0" w:line="134" w:lineRule="exact"/>
        <w:rPr>
          <w:rFonts w:ascii="Arial" w:cs="Arial" w:eastAsia="Arial" w:hAnsi="Arial"/>
          <w:sz w:val="20"/>
          <w:szCs w:val="20"/>
          <w:color w:val="060606"/>
        </w:rPr>
      </w:pPr>
    </w:p>
    <w:p>
      <w:pPr>
        <w:ind w:left="280" w:hanging="191"/>
        <w:spacing w:after="0"/>
        <w:tabs>
          <w:tab w:leader="none" w:pos="280" w:val="left"/>
        </w:tabs>
        <w:numPr>
          <w:ilvl w:val="1"/>
          <w:numId w:val="4"/>
        </w:numPr>
        <w:rPr>
          <w:rFonts w:ascii="Arial" w:cs="Arial" w:eastAsia="Arial" w:hAnsi="Arial"/>
          <w:sz w:val="20"/>
          <w:szCs w:val="20"/>
          <w:color w:val="060606"/>
        </w:rPr>
      </w:pPr>
      <w:r>
        <w:rPr>
          <w:rFonts w:ascii="Arial" w:cs="Arial" w:eastAsia="Arial" w:hAnsi="Arial"/>
          <w:sz w:val="20"/>
          <w:szCs w:val="20"/>
          <w:color w:val="060606"/>
        </w:rPr>
        <w:t>Third-quarter net cash provided by operating activities of $73.7 million and adjusted free cash flow of $55.8 million</w:t>
      </w:r>
    </w:p>
    <w:p>
      <w:pPr>
        <w:spacing w:after="0" w:line="134" w:lineRule="exact"/>
        <w:rPr>
          <w:rFonts w:ascii="Arial" w:cs="Arial" w:eastAsia="Arial" w:hAnsi="Arial"/>
          <w:sz w:val="20"/>
          <w:szCs w:val="20"/>
          <w:color w:val="060606"/>
        </w:rPr>
      </w:pPr>
    </w:p>
    <w:p>
      <w:pPr>
        <w:jc w:val="both"/>
        <w:ind w:left="340" w:hanging="251"/>
        <w:spacing w:after="0" w:line="262" w:lineRule="auto"/>
        <w:tabs>
          <w:tab w:leader="none" w:pos="288" w:val="left"/>
        </w:tabs>
        <w:numPr>
          <w:ilvl w:val="1"/>
          <w:numId w:val="4"/>
        </w:numPr>
        <w:rPr>
          <w:rFonts w:ascii="Arial" w:cs="Arial" w:eastAsia="Arial" w:hAnsi="Arial"/>
          <w:sz w:val="20"/>
          <w:szCs w:val="20"/>
          <w:color w:val="060606"/>
        </w:rPr>
      </w:pPr>
      <w:r>
        <w:rPr>
          <w:rFonts w:ascii="Arial" w:cs="Arial" w:eastAsia="Arial" w:hAnsi="Arial"/>
          <w:sz w:val="20"/>
          <w:szCs w:val="20"/>
          <w:color w:val="060606"/>
        </w:rPr>
        <w:t>Raised full-year 2026 revenue growth range by 100 basis points to 9% to 10% on a constant-currency basis. Raised full-year 2026 adjusted diluted earnings per share range by $0.10 at midpoint to $4.40 to $4.50. Maintained full-year 2026 adjusted free cash flow range of $140 million to $160 million</w:t>
      </w:r>
    </w:p>
    <w:p>
      <w:pPr>
        <w:spacing w:after="0" w:line="83" w:lineRule="exact"/>
        <w:rPr>
          <w:rFonts w:ascii="Arial" w:cs="Arial" w:eastAsia="Arial" w:hAnsi="Arial"/>
          <w:sz w:val="20"/>
          <w:szCs w:val="20"/>
          <w:color w:val="060606"/>
        </w:rPr>
      </w:pPr>
    </w:p>
    <w:p>
      <w:pPr>
        <w:ind w:left="340" w:right="20" w:hanging="251"/>
        <w:spacing w:after="0" w:line="286" w:lineRule="auto"/>
        <w:tabs>
          <w:tab w:leader="none" w:pos="288" w:val="left"/>
        </w:tabs>
        <w:numPr>
          <w:ilvl w:val="1"/>
          <w:numId w:val="4"/>
        </w:numPr>
        <w:rPr>
          <w:rFonts w:ascii="Arial" w:cs="Arial" w:eastAsia="Arial" w:hAnsi="Arial"/>
          <w:sz w:val="20"/>
          <w:szCs w:val="20"/>
          <w:color w:val="060606"/>
        </w:rPr>
      </w:pPr>
      <w:r>
        <w:rPr>
          <w:rFonts w:ascii="Arial" w:cs="Arial" w:eastAsia="Arial" w:hAnsi="Arial"/>
          <w:sz w:val="20"/>
          <w:szCs w:val="20"/>
          <w:color w:val="060606"/>
        </w:rPr>
        <w:t>Achieved operational production on previously announced new oxygenator manufacturing line, representing an important milestone in expanding production capacity to address strong customer demand</w:t>
      </w:r>
    </w:p>
    <w:p>
      <w:pPr>
        <w:spacing w:after="0" w:line="59" w:lineRule="exact"/>
        <w:rPr>
          <w:rFonts w:ascii="Arial" w:cs="Arial" w:eastAsia="Arial" w:hAnsi="Arial"/>
          <w:sz w:val="20"/>
          <w:szCs w:val="20"/>
          <w:color w:val="060606"/>
        </w:rPr>
      </w:pPr>
    </w:p>
    <w:p>
      <w:pPr>
        <w:jc w:val="both"/>
        <w:ind w:left="340" w:hanging="251"/>
        <w:spacing w:after="0" w:line="262" w:lineRule="auto"/>
        <w:tabs>
          <w:tab w:leader="none" w:pos="288" w:val="left"/>
        </w:tabs>
        <w:numPr>
          <w:ilvl w:val="1"/>
          <w:numId w:val="4"/>
        </w:numPr>
        <w:rPr>
          <w:rFonts w:ascii="Arial" w:cs="Arial" w:eastAsia="Arial" w:hAnsi="Arial"/>
          <w:sz w:val="20"/>
          <w:szCs w:val="20"/>
          <w:color w:val="060606"/>
        </w:rPr>
      </w:pPr>
      <w:r>
        <w:rPr>
          <w:rFonts w:ascii="Arial" w:cs="Arial" w:eastAsia="Arial" w:hAnsi="Arial"/>
          <w:sz w:val="20"/>
          <w:szCs w:val="20"/>
          <w:color w:val="060606"/>
        </w:rPr>
        <w:t>In October 2026, the American Medical Association CPT® Editorial Panel announced the establishment of new Category I Current Procedural Terminology (CPT®) codes that include LivaNova’s proximal hypoglossal nerve stimulation therapy for the treatment of moderate to severe obstructive sleep apnea, with an expected effective date of January 1, 2028</w:t>
      </w:r>
    </w:p>
    <w:p>
      <w:pPr>
        <w:spacing w:after="0" w:line="83" w:lineRule="exact"/>
        <w:rPr>
          <w:rFonts w:ascii="Arial" w:cs="Arial" w:eastAsia="Arial" w:hAnsi="Arial"/>
          <w:sz w:val="20"/>
          <w:szCs w:val="20"/>
          <w:color w:val="060606"/>
        </w:rPr>
      </w:pPr>
    </w:p>
    <w:p>
      <w:pPr>
        <w:jc w:val="both"/>
        <w:ind w:left="340" w:hanging="251"/>
        <w:spacing w:after="0" w:line="262" w:lineRule="auto"/>
        <w:tabs>
          <w:tab w:leader="none" w:pos="288" w:val="left"/>
        </w:tabs>
        <w:numPr>
          <w:ilvl w:val="1"/>
          <w:numId w:val="4"/>
        </w:numPr>
        <w:rPr>
          <w:rFonts w:ascii="Arial" w:cs="Arial" w:eastAsia="Arial" w:hAnsi="Arial"/>
          <w:sz w:val="20"/>
          <w:szCs w:val="20"/>
          <w:color w:val="060606"/>
        </w:rPr>
      </w:pPr>
      <w:r>
        <w:rPr>
          <w:rFonts w:ascii="Arial" w:cs="Arial" w:eastAsia="Arial" w:hAnsi="Arial"/>
          <w:sz w:val="20"/>
          <w:szCs w:val="20"/>
          <w:color w:val="060606"/>
        </w:rPr>
        <w:t xml:space="preserve">In October 2026, announced the publication of the full 36-month results from the CORE-VNS study, the largest prospective, international study evaluating contemporary VNS Therapy™ devices in people with Drug-Resistant Epilepsy, in </w:t>
      </w:r>
      <w:r>
        <w:rPr>
          <w:rFonts w:ascii="Arial" w:cs="Arial" w:eastAsia="Arial" w:hAnsi="Arial"/>
          <w:sz w:val="20"/>
          <w:szCs w:val="20"/>
          <w:i w:val="1"/>
          <w:iCs w:val="1"/>
          <w:color w:val="060606"/>
        </w:rPr>
        <w:t xml:space="preserve">Neuromodulation </w:t>
      </w:r>
      <w:r>
        <w:rPr>
          <w:rFonts w:ascii="Arial" w:cs="Arial" w:eastAsia="Arial" w:hAnsi="Arial"/>
          <w:sz w:val="20"/>
          <w:szCs w:val="20"/>
          <w:color w:val="060606"/>
        </w:rPr>
        <w:t>demonstrating a 76% median reduction in seizure frequency and a durable clinical benefit</w:t>
      </w:r>
    </w:p>
    <w:p>
      <w:pPr>
        <w:spacing w:after="0" w:line="254" w:lineRule="exact"/>
        <w:rPr>
          <w:rFonts w:ascii="Arial" w:cs="Arial" w:eastAsia="Arial" w:hAnsi="Arial"/>
          <w:sz w:val="20"/>
          <w:szCs w:val="20"/>
          <w:color w:val="060606"/>
        </w:rPr>
      </w:pPr>
    </w:p>
    <w:p>
      <w:pPr>
        <w:jc w:val="both"/>
        <w:ind w:left="80" w:hanging="72"/>
        <w:spacing w:after="0" w:line="235" w:lineRule="auto"/>
        <w:tabs>
          <w:tab w:leader="none" w:pos="123" w:val="left"/>
        </w:tabs>
        <w:numPr>
          <w:ilvl w:val="0"/>
          <w:numId w:val="4"/>
        </w:numPr>
        <w:rPr>
          <w:rFonts w:ascii="Arial" w:cs="Arial" w:eastAsia="Arial" w:hAnsi="Arial"/>
          <w:sz w:val="14"/>
          <w:szCs w:val="14"/>
          <w:color w:val="060606"/>
          <w:vertAlign w:val="superscript"/>
        </w:rPr>
      </w:pPr>
      <w:r>
        <w:rPr>
          <w:rFonts w:ascii="Arial" w:cs="Arial" w:eastAsia="Arial" w:hAnsi="Arial"/>
          <w:sz w:val="11"/>
          <w:szCs w:val="11"/>
          <w:color w:val="060606"/>
        </w:rPr>
        <w:t>Constant-currency percent change, adjusted diluted earnings per share, and adjusted free cash flow are non-GAAP measures. Constant-currency percent change excludes the impact from fluctuations in the various currencies in which the Company operates as compared to reported percent change. For an explanation of these and other non-GAAP measures used in this news release, see the section entitled "Use of Non-GAAP Financial Measures." For reconciliations of certain non-GAAP measures, see the tables that accompany this news release. As discussed in the section entitled "Use of Non-GAAP Financial Measures" below, the Company is unable to predict with a reasonable degree of certainty the type and extent of certain items that would be expected to impact GAAP measures but would not impact the non-GAAP measures. Accordingly, the Company is unable to reconcile forward-looking non-GAAP financial measures to their most directly comparable forward-looking GAAP financial measures without unreasonable efforts.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-474345</wp:posOffset>
            </wp:positionV>
            <wp:extent cx="2263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1"/>
          <w:szCs w:val="21"/>
          <w:color w:val="060606"/>
        </w:rPr>
        <w:t>1</w:t>
      </w:r>
    </w:p>
    <w:p>
      <w:pPr>
        <w:sectPr>
          <w:pgSz w:w="11900" w:h="16838" w:orient="portrait"/>
          <w:cols w:equalWidth="0" w:num="1">
            <w:col w:w="11240"/>
          </w:cols>
          <w:pgMar w:left="320" w:top="1440" w:right="339" w:bottom="1440" w:gutter="0" w:footer="0" w:header="0"/>
          <w:type w:val="continuous"/>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367" w:lineRule="auto"/>
        <w:rPr>
          <w:sz w:val="20"/>
          <w:szCs w:val="20"/>
          <w:color w:val="auto"/>
        </w:rPr>
      </w:pPr>
      <w:r>
        <w:rPr>
          <w:rFonts w:ascii="Arial" w:cs="Arial" w:eastAsia="Arial" w:hAnsi="Arial"/>
          <w:sz w:val="20"/>
          <w:szCs w:val="20"/>
          <w:color w:val="060606"/>
        </w:rPr>
        <w:t>“Our team continues to deliver robust revenue growth driven by commercial execution and healthy global demand for our Cardiopulmonary and Epilepsy technologies,” said Vladimir Makatsaria, Chief Executive Officer of LivaNova. “We also made meaningful progress against key milestones, positioning us to address significant market demand while expanding patient access to care. Our updated 2026 guidance reflects confidence across the portfolio as we advance our strategic priorities, drive innovation to address important unmet patient needs, and remain focused on delivering long-term shareholder value.”</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u w:val="single" w:color="auto"/>
          <w:color w:val="060606"/>
        </w:rPr>
        <w:t>Third-Quarter 2026 Results</w:t>
      </w:r>
    </w:p>
    <w:p>
      <w:pPr>
        <w:spacing w:after="0" w:line="324" w:lineRule="exact"/>
        <w:rPr>
          <w:sz w:val="20"/>
          <w:szCs w:val="20"/>
          <w:color w:val="auto"/>
        </w:rPr>
      </w:pPr>
    </w:p>
    <w:p>
      <w:pPr>
        <w:spacing w:after="0"/>
        <w:rPr>
          <w:sz w:val="20"/>
          <w:szCs w:val="20"/>
          <w:color w:val="auto"/>
        </w:rPr>
      </w:pPr>
      <w:r>
        <w:rPr>
          <w:rFonts w:ascii="Arial" w:cs="Arial" w:eastAsia="Arial" w:hAnsi="Arial"/>
          <w:sz w:val="20"/>
          <w:szCs w:val="20"/>
          <w:color w:val="060606"/>
        </w:rPr>
        <w:t>The following table summarizes net revenue by segment (in millions):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720" w:type="dxa"/>
            <w:vAlign w:val="bottom"/>
            <w:gridSpan w:val="4"/>
          </w:tcPr>
          <w:p>
            <w:pPr>
              <w:jc w:val="center"/>
              <w:ind w:left="510"/>
              <w:spacing w:after="0"/>
              <w:rPr>
                <w:sz w:val="20"/>
                <w:szCs w:val="20"/>
                <w:color w:val="auto"/>
              </w:rPr>
            </w:pPr>
            <w:r>
              <w:rPr>
                <w:rFonts w:ascii="Arial" w:cs="Arial" w:eastAsia="Arial" w:hAnsi="Arial"/>
                <w:sz w:val="18"/>
                <w:szCs w:val="18"/>
                <w:color w:val="060606"/>
                <w:w w:val="99"/>
              </w:rPr>
              <w:t>Three Months Ended</w:t>
            </w: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gridSpan w:val="3"/>
          </w:tcPr>
          <w:p>
            <w:pPr>
              <w:jc w:val="center"/>
              <w:ind w:right="350"/>
              <w:spacing w:after="0"/>
              <w:rPr>
                <w:sz w:val="20"/>
                <w:szCs w:val="20"/>
                <w:color w:val="auto"/>
              </w:rPr>
            </w:pPr>
            <w:r>
              <w:rPr>
                <w:rFonts w:ascii="Arial" w:cs="Arial" w:eastAsia="Arial" w:hAnsi="Arial"/>
                <w:sz w:val="18"/>
                <w:szCs w:val="18"/>
                <w:color w:val="060606"/>
                <w:w w:val="99"/>
              </w:rPr>
              <w:t>September 30,</w:t>
            </w:r>
          </w:p>
        </w:tc>
        <w:tc>
          <w:tcPr>
            <w:tcW w:w="58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780" w:type="dxa"/>
            <w:vAlign w:val="bottom"/>
            <w:vMerge w:val="restart"/>
          </w:tcPr>
          <w:p>
            <w:pPr>
              <w:jc w:val="right"/>
              <w:ind w:right="321"/>
              <w:spacing w:after="0"/>
              <w:rPr>
                <w:sz w:val="20"/>
                <w:szCs w:val="20"/>
                <w:color w:val="auto"/>
              </w:rPr>
            </w:pPr>
            <w:r>
              <w:rPr>
                <w:rFonts w:ascii="Arial" w:cs="Arial" w:eastAsia="Arial" w:hAnsi="Arial"/>
                <w:sz w:val="20"/>
                <w:szCs w:val="20"/>
                <w:color w:val="060606"/>
              </w:rPr>
              <w:t>% Change</w:t>
            </w:r>
          </w:p>
        </w:tc>
        <w:tc>
          <w:tcPr>
            <w:tcW w:w="80" w:type="dxa"/>
            <w:vAlign w:val="bottom"/>
            <w:vMerge w:val="restart"/>
          </w:tcPr>
          <w:p>
            <w:pPr>
              <w:spacing w:after="0"/>
              <w:rPr>
                <w:sz w:val="21"/>
                <w:szCs w:val="21"/>
                <w:color w:val="auto"/>
              </w:rPr>
            </w:pPr>
          </w:p>
        </w:tc>
        <w:tc>
          <w:tcPr>
            <w:tcW w:w="1800" w:type="dxa"/>
            <w:vAlign w:val="bottom"/>
          </w:tcPr>
          <w:p>
            <w:pPr>
              <w:jc w:val="right"/>
              <w:ind w:right="7"/>
              <w:spacing w:after="0" w:line="223" w:lineRule="exact"/>
              <w:rPr>
                <w:sz w:val="20"/>
                <w:szCs w:val="20"/>
                <w:color w:val="auto"/>
              </w:rPr>
            </w:pPr>
            <w:r>
              <w:rPr>
                <w:rFonts w:ascii="Arial" w:cs="Arial" w:eastAsia="Arial" w:hAnsi="Arial"/>
                <w:sz w:val="20"/>
                <w:szCs w:val="20"/>
                <w:color w:val="060606"/>
              </w:rPr>
              <w:t>Constant-Currency</w:t>
            </w:r>
          </w:p>
        </w:tc>
        <w:tc>
          <w:tcPr>
            <w:tcW w:w="0" w:type="dxa"/>
            <w:vAlign w:val="bottom"/>
          </w:tcPr>
          <w:p>
            <w:pPr>
              <w:spacing w:after="0"/>
              <w:rPr>
                <w:sz w:val="1"/>
                <w:szCs w:val="1"/>
                <w:color w:val="auto"/>
              </w:rPr>
            </w:pPr>
          </w:p>
        </w:tc>
      </w:tr>
      <w:tr>
        <w:trPr>
          <w:trHeight w:val="237"/>
        </w:trPr>
        <w:tc>
          <w:tcPr>
            <w:tcW w:w="4200" w:type="dxa"/>
            <w:vAlign w:val="bottom"/>
            <w:gridSpan w:val="2"/>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60606"/>
              </w:rPr>
              <w:t>2026</w:t>
            </w:r>
          </w:p>
        </w:tc>
        <w:tc>
          <w:tcPr>
            <w:tcW w:w="6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60606"/>
              </w:rPr>
              <w:t>2025</w:t>
            </w:r>
          </w:p>
        </w:tc>
        <w:tc>
          <w:tcPr>
            <w:tcW w:w="5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780" w:type="dxa"/>
            <w:vAlign w:val="bottom"/>
            <w:tcBorders>
              <w:bottom w:val="single" w:sz="8" w:color="auto"/>
            </w:tcBorders>
            <w:vMerge w:val="continue"/>
          </w:tcPr>
          <w:p>
            <w:pPr>
              <w:spacing w:after="0"/>
              <w:rPr>
                <w:sz w:val="20"/>
                <w:szCs w:val="20"/>
                <w:color w:val="auto"/>
              </w:rPr>
            </w:pPr>
          </w:p>
        </w:tc>
        <w:tc>
          <w:tcPr>
            <w:tcW w:w="80" w:type="dxa"/>
            <w:vAlign w:val="bottom"/>
            <w:vMerge w:val="continue"/>
          </w:tcPr>
          <w:p>
            <w:pPr>
              <w:spacing w:after="0"/>
              <w:rPr>
                <w:sz w:val="20"/>
                <w:szCs w:val="20"/>
                <w:color w:val="auto"/>
              </w:rPr>
            </w:pPr>
          </w:p>
        </w:tc>
        <w:tc>
          <w:tcPr>
            <w:tcW w:w="1800" w:type="dxa"/>
            <w:vAlign w:val="bottom"/>
            <w:tcBorders>
              <w:bottom w:val="single" w:sz="8" w:color="auto"/>
            </w:tcBorders>
          </w:tcPr>
          <w:p>
            <w:pPr>
              <w:jc w:val="right"/>
              <w:ind w:right="347"/>
              <w:spacing w:after="0"/>
              <w:rPr>
                <w:sz w:val="20"/>
                <w:szCs w:val="20"/>
                <w:color w:val="auto"/>
              </w:rPr>
            </w:pPr>
            <w:r>
              <w:rPr>
                <w:rFonts w:ascii="Arial" w:cs="Arial" w:eastAsia="Arial" w:hAnsi="Arial"/>
                <w:sz w:val="20"/>
                <w:szCs w:val="20"/>
                <w:color w:val="060606"/>
              </w:rPr>
              <w:t>% Change</w:t>
            </w:r>
          </w:p>
        </w:tc>
        <w:tc>
          <w:tcPr>
            <w:tcW w:w="0" w:type="dxa"/>
            <w:vAlign w:val="bottom"/>
          </w:tcPr>
          <w:p>
            <w:pPr>
              <w:spacing w:after="0"/>
              <w:rPr>
                <w:sz w:val="1"/>
                <w:szCs w:val="1"/>
                <w:color w:val="auto"/>
              </w:rPr>
            </w:pPr>
          </w:p>
        </w:tc>
      </w:tr>
      <w:tr>
        <w:trPr>
          <w:trHeight w:val="241"/>
        </w:trPr>
        <w:tc>
          <w:tcPr>
            <w:tcW w:w="4200" w:type="dxa"/>
            <w:vAlign w:val="bottom"/>
            <w:gridSpan w:val="2"/>
          </w:tcPr>
          <w:p>
            <w:pPr>
              <w:ind w:left="20"/>
              <w:spacing w:after="0"/>
              <w:rPr>
                <w:sz w:val="20"/>
                <w:szCs w:val="20"/>
                <w:color w:val="auto"/>
              </w:rPr>
            </w:pPr>
            <w:r>
              <w:rPr>
                <w:rFonts w:ascii="Arial" w:cs="Arial" w:eastAsia="Arial" w:hAnsi="Arial"/>
                <w:sz w:val="18"/>
                <w:szCs w:val="18"/>
                <w:color w:val="060606"/>
              </w:rPr>
              <w:t>Cardiopulmonary</w:t>
            </w:r>
          </w:p>
        </w:tc>
        <w:tc>
          <w:tcPr>
            <w:tcW w:w="10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060606"/>
              </w:rPr>
              <w:t>$225.3</w:t>
            </w: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060606"/>
                <w:w w:val="98"/>
              </w:rPr>
              <w:t>$203.2</w:t>
            </w:r>
          </w:p>
        </w:tc>
        <w:tc>
          <w:tcPr>
            <w:tcW w:w="1860" w:type="dxa"/>
            <w:vAlign w:val="bottom"/>
            <w:gridSpan w:val="2"/>
          </w:tcPr>
          <w:p>
            <w:pPr>
              <w:jc w:val="right"/>
              <w:spacing w:after="0"/>
              <w:rPr>
                <w:sz w:val="20"/>
                <w:szCs w:val="20"/>
                <w:color w:val="auto"/>
              </w:rPr>
            </w:pPr>
            <w:r>
              <w:rPr>
                <w:rFonts w:ascii="Arial" w:cs="Arial" w:eastAsia="Arial" w:hAnsi="Arial"/>
                <w:sz w:val="18"/>
                <w:szCs w:val="18"/>
                <w:color w:val="060606"/>
              </w:rPr>
              <w:t>10.9 %</w:t>
            </w:r>
          </w:p>
        </w:tc>
        <w:tc>
          <w:tcPr>
            <w:tcW w:w="8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060606"/>
              </w:rPr>
              <w:t>10.9 %</w:t>
            </w:r>
          </w:p>
        </w:tc>
        <w:tc>
          <w:tcPr>
            <w:tcW w:w="0" w:type="dxa"/>
            <w:vAlign w:val="bottom"/>
          </w:tcPr>
          <w:p>
            <w:pPr>
              <w:spacing w:after="0"/>
              <w:rPr>
                <w:sz w:val="1"/>
                <w:szCs w:val="1"/>
                <w:color w:val="auto"/>
              </w:rPr>
            </w:pPr>
          </w:p>
        </w:tc>
      </w:tr>
      <w:tr>
        <w:trPr>
          <w:trHeight w:val="243"/>
        </w:trPr>
        <w:tc>
          <w:tcPr>
            <w:tcW w:w="5220" w:type="dxa"/>
            <w:vAlign w:val="bottom"/>
            <w:gridSpan w:val="3"/>
          </w:tcPr>
          <w:p>
            <w:pPr>
              <w:ind w:left="20"/>
              <w:spacing w:after="0"/>
              <w:rPr>
                <w:sz w:val="20"/>
                <w:szCs w:val="20"/>
                <w:color w:val="auto"/>
              </w:rPr>
            </w:pPr>
            <w:r>
              <w:rPr>
                <w:rFonts w:ascii="Arial" w:cs="Arial" w:eastAsia="Arial" w:hAnsi="Arial"/>
                <w:sz w:val="18"/>
                <w:szCs w:val="18"/>
                <w:color w:val="060606"/>
              </w:rPr>
              <w:t>Neuromodulation</w:t>
            </w:r>
          </w:p>
        </w:tc>
        <w:tc>
          <w:tcPr>
            <w:tcW w:w="600" w:type="dxa"/>
            <w:vAlign w:val="bottom"/>
          </w:tcPr>
          <w:p>
            <w:pPr>
              <w:jc w:val="right"/>
              <w:spacing w:after="0"/>
              <w:rPr>
                <w:sz w:val="20"/>
                <w:szCs w:val="20"/>
                <w:color w:val="auto"/>
              </w:rPr>
            </w:pPr>
            <w:r>
              <w:rPr>
                <w:rFonts w:ascii="Arial" w:cs="Arial" w:eastAsia="Arial" w:hAnsi="Arial"/>
                <w:sz w:val="18"/>
                <w:szCs w:val="18"/>
                <w:color w:val="060606"/>
              </w:rPr>
              <w:t>166.1</w:t>
            </w:r>
          </w:p>
        </w:tc>
        <w:tc>
          <w:tcPr>
            <w:tcW w:w="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060606"/>
              </w:rPr>
              <w:t>149.5</w:t>
            </w:r>
          </w:p>
        </w:tc>
        <w:tc>
          <w:tcPr>
            <w:tcW w:w="1860" w:type="dxa"/>
            <w:vAlign w:val="bottom"/>
            <w:gridSpan w:val="2"/>
          </w:tcPr>
          <w:p>
            <w:pPr>
              <w:jc w:val="right"/>
              <w:spacing w:after="0"/>
              <w:rPr>
                <w:sz w:val="20"/>
                <w:szCs w:val="20"/>
                <w:color w:val="auto"/>
              </w:rPr>
            </w:pPr>
            <w:r>
              <w:rPr>
                <w:rFonts w:ascii="Arial" w:cs="Arial" w:eastAsia="Arial" w:hAnsi="Arial"/>
                <w:sz w:val="18"/>
                <w:szCs w:val="18"/>
                <w:color w:val="060606"/>
              </w:rPr>
              <w:t>11.1 %</w:t>
            </w:r>
          </w:p>
        </w:tc>
        <w:tc>
          <w:tcPr>
            <w:tcW w:w="8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060606"/>
              </w:rPr>
              <w:t>11.2 %</w:t>
            </w:r>
          </w:p>
        </w:tc>
        <w:tc>
          <w:tcPr>
            <w:tcW w:w="0" w:type="dxa"/>
            <w:vAlign w:val="bottom"/>
          </w:tcPr>
          <w:p>
            <w:pPr>
              <w:spacing w:after="0"/>
              <w:rPr>
                <w:sz w:val="1"/>
                <w:szCs w:val="1"/>
                <w:color w:val="auto"/>
              </w:rPr>
            </w:pPr>
          </w:p>
        </w:tc>
      </w:tr>
      <w:tr>
        <w:trPr>
          <w:trHeight w:val="239"/>
        </w:trPr>
        <w:tc>
          <w:tcPr>
            <w:tcW w:w="4120" w:type="dxa"/>
            <w:vAlign w:val="bottom"/>
            <w:tcBorders>
              <w:bottom w:val="single" w:sz="8" w:color="auto"/>
            </w:tcBorders>
          </w:tcPr>
          <w:p>
            <w:pPr>
              <w:ind w:left="20"/>
              <w:spacing w:after="0" w:line="239" w:lineRule="exact"/>
              <w:rPr>
                <w:sz w:val="20"/>
                <w:szCs w:val="20"/>
                <w:color w:val="auto"/>
              </w:rPr>
            </w:pPr>
            <w:r>
              <w:rPr>
                <w:rFonts w:ascii="Arial" w:cs="Arial" w:eastAsia="Arial" w:hAnsi="Arial"/>
                <w:sz w:val="18"/>
                <w:szCs w:val="18"/>
                <w:color w:val="060606"/>
              </w:rPr>
              <w:t xml:space="preserve">Other Revenue </w:t>
            </w:r>
            <w:r>
              <w:rPr>
                <w:rFonts w:ascii="Arial" w:cs="Arial" w:eastAsia="Arial" w:hAnsi="Arial"/>
                <w:sz w:val="23"/>
                <w:szCs w:val="23"/>
                <w:color w:val="060606"/>
                <w:vertAlign w:val="superscript"/>
              </w:rPr>
              <w:t>(1)</w:t>
            </w:r>
          </w:p>
        </w:tc>
        <w:tc>
          <w:tcPr>
            <w:tcW w:w="8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60606"/>
              </w:rPr>
              <w:t>1.7</w:t>
            </w:r>
          </w:p>
        </w:tc>
        <w:tc>
          <w:tcPr>
            <w:tcW w:w="8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60606"/>
              </w:rPr>
              <w:t>5.0</w:t>
            </w:r>
          </w:p>
        </w:tc>
        <w:tc>
          <w:tcPr>
            <w:tcW w:w="1860" w:type="dxa"/>
            <w:vAlign w:val="bottom"/>
            <w:gridSpan w:val="2"/>
          </w:tcPr>
          <w:p>
            <w:pPr>
              <w:jc w:val="right"/>
              <w:spacing w:after="0"/>
              <w:rPr>
                <w:sz w:val="20"/>
                <w:szCs w:val="20"/>
                <w:color w:val="auto"/>
              </w:rPr>
            </w:pPr>
            <w:r>
              <w:rPr>
                <w:rFonts w:ascii="Arial" w:cs="Arial" w:eastAsia="Arial" w:hAnsi="Arial"/>
                <w:sz w:val="18"/>
                <w:szCs w:val="18"/>
                <w:color w:val="060606"/>
              </w:rPr>
              <w:t>(65.7)%</w:t>
            </w:r>
          </w:p>
        </w:tc>
        <w:tc>
          <w:tcPr>
            <w:tcW w:w="8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060606"/>
              </w:rPr>
              <w:t>(65.2)%</w:t>
            </w:r>
          </w:p>
        </w:tc>
        <w:tc>
          <w:tcPr>
            <w:tcW w:w="0" w:type="dxa"/>
            <w:vAlign w:val="bottom"/>
          </w:tcPr>
          <w:p>
            <w:pPr>
              <w:spacing w:after="0"/>
              <w:rPr>
                <w:sz w:val="1"/>
                <w:szCs w:val="1"/>
                <w:color w:val="auto"/>
              </w:rPr>
            </w:pPr>
          </w:p>
        </w:tc>
      </w:tr>
      <w:tr>
        <w:trPr>
          <w:trHeight w:val="236"/>
        </w:trPr>
        <w:tc>
          <w:tcPr>
            <w:tcW w:w="5220" w:type="dxa"/>
            <w:vAlign w:val="bottom"/>
            <w:gridSpan w:val="3"/>
          </w:tcPr>
          <w:p>
            <w:pPr>
              <w:ind w:left="20"/>
              <w:spacing w:after="0"/>
              <w:rPr>
                <w:sz w:val="20"/>
                <w:szCs w:val="20"/>
                <w:color w:val="auto"/>
              </w:rPr>
            </w:pPr>
            <w:r>
              <w:rPr>
                <w:rFonts w:ascii="Arial" w:cs="Arial" w:eastAsia="Arial" w:hAnsi="Arial"/>
                <w:sz w:val="18"/>
                <w:szCs w:val="18"/>
                <w:color w:val="060606"/>
              </w:rPr>
              <w:t>Total Company</w:t>
            </w:r>
          </w:p>
        </w:tc>
        <w:tc>
          <w:tcPr>
            <w:tcW w:w="600" w:type="dxa"/>
            <w:vAlign w:val="bottom"/>
          </w:tcPr>
          <w:p>
            <w:pPr>
              <w:jc w:val="right"/>
              <w:spacing w:after="0"/>
              <w:rPr>
                <w:sz w:val="20"/>
                <w:szCs w:val="20"/>
                <w:color w:val="auto"/>
              </w:rPr>
            </w:pPr>
            <w:r>
              <w:rPr>
                <w:rFonts w:ascii="Arial" w:cs="Arial" w:eastAsia="Arial" w:hAnsi="Arial"/>
                <w:sz w:val="18"/>
                <w:szCs w:val="18"/>
                <w:color w:val="060606"/>
              </w:rPr>
              <w:t>$393.1</w:t>
            </w: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060606"/>
                <w:w w:val="98"/>
              </w:rPr>
              <w:t>$357.8</w:t>
            </w:r>
          </w:p>
        </w:tc>
        <w:tc>
          <w:tcPr>
            <w:tcW w:w="1860" w:type="dxa"/>
            <w:vAlign w:val="bottom"/>
            <w:gridSpan w:val="2"/>
          </w:tcPr>
          <w:p>
            <w:pPr>
              <w:jc w:val="right"/>
              <w:spacing w:after="0"/>
              <w:rPr>
                <w:sz w:val="20"/>
                <w:szCs w:val="20"/>
                <w:color w:val="auto"/>
              </w:rPr>
            </w:pPr>
            <w:r>
              <w:rPr>
                <w:rFonts w:ascii="Arial" w:cs="Arial" w:eastAsia="Arial" w:hAnsi="Arial"/>
                <w:sz w:val="18"/>
                <w:szCs w:val="18"/>
                <w:color w:val="060606"/>
              </w:rPr>
              <w:t>9.9 %</w:t>
            </w:r>
          </w:p>
        </w:tc>
        <w:tc>
          <w:tcPr>
            <w:tcW w:w="8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060606"/>
              </w:rPr>
              <w:t>10.0 %</w:t>
            </w:r>
          </w:p>
        </w:tc>
        <w:tc>
          <w:tcPr>
            <w:tcW w:w="0" w:type="dxa"/>
            <w:vAlign w:val="bottom"/>
          </w:tcPr>
          <w:p>
            <w:pPr>
              <w:spacing w:after="0"/>
              <w:rPr>
                <w:sz w:val="1"/>
                <w:szCs w:val="1"/>
                <w:color w:val="auto"/>
              </w:rPr>
            </w:pPr>
          </w:p>
        </w:tc>
      </w:tr>
      <w:tr>
        <w:trPr>
          <w:trHeight w:val="20"/>
        </w:trPr>
        <w:tc>
          <w:tcPr>
            <w:tcW w:w="4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4" w:lineRule="exact"/>
        <w:rPr>
          <w:sz w:val="20"/>
          <w:szCs w:val="20"/>
          <w:color w:val="auto"/>
        </w:rPr>
      </w:pPr>
    </w:p>
    <w:p>
      <w:pPr>
        <w:ind w:left="320" w:hanging="312"/>
        <w:spacing w:after="0"/>
        <w:tabs>
          <w:tab w:leader="none" w:pos="320" w:val="left"/>
        </w:tabs>
        <w:numPr>
          <w:ilvl w:val="0"/>
          <w:numId w:val="5"/>
        </w:numPr>
        <w:rPr>
          <w:rFonts w:ascii="Arial" w:cs="Arial" w:eastAsia="Arial" w:hAnsi="Arial"/>
          <w:sz w:val="21"/>
          <w:szCs w:val="21"/>
          <w:color w:val="060606"/>
          <w:vertAlign w:val="superscript"/>
        </w:rPr>
      </w:pPr>
      <w:r>
        <w:rPr>
          <w:rFonts w:ascii="Arial" w:cs="Arial" w:eastAsia="Arial" w:hAnsi="Arial"/>
          <w:sz w:val="16"/>
          <w:szCs w:val="16"/>
          <w:color w:val="060606"/>
        </w:rPr>
        <w:t>“Other revenue” includes rental and site services income not allocated to segments. In addition, for 2025, “Other revenue” includes $3.1 million from a</w:t>
      </w:r>
    </w:p>
    <w:p>
      <w:pPr>
        <w:ind w:left="340"/>
        <w:spacing w:after="0"/>
        <w:rPr>
          <w:sz w:val="20"/>
          <w:szCs w:val="20"/>
          <w:color w:val="auto"/>
        </w:rPr>
      </w:pPr>
      <w:r>
        <w:rPr>
          <w:rFonts w:ascii="Arial" w:cs="Arial" w:eastAsia="Arial" w:hAnsi="Arial"/>
          <w:sz w:val="16"/>
          <w:szCs w:val="16"/>
          <w:color w:val="060606"/>
        </w:rPr>
        <w:t>reduction in the reserve associated with the Italian MedTech payback measure related to product sales of previously divested businesses.</w:t>
      </w:r>
    </w:p>
    <w:p>
      <w:pPr>
        <w:spacing w:after="0" w:line="5" w:lineRule="exact"/>
        <w:rPr>
          <w:sz w:val="20"/>
          <w:szCs w:val="20"/>
          <w:color w:val="auto"/>
        </w:rPr>
      </w:pPr>
    </w:p>
    <w:p>
      <w:pPr>
        <w:ind w:left="280" w:hanging="272"/>
        <w:spacing w:after="0"/>
        <w:tabs>
          <w:tab w:leader="none" w:pos="280" w:val="left"/>
        </w:tabs>
        <w:numPr>
          <w:ilvl w:val="0"/>
          <w:numId w:val="6"/>
        </w:numPr>
        <w:rPr>
          <w:rFonts w:ascii="Arial" w:cs="Arial" w:eastAsia="Arial" w:hAnsi="Arial"/>
          <w:sz w:val="16"/>
          <w:szCs w:val="16"/>
          <w:color w:val="060606"/>
        </w:rPr>
      </w:pPr>
      <w:r>
        <w:rPr>
          <w:rFonts w:ascii="Arial" w:cs="Arial" w:eastAsia="Arial" w:hAnsi="Arial"/>
          <w:sz w:val="16"/>
          <w:szCs w:val="16"/>
          <w:color w:val="060606"/>
        </w:rPr>
        <w:t>Numbers may not add precisely due to rounding.</w:t>
      </w:r>
    </w:p>
    <w:p>
      <w:pPr>
        <w:spacing w:after="0" w:line="200" w:lineRule="exact"/>
        <w:rPr>
          <w:sz w:val="20"/>
          <w:szCs w:val="20"/>
          <w:color w:val="auto"/>
        </w:rPr>
      </w:pPr>
    </w:p>
    <w:p>
      <w:pPr>
        <w:spacing w:after="0" w:line="227" w:lineRule="exact"/>
        <w:rPr>
          <w:sz w:val="20"/>
          <w:szCs w:val="20"/>
          <w:color w:val="auto"/>
        </w:rPr>
      </w:pPr>
    </w:p>
    <w:p>
      <w:pPr>
        <w:jc w:val="both"/>
        <w:spacing w:after="0" w:line="375" w:lineRule="auto"/>
        <w:rPr>
          <w:sz w:val="20"/>
          <w:szCs w:val="20"/>
          <w:color w:val="auto"/>
        </w:rPr>
      </w:pPr>
      <w:r>
        <w:rPr>
          <w:rFonts w:ascii="Arial" w:cs="Arial" w:eastAsia="Arial" w:hAnsi="Arial"/>
          <w:sz w:val="20"/>
          <w:szCs w:val="20"/>
          <w:color w:val="060606"/>
        </w:rPr>
        <w:t>Third-quarter 2026 Cardiopulmonary revenue increased 10.9% on a reported basis and 10.9% on a constant-currency basis versus the third quarter of 2025 with growth across all regions, driven by strong consumables demand and Essenz™ Perfusion System sales, as well as favorable realized price.</w:t>
      </w:r>
    </w:p>
    <w:p>
      <w:pPr>
        <w:spacing w:after="0" w:line="164" w:lineRule="exact"/>
        <w:rPr>
          <w:sz w:val="20"/>
          <w:szCs w:val="20"/>
          <w:color w:val="auto"/>
        </w:rPr>
      </w:pPr>
    </w:p>
    <w:p>
      <w:pPr>
        <w:jc w:val="both"/>
        <w:spacing w:after="0" w:line="398" w:lineRule="auto"/>
        <w:rPr>
          <w:sz w:val="20"/>
          <w:szCs w:val="20"/>
          <w:color w:val="auto"/>
        </w:rPr>
      </w:pPr>
      <w:r>
        <w:rPr>
          <w:rFonts w:ascii="Arial" w:cs="Arial" w:eastAsia="Arial" w:hAnsi="Arial"/>
          <w:sz w:val="20"/>
          <w:szCs w:val="20"/>
          <w:color w:val="060606"/>
        </w:rPr>
        <w:t>Third-quarter 2026 Neuromodulation revenue increased 11.1% on a reported basis and 11.2% on a constant-currency basis versus the third quarter of 2025 with growth across all regions, driven by higher volume and favorable realized price.</w:t>
      </w:r>
    </w:p>
    <w:p>
      <w:pPr>
        <w:spacing w:after="0" w:line="142" w:lineRule="exact"/>
        <w:rPr>
          <w:sz w:val="20"/>
          <w:szCs w:val="20"/>
          <w:color w:val="auto"/>
        </w:rPr>
      </w:pPr>
    </w:p>
    <w:p>
      <w:pPr>
        <w:spacing w:after="0"/>
        <w:rPr>
          <w:sz w:val="20"/>
          <w:szCs w:val="20"/>
          <w:color w:val="auto"/>
        </w:rPr>
      </w:pPr>
      <w:r>
        <w:rPr>
          <w:rFonts w:ascii="Arial" w:cs="Arial" w:eastAsia="Arial" w:hAnsi="Arial"/>
          <w:sz w:val="20"/>
          <w:szCs w:val="20"/>
          <w:i w:val="1"/>
          <w:iCs w:val="1"/>
          <w:color w:val="060606"/>
        </w:rPr>
        <w:t>Earnings Analysis</w:t>
      </w:r>
    </w:p>
    <w:p>
      <w:pPr>
        <w:spacing w:after="0" w:line="337" w:lineRule="exact"/>
        <w:rPr>
          <w:sz w:val="20"/>
          <w:szCs w:val="20"/>
          <w:color w:val="auto"/>
        </w:rPr>
      </w:pPr>
    </w:p>
    <w:p>
      <w:pPr>
        <w:jc w:val="both"/>
        <w:spacing w:after="0" w:line="375" w:lineRule="auto"/>
        <w:rPr>
          <w:sz w:val="20"/>
          <w:szCs w:val="20"/>
          <w:color w:val="auto"/>
        </w:rPr>
      </w:pPr>
      <w:r>
        <w:rPr>
          <w:rFonts w:ascii="Arial" w:cs="Arial" w:eastAsia="Arial" w:hAnsi="Arial"/>
          <w:sz w:val="20"/>
          <w:szCs w:val="20"/>
          <w:color w:val="060606"/>
        </w:rPr>
        <w:t>On a U.S. GAAP basis, third-quarter 2026 operating income was $28.4 million, as compared to operating income of $54.0 million for the third quarter of 2025. Adjusted operating income for the third quarter of 2026 was $92.3 million, as compared to adjusted operating income of $80.4 million for the third quarter of 2025.</w:t>
      </w:r>
    </w:p>
    <w:p>
      <w:pPr>
        <w:spacing w:after="0" w:line="164" w:lineRule="exact"/>
        <w:rPr>
          <w:sz w:val="20"/>
          <w:szCs w:val="20"/>
          <w:color w:val="auto"/>
        </w:rPr>
      </w:pPr>
    </w:p>
    <w:p>
      <w:pPr>
        <w:jc w:val="both"/>
        <w:spacing w:after="0" w:line="375" w:lineRule="auto"/>
        <w:rPr>
          <w:sz w:val="20"/>
          <w:szCs w:val="20"/>
          <w:color w:val="auto"/>
        </w:rPr>
      </w:pPr>
      <w:r>
        <w:rPr>
          <w:rFonts w:ascii="Arial" w:cs="Arial" w:eastAsia="Arial" w:hAnsi="Arial"/>
          <w:sz w:val="20"/>
          <w:szCs w:val="20"/>
          <w:color w:val="060606"/>
        </w:rPr>
        <w:t>On a U.S. GAAP basis, third-quarter 2026 diluted earnings per share was $0.11 as compared to diluted earnings per share of $0.49 in the third quarter of 2025. Third-quarter 2026 adjusted diluted earnings per share was $1.23, as compared to adjusted diluted earnings per share of $1.11 in the third quarter of 2025.</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1"/>
          <w:szCs w:val="21"/>
          <w:color w:val="060606"/>
        </w:rPr>
        <w:t>2</w:t>
      </w:r>
    </w:p>
    <w:p>
      <w:pPr>
        <w:sectPr>
          <w:pgSz w:w="11900" w:h="16838" w:orient="portrait"/>
          <w:cols w:equalWidth="0" w:num="1">
            <w:col w:w="11240"/>
          </w:cols>
          <w:pgMar w:left="320" w:top="1440" w:right="339" w:bottom="1440" w:gutter="0" w:footer="0" w:header="0"/>
          <w:type w:val="continuous"/>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0"/>
          <w:szCs w:val="20"/>
          <w:u w:val="single" w:color="auto"/>
          <w:color w:val="060606"/>
        </w:rPr>
        <w:t>Full-Year 2026 Guidance</w:t>
      </w:r>
    </w:p>
    <w:p>
      <w:pPr>
        <w:spacing w:after="0" w:line="337" w:lineRule="exact"/>
        <w:rPr>
          <w:sz w:val="20"/>
          <w:szCs w:val="20"/>
          <w:color w:val="auto"/>
        </w:rPr>
      </w:pPr>
    </w:p>
    <w:p>
      <w:pPr>
        <w:jc w:val="both"/>
        <w:spacing w:after="0" w:line="375" w:lineRule="auto"/>
        <w:rPr>
          <w:sz w:val="20"/>
          <w:szCs w:val="20"/>
          <w:color w:val="auto"/>
        </w:rPr>
      </w:pPr>
      <w:r>
        <w:rPr>
          <w:rFonts w:ascii="Arial" w:cs="Arial" w:eastAsia="Arial" w:hAnsi="Arial"/>
          <w:sz w:val="20"/>
          <w:szCs w:val="20"/>
          <w:color w:val="060606"/>
        </w:rPr>
        <w:t>LivaNova now expects full-year 2026 revenue to grow between 9% and 10% (versus 8% and 9% prior) on a constant-currency basis. Foreign currency is expected to be a tailwind of approximately 1% based on current exchange rates, consistent with prior guidance.</w:t>
      </w:r>
    </w:p>
    <w:p>
      <w:pPr>
        <w:spacing w:after="0" w:line="164" w:lineRule="exact"/>
        <w:rPr>
          <w:sz w:val="20"/>
          <w:szCs w:val="20"/>
          <w:color w:val="auto"/>
        </w:rPr>
      </w:pPr>
    </w:p>
    <w:p>
      <w:pPr>
        <w:jc w:val="both"/>
        <w:spacing w:after="0" w:line="375" w:lineRule="auto"/>
        <w:rPr>
          <w:sz w:val="20"/>
          <w:szCs w:val="20"/>
          <w:color w:val="auto"/>
        </w:rPr>
      </w:pPr>
      <w:r>
        <w:rPr>
          <w:rFonts w:ascii="Arial" w:cs="Arial" w:eastAsia="Arial" w:hAnsi="Arial"/>
          <w:sz w:val="20"/>
          <w:szCs w:val="20"/>
          <w:color w:val="060606"/>
        </w:rPr>
        <w:t>Adjusted diluted earnings per share for 2026 is now expected to be in the range of $4.40 to $4.50 (versus $4.30 to $4.40 prior), assuming a share count of approximately 56 million for full-year 2026. In 2026, the Company estimates adjusted free cash flow in the range of $140 million to $160 million, consistent with prior guidance.</w:t>
      </w:r>
    </w:p>
    <w:p>
      <w:pPr>
        <w:spacing w:after="0" w:line="177" w:lineRule="exact"/>
        <w:rPr>
          <w:sz w:val="20"/>
          <w:szCs w:val="20"/>
          <w:color w:val="auto"/>
        </w:rPr>
      </w:pPr>
    </w:p>
    <w:p>
      <w:pPr>
        <w:jc w:val="both"/>
        <w:spacing w:after="0" w:line="367" w:lineRule="auto"/>
        <w:rPr>
          <w:sz w:val="20"/>
          <w:szCs w:val="20"/>
          <w:color w:val="auto"/>
        </w:rPr>
      </w:pPr>
      <w:r>
        <w:rPr>
          <w:rFonts w:ascii="Arial" w:cs="Arial" w:eastAsia="Arial" w:hAnsi="Arial"/>
          <w:sz w:val="20"/>
          <w:szCs w:val="20"/>
          <w:color w:val="060606"/>
        </w:rPr>
        <w:t>As discussed in the section entitled “Use of Non-GAAP Financial Measures” below, the Company is unable to predict with a reasonable degree of certainty the type and extent of certain items that would be expected to impact GAAP measures but would not impact the non-GAAP measures. Accordingly, the Company is unable to reconcile the forward-looking non-GAAP financial measures included in this section to their most directly comparable forward-looking GAAP financial measures without unreasonable efforts.</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u w:val="single" w:color="auto"/>
          <w:color w:val="060606"/>
        </w:rPr>
        <w:t>Audiocast and Conference Call Instructions</w:t>
      </w:r>
    </w:p>
    <w:p>
      <w:pPr>
        <w:spacing w:after="0" w:line="324" w:lineRule="exact"/>
        <w:rPr>
          <w:sz w:val="20"/>
          <w:szCs w:val="20"/>
          <w:color w:val="auto"/>
        </w:rPr>
      </w:pPr>
    </w:p>
    <w:p>
      <w:pPr>
        <w:jc w:val="both"/>
        <w:spacing w:after="0" w:line="389" w:lineRule="auto"/>
        <w:rPr>
          <w:sz w:val="20"/>
          <w:szCs w:val="20"/>
          <w:color w:val="auto"/>
        </w:rPr>
      </w:pPr>
      <w:r>
        <w:rPr>
          <w:rFonts w:ascii="Arial" w:cs="Arial" w:eastAsia="Arial" w:hAnsi="Arial"/>
          <w:sz w:val="19"/>
          <w:szCs w:val="19"/>
          <w:color w:val="060606"/>
        </w:rPr>
        <w:t xml:space="preserve">The Company will host a live audiocast at 1 p.m. London time (8 a.m. Eastern Standard Time) on Wed., November 4, 2026 that will be accessible at </w:t>
      </w:r>
      <w:r>
        <w:rPr>
          <w:rFonts w:ascii="Arial" w:cs="Arial" w:eastAsia="Arial" w:hAnsi="Arial"/>
          <w:sz w:val="19"/>
          <w:szCs w:val="19"/>
          <w:u w:val="single" w:color="auto"/>
          <w:color w:val="0E32E1"/>
        </w:rPr>
        <w:t>www.livanova.com/events</w:t>
      </w:r>
      <w:r>
        <w:rPr>
          <w:rFonts w:ascii="Arial" w:cs="Arial" w:eastAsia="Arial" w:hAnsi="Arial"/>
          <w:sz w:val="19"/>
          <w:szCs w:val="19"/>
          <w:color w:val="060606"/>
        </w:rPr>
        <w:t xml:space="preserve">. Listeners should register in advance and log on approximately 10 minutes early to ensure proper setup. To listen to the conference call by telephone, dial +1 833 461 5787 (if dialing from within the U.S.) or +1 585 542 9983 (if dialing from outside the U.S.). The conference call meeting ID is 495924914. Within 24 hours of the audiocast, a replay will be available at </w:t>
      </w:r>
      <w:r>
        <w:rPr>
          <w:rFonts w:ascii="Arial" w:cs="Arial" w:eastAsia="Arial" w:hAnsi="Arial"/>
          <w:sz w:val="19"/>
          <w:szCs w:val="19"/>
          <w:u w:val="single" w:color="auto"/>
          <w:color w:val="0E32E1"/>
        </w:rPr>
        <w:t>www.livanova.com/events</w:t>
      </w:r>
      <w:r>
        <w:rPr>
          <w:rFonts w:ascii="Arial" w:cs="Arial" w:eastAsia="Arial" w:hAnsi="Arial"/>
          <w:sz w:val="19"/>
          <w:szCs w:val="19"/>
          <w:color w:val="060606"/>
        </w:rPr>
        <w:t>, where it will be archived and accessible for approximately 90 days.</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color w:val="9D19D1"/>
        </w:rPr>
        <w:t>About LivaNova</w:t>
      </w:r>
    </w:p>
    <w:p>
      <w:pPr>
        <w:spacing w:after="0" w:line="324" w:lineRule="exact"/>
        <w:rPr>
          <w:sz w:val="20"/>
          <w:szCs w:val="20"/>
          <w:color w:val="auto"/>
        </w:rPr>
      </w:pPr>
    </w:p>
    <w:p>
      <w:pPr>
        <w:jc w:val="both"/>
        <w:spacing w:after="0" w:line="367" w:lineRule="auto"/>
        <w:rPr>
          <w:sz w:val="20"/>
          <w:szCs w:val="20"/>
          <w:color w:val="auto"/>
        </w:rPr>
      </w:pPr>
      <w:r>
        <w:rPr>
          <w:rFonts w:ascii="Arial" w:cs="Arial" w:eastAsia="Arial" w:hAnsi="Arial"/>
          <w:sz w:val="20"/>
          <w:szCs w:val="20"/>
          <w:color w:val="060606"/>
        </w:rPr>
        <w:t xml:space="preserve">LivaNova PLC is a global medical technology company built on nearly five decades of experience with a vision to change the trajectory of lives for a new day. Through ingenious medical solutions in select neurological and cardiac conditions, LivaNova strives to ignite patient turnarounds. With its registered office in the United Kingdom, approximately 3,300 employees, and a presence in more than 100 countries, LivaNova serves patients, healthcare professionals, and healthcare systems worldwide. For more information, please visit </w:t>
      </w:r>
      <w:r>
        <w:rPr>
          <w:rFonts w:ascii="Arial" w:cs="Arial" w:eastAsia="Arial" w:hAnsi="Arial"/>
          <w:sz w:val="20"/>
          <w:szCs w:val="20"/>
          <w:u w:val="single" w:color="auto"/>
          <w:color w:val="0E32E1"/>
        </w:rPr>
        <w:t>www.livanova.com</w:t>
      </w:r>
      <w:r>
        <w:rPr>
          <w:rFonts w:ascii="Arial" w:cs="Arial" w:eastAsia="Arial" w:hAnsi="Arial"/>
          <w:sz w:val="20"/>
          <w:szCs w:val="20"/>
          <w:color w:val="060606"/>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2"/>
          <w:szCs w:val="22"/>
          <w:color w:val="060606"/>
        </w:rPr>
        <w:t>3</w:t>
      </w:r>
    </w:p>
    <w:p>
      <w:pPr>
        <w:sectPr>
          <w:pgSz w:w="11900" w:h="16838" w:orient="portrait"/>
          <w:cols w:equalWidth="0" w:num="1">
            <w:col w:w="11240"/>
          </w:cols>
          <w:pgMar w:left="320" w:top="1440" w:right="339" w:bottom="1440" w:gutter="0" w:footer="0" w:header="0"/>
        </w:sectPr>
      </w:pPr>
    </w:p>
    <w:bookmarkStart w:id="6" w:name="page7"/>
    <w:bookmarkEnd w:id="6"/>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0"/>
          <w:szCs w:val="20"/>
          <w:color w:val="9D19D1"/>
        </w:rPr>
        <w:t>Use of Non-GAAP Financial Measures</w:t>
      </w:r>
    </w:p>
    <w:p>
      <w:pPr>
        <w:spacing w:after="0" w:line="337" w:lineRule="exact"/>
        <w:rPr>
          <w:sz w:val="20"/>
          <w:szCs w:val="20"/>
          <w:color w:val="auto"/>
        </w:rPr>
      </w:pPr>
    </w:p>
    <w:p>
      <w:pPr>
        <w:jc w:val="both"/>
        <w:spacing w:after="0" w:line="364" w:lineRule="auto"/>
        <w:rPr>
          <w:sz w:val="20"/>
          <w:szCs w:val="20"/>
          <w:color w:val="auto"/>
        </w:rPr>
      </w:pPr>
      <w:r>
        <w:rPr>
          <w:rFonts w:ascii="Arial" w:cs="Arial" w:eastAsia="Arial" w:hAnsi="Arial"/>
          <w:sz w:val="20"/>
          <w:szCs w:val="20"/>
          <w:color w:val="060606"/>
        </w:rPr>
        <w:t>To supplement financial measures presented in accordance with generally accepted accounting principles in the United States (U.S. GAAP or GAAP), management has disclosed certain additional measures not presented in accordance with GAAP known as “non-GAAP financial measures” or “adjusted financial measures.” Company management uses these non-GAAP measures to monitor the Company’s operational performance and for benchmarking against other medical technology companies. Non-GAAP financial measures used by the Company may be calculated differently from, and therefore may not be comparable to, similarly titled measures used by other companies. These non-GAAP financial measures should be considered along with, but not as alternatives to, operational performance measures as prescribed by GAAP.</w:t>
      </w:r>
    </w:p>
    <w:p>
      <w:pPr>
        <w:spacing w:after="0" w:line="177" w:lineRule="exact"/>
        <w:rPr>
          <w:sz w:val="20"/>
          <w:szCs w:val="20"/>
          <w:color w:val="auto"/>
        </w:rPr>
      </w:pPr>
    </w:p>
    <w:p>
      <w:pPr>
        <w:jc w:val="both"/>
        <w:spacing w:after="0" w:line="370" w:lineRule="auto"/>
        <w:rPr>
          <w:sz w:val="20"/>
          <w:szCs w:val="20"/>
          <w:color w:val="auto"/>
        </w:rPr>
      </w:pPr>
      <w:r>
        <w:rPr>
          <w:rFonts w:ascii="Arial" w:cs="Arial" w:eastAsia="Arial" w:hAnsi="Arial"/>
          <w:sz w:val="20"/>
          <w:szCs w:val="20"/>
          <w:color w:val="060606"/>
        </w:rPr>
        <w:t>In this news release, the Company refers to revenue and percentage change in revenue on a comparable, constant-currency basis. Company management believes that these non-GAAP measures provide a useful way to evaluate the revenue performance of LivaNova and to compare the revenue performance of current periods to prior periods on a consistent basis. Constant-currency percent change measures the change in revenue between current and prior-year periods using average exchange rates in effect during the applicable prior-year period.</w:t>
      </w:r>
    </w:p>
    <w:p>
      <w:pPr>
        <w:spacing w:after="0" w:line="171" w:lineRule="exact"/>
        <w:rPr>
          <w:sz w:val="20"/>
          <w:szCs w:val="20"/>
          <w:color w:val="auto"/>
        </w:rPr>
      </w:pPr>
    </w:p>
    <w:p>
      <w:pPr>
        <w:jc w:val="both"/>
        <w:spacing w:after="0" w:line="381" w:lineRule="auto"/>
        <w:rPr>
          <w:sz w:val="20"/>
          <w:szCs w:val="20"/>
          <w:color w:val="auto"/>
        </w:rPr>
      </w:pPr>
      <w:r>
        <w:rPr>
          <w:rFonts w:ascii="Arial" w:cs="Arial" w:eastAsia="Arial" w:hAnsi="Arial"/>
          <w:sz w:val="19"/>
          <w:szCs w:val="19"/>
          <w:color w:val="060606"/>
        </w:rPr>
        <w:t>LivaNova calculates forward-looking non-GAAP financial measures based on internal forecasts that omit certain amounts that would be included in GAAP financial measures. For example, forward-looking net revenue growth projections are estimated on a constant-currency basis and exclude the impact of foreign currency fluctuations. Forward-looking non-GAAP adjusted diluted earnings per share guidance excludes items such as, but not limited to, changes in fair value of certain derivatives and contingent consideration arrangements and asset impairment charges that would be included in comparable GAAP financial measures. The most directly comparable GAAP measure for adjusted free cash flow is net cash provided by operating activities. Adjusted free cash flow is defined as net cash provided by operating activities less cash used for the purchase of property, plant, and equipment excluding the impact of 3T litigation settlement payments, cybersecurity incident insurance proceeds, SNIA environmental liability and related financing costs, contingent consideration payments classified within operating cash flows, and gains related to dividends received from investments and further adjusted as needed for other charges, expenses, or gains that may not be indicative of the Company’s operational performance. However, non-GAAP financial adjustments on a forward-looking basis are subject to uncertainty and variability as they are dependent on many factors, including but not limited to, the effect of foreign currency exchange fluctuations, impacts from potential acquisitions or divestitures, the ultimate outcome of legal proceedings, gains or losses on the potential sale of businesses or other assets, restructuring costs, merger and integration activities, changes in fair value of derivatives, and contingent consideration arrangements,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1"/>
          <w:szCs w:val="21"/>
          <w:color w:val="060606"/>
        </w:rPr>
        <w:t>4</w:t>
      </w:r>
    </w:p>
    <w:p>
      <w:pPr>
        <w:sectPr>
          <w:pgSz w:w="11900" w:h="16838" w:orient="portrait"/>
          <w:cols w:equalWidth="0" w:num="1">
            <w:col w:w="11240"/>
          </w:cols>
          <w:pgMar w:left="320" w:top="1440" w:right="339" w:bottom="1440" w:gutter="0" w:footer="0" w:header="0"/>
          <w:type w:val="continuous"/>
        </w:sectPr>
      </w:pPr>
    </w:p>
    <w:bookmarkStart w:id="7" w:name="page8"/>
    <w:bookmarkEnd w:id="7"/>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375" w:lineRule="auto"/>
        <w:rPr>
          <w:sz w:val="20"/>
          <w:szCs w:val="20"/>
          <w:color w:val="auto"/>
        </w:rPr>
      </w:pPr>
      <w:r>
        <w:rPr>
          <w:rFonts w:ascii="Arial" w:cs="Arial" w:eastAsia="Arial" w:hAnsi="Arial"/>
          <w:sz w:val="20"/>
          <w:szCs w:val="20"/>
          <w:color w:val="060606"/>
        </w:rPr>
        <w:t>asset impairment charges and the tax impact of the aforementioned items, tax law changes, or other tax matters. Accordingly, the Company does not reconcile non-GAAP financial measures on a forward-looking basis as it is impractical to do so without unreasonable effort.</w:t>
      </w:r>
    </w:p>
    <w:p>
      <w:pPr>
        <w:spacing w:after="0" w:line="177" w:lineRule="exact"/>
        <w:rPr>
          <w:sz w:val="20"/>
          <w:szCs w:val="20"/>
          <w:color w:val="auto"/>
        </w:rPr>
      </w:pPr>
    </w:p>
    <w:p>
      <w:pPr>
        <w:jc w:val="both"/>
        <w:spacing w:after="0" w:line="363" w:lineRule="auto"/>
        <w:rPr>
          <w:sz w:val="20"/>
          <w:szCs w:val="20"/>
          <w:color w:val="auto"/>
        </w:rPr>
      </w:pPr>
      <w:r>
        <w:rPr>
          <w:rFonts w:ascii="Arial" w:cs="Arial" w:eastAsia="Arial" w:hAnsi="Arial"/>
          <w:sz w:val="20"/>
          <w:szCs w:val="20"/>
          <w:color w:val="060606"/>
        </w:rPr>
        <w:t>Adjusted financial measures such as adjusted cost of sales, adjusted gross profit, adjusted selling, general, and administrative expense, adjusted research and development expense, adjusted other operating expense, adjusted operating income, adjusted income before income tax, adjusted income tax expense, adjusted net income, and adjusted diluted earnings per share are measures that LivaNova generally uses to facilitate management review of the operational performance of the company, to serve as a basis for strategic planning, and in the design of incentive compensation plans. Additionally, the Company uses the non-GAAP liquidity measure adjusted free cash flow. The Company believes that the presentation of these adjusted financial measures allows investors to evaluate the Company’s operational performance for different periods on a more comparable and consistent basis, and with other medical technology companies by adjusting for items that are not related to the operational performance of the Company or incurred in the ordinary course of business.</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9D19D1"/>
        </w:rPr>
        <w:t>Safe Harbor Statement</w:t>
      </w:r>
    </w:p>
    <w:p>
      <w:pPr>
        <w:spacing w:after="0" w:line="324" w:lineRule="exact"/>
        <w:rPr>
          <w:sz w:val="20"/>
          <w:szCs w:val="20"/>
          <w:color w:val="auto"/>
        </w:rPr>
      </w:pPr>
    </w:p>
    <w:p>
      <w:pPr>
        <w:jc w:val="both"/>
        <w:spacing w:after="0" w:line="361" w:lineRule="auto"/>
        <w:rPr>
          <w:sz w:val="20"/>
          <w:szCs w:val="20"/>
          <w:color w:val="auto"/>
        </w:rPr>
      </w:pPr>
      <w:r>
        <w:rPr>
          <w:rFonts w:ascii="Arial" w:cs="Arial" w:eastAsia="Arial" w:hAnsi="Arial"/>
          <w:sz w:val="20"/>
          <w:szCs w:val="20"/>
          <w:color w:val="060606"/>
        </w:rPr>
        <w:t>Certain statements in this news release, other than statements of historical or current fact, are “forward-looking statements” within the meaning of the Private Securities Litigation Reform Act of 1995, Section 27A of the Securities Act, and Section 21E of the Exchange Act. These statements include, but are not limited to, LivaNova’s plans, objectives, strategies, financial performance and outlook, trends, the amount and timing of future cash distributions, prospects, or future events, and involve known and unknown risks that are difficult to predict. As a result, the Company’s actual financial results, performance, achievements, or prospects may differ materially from those expressed or implied by these forward-looking statements. Generally, forward-looking statements can be identified by the use of words such as “may,” “could,” “seek,” “guidance,” “predict,” “potential,” “likely,” “believe,” “will,” “should,” “expect,” “anticipate,” “estimate,” “plan,” “intend,” “forecast,” “foresee,” or variations of these terms and similar expressions, or the negative of these terms or similar expressions. Such forward-looking statements are necessarily based on estimates and assumptions that, while considered reasonable by LivaNova and its management based on their knowledge and understanding of the business and industry, are inherently uncertain. These statements are not guarantees of future performance, and shareholders should not place undue reliance on forward-looking statements. There are a number of risks, uncertainties, and other important factors, many of which are beyond the Company’s control, that could cause the Company’s actual results to differ materially from the forward-looking statements contained in this news release, and include, but are not limited to, the following risks and uncertainties: risks associated with doing business globally, including volatility in the global market and worldwide economic conditions; adverse changes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1"/>
          <w:szCs w:val="21"/>
          <w:color w:val="060606"/>
        </w:rPr>
        <w:t>5</w:t>
      </w:r>
    </w:p>
    <w:p>
      <w:pPr>
        <w:sectPr>
          <w:pgSz w:w="11900" w:h="16838" w:orient="portrait"/>
          <w:cols w:equalWidth="0" w:num="1">
            <w:col w:w="11240"/>
          </w:cols>
          <w:pgMar w:left="320" w:top="1440" w:right="339" w:bottom="1440" w:gutter="0" w:footer="0" w:header="0"/>
          <w:type w:val="continuous"/>
        </w:sectPr>
      </w:pPr>
    </w:p>
    <w:bookmarkStart w:id="8" w:name="page9"/>
    <w:bookmarkEnd w:id="8"/>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360" w:lineRule="auto"/>
        <w:rPr>
          <w:sz w:val="20"/>
          <w:szCs w:val="20"/>
          <w:color w:val="auto"/>
        </w:rPr>
      </w:pPr>
      <w:r>
        <w:rPr>
          <w:rFonts w:ascii="Arial" w:cs="Arial" w:eastAsia="Arial" w:hAnsi="Arial"/>
          <w:sz w:val="20"/>
          <w:szCs w:val="20"/>
          <w:color w:val="060606"/>
        </w:rPr>
        <w:t>in export and import costs and other trade restrictions as well as uncertainty over global tariffs; risks relating to supply chain pressures; failure to protect, maintain, or upgrade LivaNova’s IT systems or products, or safeguard against cybersecurity incidents, service disruptions, or data corruption; costs of complying with privacy and security of personal information requirements and laws; changes in technology, including the development of superior or alternative technology or devices by competitors and/or competition from providers of alternative medical therapies; risks related to AI integration and regulation; failure of investments, alliances, supply agreements, acquisitions, or divestitures to achieve expected returns; failure to maintain appropriate working relationships with healthcare professionals to aid in the continuing development of products; the risk of quality issues and the impacts thereof; risks relating to recalls, replacement of inventory, enforcement actions, or product liability claims; failure to comply with, or changes in, laws, regulations, or administrative practices affecting government regulation of the Company’s products; failure to retain talent, maintain an effective succession plan, and negotiate successfully with local works councils; failure to obtain or maintain approvals, clearance, or reimbursement in relation to the Company’s products; unfavorable results from clinical studies or failure to meet milestones; global healthcare policy changes that may lead to restricted access and pricing as well as payback requirements and limited reimbursement; failure to comply with rules relating to healthcare goods and services as well as anti-bribery laws; the unfavorable impact of pending or existing climate change; product liability, intellectual property, shareholder-related, environmental-related, income tax, and other litigation, disputes, losses, and costs, including in the case of the Company’s 3T Heater-Cooler litigation; risks associated with environmental laws and regulations as well as environmental liabilities, violations, and litigation, including in the case of Saluggia and SNIA; failure to protect the Company’s proprietary intellectual property; changes in tax laws and regulations, including exposure to additional income tax liabilities; risks relating to the Company’s indebtedness; risks associated with potential government shutdowns; the potential for impairments of intangible assets, goodwill, and other long-lived assets; risks associated with public health crises; risks associated with shareholder activism; effectiveness of the Company’s internal controls over financial reporting; changes in the Company’s profitability and/or failure to manage costs and expenses; fluctuations in future quarterly operating results and/or variations in revenue and operating expenses relative to estimates; and other unknown or unpredictable factors that could harm the Company’s financial performance.</w:t>
      </w:r>
    </w:p>
    <w:p>
      <w:pPr>
        <w:spacing w:after="0" w:line="212" w:lineRule="exact"/>
        <w:rPr>
          <w:sz w:val="20"/>
          <w:szCs w:val="20"/>
          <w:color w:val="auto"/>
        </w:rPr>
      </w:pPr>
    </w:p>
    <w:p>
      <w:pPr>
        <w:jc w:val="both"/>
        <w:spacing w:after="0" w:line="367" w:lineRule="auto"/>
        <w:rPr>
          <w:sz w:val="20"/>
          <w:szCs w:val="20"/>
          <w:color w:val="auto"/>
        </w:rPr>
      </w:pPr>
      <w:r>
        <w:rPr>
          <w:rFonts w:ascii="Arial" w:cs="Arial" w:eastAsia="Arial" w:hAnsi="Arial"/>
          <w:sz w:val="20"/>
          <w:szCs w:val="20"/>
          <w:color w:val="060606"/>
        </w:rPr>
        <w:t>The foregoing list of factors is not exhaustive. You should carefully consider the foregoing factors and the other risks and uncertainties that affect the Company’s business, including those described in the “Risk Factors” section of the Annual Report on Form 10-K, Quarterly Reports on Form 10-Q, Current Reports on Form 8-K and other documents filed from time to time with the U.S. Securities and Exchange Commission by LivaNova.</w:t>
      </w:r>
    </w:p>
    <w:p>
      <w:pPr>
        <w:spacing w:after="0" w:line="186" w:lineRule="exact"/>
        <w:rPr>
          <w:sz w:val="20"/>
          <w:szCs w:val="20"/>
          <w:color w:val="auto"/>
        </w:rPr>
      </w:pPr>
    </w:p>
    <w:p>
      <w:pPr>
        <w:jc w:val="both"/>
        <w:spacing w:after="0" w:line="384" w:lineRule="auto"/>
        <w:rPr>
          <w:sz w:val="20"/>
          <w:szCs w:val="20"/>
          <w:color w:val="auto"/>
        </w:rPr>
      </w:pPr>
      <w:r>
        <w:rPr>
          <w:rFonts w:ascii="Arial" w:cs="Arial" w:eastAsia="Arial" w:hAnsi="Arial"/>
          <w:sz w:val="20"/>
          <w:szCs w:val="20"/>
          <w:color w:val="060606"/>
        </w:rPr>
        <w:t>Readers are cautioned not to place undue reliance on the Company’s forward-looking statements, which speak only as of the date of this news release. The Company undertakes no obligation to update publicly any of the</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21"/>
          <w:szCs w:val="21"/>
          <w:color w:val="060606"/>
        </w:rPr>
        <w:t>6</w:t>
      </w:r>
    </w:p>
    <w:p>
      <w:pPr>
        <w:sectPr>
          <w:pgSz w:w="11900" w:h="16838" w:orient="portrait"/>
          <w:cols w:equalWidth="0" w:num="1">
            <w:col w:w="11240"/>
          </w:cols>
          <w:pgMar w:left="320" w:top="1440" w:right="339" w:bottom="1440" w:gutter="0" w:footer="0" w:header="0"/>
          <w:type w:val="continuous"/>
        </w:sectPr>
      </w:pPr>
    </w:p>
    <w:bookmarkStart w:id="9" w:name="page10"/>
    <w:bookmarkEnd w:id="9"/>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372" w:lineRule="auto"/>
        <w:rPr>
          <w:sz w:val="20"/>
          <w:szCs w:val="20"/>
          <w:color w:val="auto"/>
        </w:rPr>
      </w:pPr>
      <w:r>
        <w:rPr>
          <w:rFonts w:ascii="Arial" w:cs="Arial" w:eastAsia="Arial" w:hAnsi="Arial"/>
          <w:sz w:val="20"/>
          <w:szCs w:val="20"/>
          <w:color w:val="060606"/>
        </w:rPr>
        <w:t>forward-looking statements in this news release to reflect actual results, new information or future events, changes in assumptions or changes in other factors affecting forward-looking statements, except to the extent required by applicable law. If LivaNova updates one or more forward-looking statements, no inference should be drawn that the Company will make additional updates with respect to those or other forward-looking statements.</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color w:val="060606"/>
        </w:rPr>
        <w:t>VNS Therapy and Essenz are trademarks of LivaNova USA, Inc.</w:t>
      </w:r>
    </w:p>
    <w:p>
      <w:pPr>
        <w:spacing w:after="0" w:line="292" w:lineRule="exact"/>
        <w:rPr>
          <w:sz w:val="20"/>
          <w:szCs w:val="20"/>
          <w:color w:val="auto"/>
        </w:rPr>
      </w:pPr>
    </w:p>
    <w:p>
      <w:pPr>
        <w:ind w:left="80"/>
        <w:spacing w:after="0"/>
        <w:rPr>
          <w:sz w:val="20"/>
          <w:szCs w:val="20"/>
          <w:color w:val="auto"/>
        </w:rPr>
      </w:pPr>
      <w:r>
        <w:rPr>
          <w:rFonts w:ascii="Arial" w:cs="Arial" w:eastAsia="Arial" w:hAnsi="Arial"/>
          <w:sz w:val="22"/>
          <w:szCs w:val="22"/>
          <w:color w:val="060606"/>
        </w:rPr>
        <w:t>Briana Gotlin</w:t>
      </w:r>
    </w:p>
    <w:p>
      <w:pPr>
        <w:spacing w:after="0" w:line="13" w:lineRule="exact"/>
        <w:rPr>
          <w:sz w:val="20"/>
          <w:szCs w:val="20"/>
          <w:color w:val="auto"/>
        </w:rPr>
      </w:pPr>
    </w:p>
    <w:p>
      <w:pPr>
        <w:ind w:left="80"/>
        <w:spacing w:after="0"/>
        <w:rPr>
          <w:sz w:val="20"/>
          <w:szCs w:val="20"/>
          <w:color w:val="auto"/>
        </w:rPr>
      </w:pPr>
      <w:r>
        <w:rPr>
          <w:rFonts w:ascii="Arial" w:cs="Arial" w:eastAsia="Arial" w:hAnsi="Arial"/>
          <w:sz w:val="20"/>
          <w:szCs w:val="20"/>
          <w:color w:val="060606"/>
        </w:rPr>
        <w:t>Vice President, Investor Relations</w:t>
      </w:r>
    </w:p>
    <w:p>
      <w:pPr>
        <w:spacing w:after="0" w:line="13" w:lineRule="exact"/>
        <w:rPr>
          <w:sz w:val="20"/>
          <w:szCs w:val="20"/>
          <w:color w:val="auto"/>
        </w:rPr>
      </w:pPr>
    </w:p>
    <w:p>
      <w:pPr>
        <w:ind w:left="80"/>
        <w:spacing w:after="0"/>
        <w:rPr>
          <w:sz w:val="20"/>
          <w:szCs w:val="20"/>
          <w:color w:val="auto"/>
        </w:rPr>
      </w:pPr>
      <w:r>
        <w:rPr>
          <w:rFonts w:ascii="Arial" w:cs="Arial" w:eastAsia="Arial" w:hAnsi="Arial"/>
          <w:sz w:val="20"/>
          <w:szCs w:val="20"/>
          <w:color w:val="060606"/>
        </w:rPr>
        <w:t>Phone: +1 281 895 2382</w:t>
      </w:r>
    </w:p>
    <w:p>
      <w:pPr>
        <w:ind w:left="80"/>
        <w:spacing w:after="0"/>
        <w:rPr>
          <w:sz w:val="20"/>
          <w:szCs w:val="20"/>
          <w:color w:val="auto"/>
        </w:rPr>
      </w:pPr>
      <w:r>
        <w:rPr>
          <w:rFonts w:ascii="Arial" w:cs="Arial" w:eastAsia="Arial" w:hAnsi="Arial"/>
          <w:sz w:val="20"/>
          <w:szCs w:val="20"/>
          <w:color w:val="060606"/>
        </w:rPr>
        <w:t>e-mail: InvestorRelations@livanova.com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color w:val="060606"/>
        </w:rPr>
        <w:t>7</w:t>
      </w:r>
    </w:p>
    <w:p>
      <w:pPr>
        <w:sectPr>
          <w:pgSz w:w="11900" w:h="16838" w:orient="portrait"/>
          <w:cols w:equalWidth="0" w:num="1">
            <w:col w:w="11240"/>
          </w:cols>
          <w:pgMar w:left="320" w:top="1440" w:right="339" w:bottom="1440" w:gutter="0" w:footer="0" w:header="0"/>
        </w:sectPr>
      </w:pPr>
    </w:p>
    <w:bookmarkStart w:id="10" w:name="page11"/>
    <w:bookmarkEnd w:id="10"/>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3920" w:type="dxa"/>
            <w:vAlign w:val="bottom"/>
          </w:tcPr>
          <w:p>
            <w:pPr>
              <w:spacing w:after="0"/>
              <w:rPr>
                <w:sz w:val="20"/>
                <w:szCs w:val="20"/>
                <w:color w:val="auto"/>
              </w:rPr>
            </w:pPr>
            <w:r>
              <w:rPr>
                <w:rFonts w:ascii="Arial" w:cs="Arial" w:eastAsia="Arial" w:hAnsi="Arial"/>
                <w:sz w:val="18"/>
                <w:szCs w:val="18"/>
                <w:color w:val="060606"/>
              </w:rPr>
              <w:t>LIVANOVA PLC</w:t>
            </w: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920" w:type="dxa"/>
            <w:vAlign w:val="bottom"/>
          </w:tcPr>
          <w:p>
            <w:pPr>
              <w:spacing w:after="0"/>
              <w:rPr>
                <w:sz w:val="20"/>
                <w:szCs w:val="20"/>
                <w:color w:val="auto"/>
              </w:rPr>
            </w:pPr>
            <w:r>
              <w:rPr>
                <w:rFonts w:ascii="Arial" w:cs="Arial" w:eastAsia="Arial" w:hAnsi="Arial"/>
                <w:sz w:val="18"/>
                <w:szCs w:val="18"/>
                <w:color w:val="060606"/>
              </w:rPr>
              <w:t>NET REVENUE - UNAUDITED</w:t>
            </w: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20" w:type="dxa"/>
            <w:vAlign w:val="bottom"/>
          </w:tcPr>
          <w:p>
            <w:pPr>
              <w:spacing w:after="0"/>
              <w:rPr>
                <w:sz w:val="20"/>
                <w:szCs w:val="20"/>
                <w:color w:val="auto"/>
              </w:rPr>
            </w:pPr>
            <w:r>
              <w:rPr>
                <w:rFonts w:ascii="Arial" w:cs="Arial" w:eastAsia="Arial" w:hAnsi="Arial"/>
                <w:sz w:val="18"/>
                <w:szCs w:val="18"/>
                <w:color w:val="060606"/>
              </w:rPr>
              <w:t>(In millions)</w:t>
            </w: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920" w:type="dxa"/>
            <w:vAlign w:val="bottom"/>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gridSpan w:val="4"/>
          </w:tcPr>
          <w:p>
            <w:pPr>
              <w:ind w:left="480"/>
              <w:spacing w:after="0"/>
              <w:rPr>
                <w:sz w:val="20"/>
                <w:szCs w:val="20"/>
                <w:color w:val="auto"/>
              </w:rPr>
            </w:pPr>
            <w:r>
              <w:rPr>
                <w:rFonts w:ascii="Arial" w:cs="Arial" w:eastAsia="Arial" w:hAnsi="Arial"/>
                <w:sz w:val="18"/>
                <w:szCs w:val="18"/>
                <w:color w:val="060606"/>
              </w:rPr>
              <w:t>Three Months Ended September 30,</w:t>
            </w:r>
          </w:p>
        </w:tc>
        <w:tc>
          <w:tcPr>
            <w:tcW w:w="1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920" w:type="dxa"/>
            <w:vAlign w:val="bottom"/>
          </w:tcPr>
          <w:p>
            <w:pPr>
              <w:spacing w:after="0"/>
              <w:rPr>
                <w:sz w:val="16"/>
                <w:szCs w:val="16"/>
                <w:color w:val="auto"/>
              </w:rPr>
            </w:pPr>
          </w:p>
        </w:tc>
        <w:tc>
          <w:tcPr>
            <w:tcW w:w="1620" w:type="dxa"/>
            <w:vAlign w:val="bottom"/>
            <w:vMerge w:val="restart"/>
          </w:tcPr>
          <w:p>
            <w:pPr>
              <w:jc w:val="right"/>
              <w:ind w:right="510"/>
              <w:spacing w:after="0"/>
              <w:rPr>
                <w:sz w:val="20"/>
                <w:szCs w:val="20"/>
                <w:color w:val="auto"/>
              </w:rPr>
            </w:pPr>
            <w:r>
              <w:rPr>
                <w:rFonts w:ascii="Arial" w:cs="Arial" w:eastAsia="Arial" w:hAnsi="Arial"/>
                <w:sz w:val="18"/>
                <w:szCs w:val="18"/>
                <w:color w:val="060606"/>
              </w:rPr>
              <w:t>2026</w:t>
            </w:r>
          </w:p>
        </w:tc>
        <w:tc>
          <w:tcPr>
            <w:tcW w:w="100" w:type="dxa"/>
            <w:vAlign w:val="bottom"/>
          </w:tcPr>
          <w:p>
            <w:pPr>
              <w:spacing w:after="0"/>
              <w:rPr>
                <w:sz w:val="16"/>
                <w:szCs w:val="16"/>
                <w:color w:val="auto"/>
              </w:rPr>
            </w:pPr>
          </w:p>
        </w:tc>
        <w:tc>
          <w:tcPr>
            <w:tcW w:w="1620" w:type="dxa"/>
            <w:vAlign w:val="bottom"/>
            <w:vMerge w:val="restart"/>
          </w:tcPr>
          <w:p>
            <w:pPr>
              <w:jc w:val="right"/>
              <w:ind w:right="530"/>
              <w:spacing w:after="0"/>
              <w:rPr>
                <w:sz w:val="20"/>
                <w:szCs w:val="20"/>
                <w:color w:val="auto"/>
              </w:rPr>
            </w:pPr>
            <w:r>
              <w:rPr>
                <w:rFonts w:ascii="Arial" w:cs="Arial" w:eastAsia="Arial" w:hAnsi="Arial"/>
                <w:sz w:val="18"/>
                <w:szCs w:val="18"/>
                <w:color w:val="060606"/>
              </w:rPr>
              <w:t>2025</w:t>
            </w:r>
          </w:p>
        </w:tc>
        <w:tc>
          <w:tcPr>
            <w:tcW w:w="100" w:type="dxa"/>
            <w:vAlign w:val="bottom"/>
          </w:tcPr>
          <w:p>
            <w:pPr>
              <w:spacing w:after="0"/>
              <w:rPr>
                <w:sz w:val="16"/>
                <w:szCs w:val="16"/>
                <w:color w:val="auto"/>
              </w:rPr>
            </w:pPr>
          </w:p>
        </w:tc>
        <w:tc>
          <w:tcPr>
            <w:tcW w:w="1880" w:type="dxa"/>
            <w:vAlign w:val="bottom"/>
            <w:gridSpan w:val="2"/>
            <w:vMerge w:val="restart"/>
          </w:tcPr>
          <w:p>
            <w:pPr>
              <w:ind w:left="460"/>
              <w:spacing w:after="0"/>
              <w:rPr>
                <w:sz w:val="20"/>
                <w:szCs w:val="20"/>
                <w:color w:val="auto"/>
              </w:rPr>
            </w:pPr>
            <w:r>
              <w:rPr>
                <w:rFonts w:ascii="Arial" w:cs="Arial" w:eastAsia="Arial" w:hAnsi="Arial"/>
                <w:sz w:val="18"/>
                <w:szCs w:val="18"/>
                <w:color w:val="060606"/>
              </w:rPr>
              <w:t>% Change</w:t>
            </w:r>
          </w:p>
        </w:tc>
        <w:tc>
          <w:tcPr>
            <w:tcW w:w="1980" w:type="dxa"/>
            <w:vAlign w:val="bottom"/>
          </w:tcPr>
          <w:p>
            <w:pPr>
              <w:jc w:val="right"/>
              <w:ind w:right="50"/>
              <w:spacing w:after="0" w:line="191" w:lineRule="exact"/>
              <w:rPr>
                <w:sz w:val="20"/>
                <w:szCs w:val="20"/>
                <w:color w:val="auto"/>
              </w:rPr>
            </w:pPr>
            <w:r>
              <w:rPr>
                <w:rFonts w:ascii="Arial" w:cs="Arial" w:eastAsia="Arial" w:hAnsi="Arial"/>
                <w:sz w:val="18"/>
                <w:szCs w:val="18"/>
                <w:color w:val="060606"/>
              </w:rPr>
              <w:t>Constant-Currency %</w:t>
            </w:r>
          </w:p>
        </w:tc>
        <w:tc>
          <w:tcPr>
            <w:tcW w:w="0" w:type="dxa"/>
            <w:vAlign w:val="bottom"/>
          </w:tcPr>
          <w:p>
            <w:pPr>
              <w:spacing w:after="0"/>
              <w:rPr>
                <w:sz w:val="1"/>
                <w:szCs w:val="1"/>
                <w:color w:val="auto"/>
              </w:rPr>
            </w:pPr>
          </w:p>
        </w:tc>
      </w:tr>
      <w:tr>
        <w:trPr>
          <w:trHeight w:val="235"/>
        </w:trPr>
        <w:tc>
          <w:tcPr>
            <w:tcW w:w="3920" w:type="dxa"/>
            <w:vAlign w:val="bottom"/>
          </w:tcPr>
          <w:p>
            <w:pPr>
              <w:spacing w:after="0"/>
              <w:rPr>
                <w:sz w:val="20"/>
                <w:szCs w:val="20"/>
                <w:color w:val="auto"/>
              </w:rPr>
            </w:pPr>
          </w:p>
        </w:tc>
        <w:tc>
          <w:tcPr>
            <w:tcW w:w="16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880" w:type="dxa"/>
            <w:vAlign w:val="bottom"/>
            <w:gridSpan w:val="2"/>
            <w:vMerge w:val="continue"/>
          </w:tcPr>
          <w:p>
            <w:pPr>
              <w:spacing w:after="0"/>
              <w:rPr>
                <w:sz w:val="20"/>
                <w:szCs w:val="20"/>
                <w:color w:val="auto"/>
              </w:rPr>
            </w:pPr>
          </w:p>
        </w:tc>
        <w:tc>
          <w:tcPr>
            <w:tcW w:w="1980" w:type="dxa"/>
            <w:vAlign w:val="bottom"/>
          </w:tcPr>
          <w:p>
            <w:pPr>
              <w:jc w:val="right"/>
              <w:ind w:right="590"/>
              <w:spacing w:after="0"/>
              <w:rPr>
                <w:sz w:val="20"/>
                <w:szCs w:val="20"/>
                <w:color w:val="auto"/>
              </w:rPr>
            </w:pPr>
            <w:r>
              <w:rPr>
                <w:rFonts w:ascii="Arial" w:cs="Arial" w:eastAsia="Arial" w:hAnsi="Arial"/>
                <w:sz w:val="18"/>
                <w:szCs w:val="18"/>
                <w:color w:val="060606"/>
              </w:rPr>
              <w:t>Change</w:t>
            </w:r>
          </w:p>
        </w:tc>
        <w:tc>
          <w:tcPr>
            <w:tcW w:w="0" w:type="dxa"/>
            <w:vAlign w:val="bottom"/>
          </w:tcPr>
          <w:p>
            <w:pPr>
              <w:spacing w:after="0"/>
              <w:rPr>
                <w:sz w:val="1"/>
                <w:szCs w:val="1"/>
                <w:color w:val="auto"/>
              </w:rPr>
            </w:pPr>
          </w:p>
        </w:tc>
      </w:tr>
      <w:tr>
        <w:trPr>
          <w:trHeight w:val="227"/>
        </w:trPr>
        <w:tc>
          <w:tcPr>
            <w:tcW w:w="3920" w:type="dxa"/>
            <w:vAlign w:val="bottom"/>
          </w:tcPr>
          <w:p>
            <w:pPr>
              <w:spacing w:after="0"/>
              <w:rPr>
                <w:sz w:val="20"/>
                <w:szCs w:val="20"/>
                <w:color w:val="auto"/>
              </w:rPr>
            </w:pPr>
            <w:r>
              <w:rPr>
                <w:rFonts w:ascii="Arial" w:cs="Arial" w:eastAsia="Arial" w:hAnsi="Arial"/>
                <w:sz w:val="18"/>
                <w:szCs w:val="18"/>
                <w:color w:val="060606"/>
              </w:rPr>
              <w:t>Cardiopulmonary</w:t>
            </w:r>
          </w:p>
        </w:tc>
        <w:tc>
          <w:tcPr>
            <w:tcW w:w="16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9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920" w:type="dxa"/>
            <w:vAlign w:val="bottom"/>
          </w:tcPr>
          <w:p>
            <w:pPr>
              <w:ind w:left="120"/>
              <w:spacing w:after="0"/>
              <w:rPr>
                <w:sz w:val="20"/>
                <w:szCs w:val="20"/>
                <w:color w:val="auto"/>
              </w:rPr>
            </w:pPr>
            <w:r>
              <w:rPr>
                <w:rFonts w:ascii="Arial" w:cs="Arial" w:eastAsia="Arial" w:hAnsi="Arial"/>
                <w:sz w:val="18"/>
                <w:szCs w:val="18"/>
                <w:color w:val="060606"/>
              </w:rPr>
              <w:t>U.S.</w:t>
            </w:r>
          </w:p>
        </w:tc>
        <w:tc>
          <w:tcPr>
            <w:tcW w:w="1620" w:type="dxa"/>
            <w:vAlign w:val="bottom"/>
          </w:tcPr>
          <w:p>
            <w:pPr>
              <w:jc w:val="right"/>
              <w:spacing w:after="0"/>
              <w:rPr>
                <w:sz w:val="20"/>
                <w:szCs w:val="20"/>
                <w:color w:val="auto"/>
              </w:rPr>
            </w:pPr>
            <w:r>
              <w:rPr>
                <w:rFonts w:ascii="Arial" w:cs="Arial" w:eastAsia="Arial" w:hAnsi="Arial"/>
                <w:sz w:val="18"/>
                <w:szCs w:val="18"/>
                <w:color w:val="060606"/>
              </w:rPr>
              <w:t>$80.4</w:t>
            </w:r>
          </w:p>
        </w:tc>
        <w:tc>
          <w:tcPr>
            <w:tcW w:w="1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060606"/>
              </w:rPr>
              <w:t>$71.9</w:t>
            </w:r>
          </w:p>
        </w:tc>
        <w:tc>
          <w:tcPr>
            <w:tcW w:w="1860" w:type="dxa"/>
            <w:vAlign w:val="bottom"/>
            <w:gridSpan w:val="2"/>
          </w:tcPr>
          <w:p>
            <w:pPr>
              <w:jc w:val="right"/>
              <w:spacing w:after="0"/>
              <w:rPr>
                <w:sz w:val="20"/>
                <w:szCs w:val="20"/>
                <w:color w:val="auto"/>
              </w:rPr>
            </w:pPr>
            <w:r>
              <w:rPr>
                <w:rFonts w:ascii="Arial" w:cs="Arial" w:eastAsia="Arial" w:hAnsi="Arial"/>
                <w:sz w:val="18"/>
                <w:szCs w:val="18"/>
                <w:color w:val="060606"/>
              </w:rPr>
              <w:t>11.8 %</w:t>
            </w:r>
          </w:p>
        </w:tc>
        <w:tc>
          <w:tcPr>
            <w:tcW w:w="12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060606"/>
              </w:rPr>
              <w:t>11.8 %</w:t>
            </w:r>
          </w:p>
        </w:tc>
        <w:tc>
          <w:tcPr>
            <w:tcW w:w="0" w:type="dxa"/>
            <w:vAlign w:val="bottom"/>
          </w:tcPr>
          <w:p>
            <w:pPr>
              <w:spacing w:after="0"/>
              <w:rPr>
                <w:sz w:val="1"/>
                <w:szCs w:val="1"/>
                <w:color w:val="auto"/>
              </w:rPr>
            </w:pPr>
          </w:p>
        </w:tc>
      </w:tr>
      <w:tr>
        <w:trPr>
          <w:trHeight w:val="247"/>
        </w:trPr>
        <w:tc>
          <w:tcPr>
            <w:tcW w:w="3920" w:type="dxa"/>
            <w:vAlign w:val="bottom"/>
          </w:tcPr>
          <w:p>
            <w:pPr>
              <w:ind w:left="120"/>
              <w:spacing w:after="0" w:line="247" w:lineRule="exact"/>
              <w:rPr>
                <w:sz w:val="20"/>
                <w:szCs w:val="20"/>
                <w:color w:val="auto"/>
              </w:rPr>
            </w:pPr>
            <w:r>
              <w:rPr>
                <w:rFonts w:ascii="Arial" w:cs="Arial" w:eastAsia="Arial" w:hAnsi="Arial"/>
                <w:sz w:val="18"/>
                <w:szCs w:val="18"/>
                <w:color w:val="060606"/>
              </w:rPr>
              <w:t xml:space="preserve">Europe </w:t>
            </w:r>
            <w:r>
              <w:rPr>
                <w:rFonts w:ascii="Arial" w:cs="Arial" w:eastAsia="Arial" w:hAnsi="Arial"/>
                <w:sz w:val="23"/>
                <w:szCs w:val="23"/>
                <w:color w:val="060606"/>
                <w:vertAlign w:val="superscript"/>
              </w:rPr>
              <w:t>(1)</w:t>
            </w:r>
          </w:p>
        </w:tc>
        <w:tc>
          <w:tcPr>
            <w:tcW w:w="1620" w:type="dxa"/>
            <w:vAlign w:val="bottom"/>
          </w:tcPr>
          <w:p>
            <w:pPr>
              <w:jc w:val="right"/>
              <w:spacing w:after="0"/>
              <w:rPr>
                <w:sz w:val="20"/>
                <w:szCs w:val="20"/>
                <w:color w:val="auto"/>
              </w:rPr>
            </w:pPr>
            <w:r>
              <w:rPr>
                <w:rFonts w:ascii="Arial" w:cs="Arial" w:eastAsia="Arial" w:hAnsi="Arial"/>
                <w:sz w:val="18"/>
                <w:szCs w:val="18"/>
                <w:color w:val="060606"/>
              </w:rPr>
              <w:t>57.1</w:t>
            </w:r>
          </w:p>
        </w:tc>
        <w:tc>
          <w:tcPr>
            <w:tcW w:w="1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060606"/>
              </w:rPr>
              <w:t>50.1</w:t>
            </w:r>
          </w:p>
        </w:tc>
        <w:tc>
          <w:tcPr>
            <w:tcW w:w="1860" w:type="dxa"/>
            <w:vAlign w:val="bottom"/>
            <w:gridSpan w:val="2"/>
          </w:tcPr>
          <w:p>
            <w:pPr>
              <w:jc w:val="right"/>
              <w:spacing w:after="0"/>
              <w:rPr>
                <w:sz w:val="20"/>
                <w:szCs w:val="20"/>
                <w:color w:val="auto"/>
              </w:rPr>
            </w:pPr>
            <w:r>
              <w:rPr>
                <w:rFonts w:ascii="Arial" w:cs="Arial" w:eastAsia="Arial" w:hAnsi="Arial"/>
                <w:sz w:val="18"/>
                <w:szCs w:val="18"/>
                <w:color w:val="060606"/>
              </w:rPr>
              <w:t>14.0 %</w:t>
            </w:r>
          </w:p>
        </w:tc>
        <w:tc>
          <w:tcPr>
            <w:tcW w:w="12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060606"/>
              </w:rPr>
              <w:t>15.9 %</w:t>
            </w:r>
          </w:p>
        </w:tc>
        <w:tc>
          <w:tcPr>
            <w:tcW w:w="0" w:type="dxa"/>
            <w:vAlign w:val="bottom"/>
          </w:tcPr>
          <w:p>
            <w:pPr>
              <w:spacing w:after="0"/>
              <w:rPr>
                <w:sz w:val="1"/>
                <w:szCs w:val="1"/>
                <w:color w:val="auto"/>
              </w:rPr>
            </w:pPr>
          </w:p>
        </w:tc>
      </w:tr>
      <w:tr>
        <w:trPr>
          <w:trHeight w:val="235"/>
        </w:trPr>
        <w:tc>
          <w:tcPr>
            <w:tcW w:w="3920" w:type="dxa"/>
            <w:vAlign w:val="bottom"/>
          </w:tcPr>
          <w:p>
            <w:pPr>
              <w:ind w:left="120"/>
              <w:spacing w:after="0" w:line="235" w:lineRule="exact"/>
              <w:rPr>
                <w:sz w:val="20"/>
                <w:szCs w:val="20"/>
                <w:color w:val="auto"/>
              </w:rPr>
            </w:pPr>
            <w:r>
              <w:rPr>
                <w:rFonts w:ascii="Arial" w:cs="Arial" w:eastAsia="Arial" w:hAnsi="Arial"/>
                <w:sz w:val="18"/>
                <w:szCs w:val="18"/>
                <w:color w:val="060606"/>
              </w:rPr>
              <w:t xml:space="preserve">Rest of World </w:t>
            </w:r>
            <w:r>
              <w:rPr>
                <w:rFonts w:ascii="Arial" w:cs="Arial" w:eastAsia="Arial" w:hAnsi="Arial"/>
                <w:sz w:val="23"/>
                <w:szCs w:val="23"/>
                <w:color w:val="060606"/>
                <w:vertAlign w:val="superscript"/>
              </w:rPr>
              <w:t>(1)</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60606"/>
              </w:rPr>
              <w:t>87.8</w:t>
            </w:r>
          </w:p>
        </w:tc>
        <w:tc>
          <w:tcPr>
            <w:tcW w:w="100" w:type="dxa"/>
            <w:vAlign w:val="bottom"/>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60606"/>
              </w:rPr>
              <w:t>81.2</w:t>
            </w:r>
          </w:p>
        </w:tc>
        <w:tc>
          <w:tcPr>
            <w:tcW w:w="1860" w:type="dxa"/>
            <w:vAlign w:val="bottom"/>
            <w:gridSpan w:val="2"/>
          </w:tcPr>
          <w:p>
            <w:pPr>
              <w:jc w:val="right"/>
              <w:spacing w:after="0"/>
              <w:rPr>
                <w:sz w:val="20"/>
                <w:szCs w:val="20"/>
                <w:color w:val="auto"/>
              </w:rPr>
            </w:pPr>
            <w:r>
              <w:rPr>
                <w:rFonts w:ascii="Arial" w:cs="Arial" w:eastAsia="Arial" w:hAnsi="Arial"/>
                <w:sz w:val="18"/>
                <w:szCs w:val="18"/>
                <w:color w:val="060606"/>
              </w:rPr>
              <w:t>8.1 %</w:t>
            </w:r>
          </w:p>
        </w:tc>
        <w:tc>
          <w:tcPr>
            <w:tcW w:w="12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060606"/>
              </w:rPr>
              <w:t>7.1 %</w:t>
            </w:r>
          </w:p>
        </w:tc>
        <w:tc>
          <w:tcPr>
            <w:tcW w:w="0" w:type="dxa"/>
            <w:vAlign w:val="bottom"/>
          </w:tcPr>
          <w:p>
            <w:pPr>
              <w:spacing w:after="0"/>
              <w:rPr>
                <w:sz w:val="1"/>
                <w:szCs w:val="1"/>
                <w:color w:val="auto"/>
              </w:rPr>
            </w:pPr>
          </w:p>
        </w:tc>
      </w:tr>
      <w:tr>
        <w:trPr>
          <w:trHeight w:val="237"/>
        </w:trPr>
        <w:tc>
          <w:tcPr>
            <w:tcW w:w="3920" w:type="dxa"/>
            <w:vAlign w:val="bottom"/>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60606"/>
              </w:rPr>
              <w:t>225.3</w:t>
            </w:r>
          </w:p>
        </w:tc>
        <w:tc>
          <w:tcPr>
            <w:tcW w:w="100" w:type="dxa"/>
            <w:vAlign w:val="bottom"/>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60606"/>
              </w:rPr>
              <w:t>203.2</w:t>
            </w:r>
          </w:p>
        </w:tc>
        <w:tc>
          <w:tcPr>
            <w:tcW w:w="1860" w:type="dxa"/>
            <w:vAlign w:val="bottom"/>
            <w:gridSpan w:val="2"/>
          </w:tcPr>
          <w:p>
            <w:pPr>
              <w:jc w:val="right"/>
              <w:spacing w:after="0"/>
              <w:rPr>
                <w:sz w:val="20"/>
                <w:szCs w:val="20"/>
                <w:color w:val="auto"/>
              </w:rPr>
            </w:pPr>
            <w:r>
              <w:rPr>
                <w:rFonts w:ascii="Arial" w:cs="Arial" w:eastAsia="Arial" w:hAnsi="Arial"/>
                <w:sz w:val="18"/>
                <w:szCs w:val="18"/>
                <w:color w:val="060606"/>
              </w:rPr>
              <w:t>10.9 %</w:t>
            </w:r>
          </w:p>
        </w:tc>
        <w:tc>
          <w:tcPr>
            <w:tcW w:w="12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060606"/>
              </w:rPr>
              <w:t>10.9 %</w:t>
            </w:r>
          </w:p>
        </w:tc>
        <w:tc>
          <w:tcPr>
            <w:tcW w:w="0" w:type="dxa"/>
            <w:vAlign w:val="bottom"/>
          </w:tcPr>
          <w:p>
            <w:pPr>
              <w:spacing w:after="0"/>
              <w:rPr>
                <w:sz w:val="1"/>
                <w:szCs w:val="1"/>
                <w:color w:val="auto"/>
              </w:rPr>
            </w:pPr>
          </w:p>
        </w:tc>
      </w:tr>
      <w:tr>
        <w:trPr>
          <w:trHeight w:val="227"/>
        </w:trPr>
        <w:tc>
          <w:tcPr>
            <w:tcW w:w="3920" w:type="dxa"/>
            <w:vAlign w:val="bottom"/>
          </w:tcPr>
          <w:p>
            <w:pPr>
              <w:spacing w:after="0"/>
              <w:rPr>
                <w:sz w:val="20"/>
                <w:szCs w:val="20"/>
                <w:color w:val="auto"/>
              </w:rPr>
            </w:pPr>
            <w:r>
              <w:rPr>
                <w:rFonts w:ascii="Arial" w:cs="Arial" w:eastAsia="Arial" w:hAnsi="Arial"/>
                <w:sz w:val="18"/>
                <w:szCs w:val="18"/>
                <w:color w:val="060606"/>
              </w:rPr>
              <w:t>Neuromodulation</w:t>
            </w: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920" w:type="dxa"/>
            <w:vAlign w:val="bottom"/>
          </w:tcPr>
          <w:p>
            <w:pPr>
              <w:ind w:left="120"/>
              <w:spacing w:after="0"/>
              <w:rPr>
                <w:sz w:val="20"/>
                <w:szCs w:val="20"/>
                <w:color w:val="auto"/>
              </w:rPr>
            </w:pPr>
            <w:r>
              <w:rPr>
                <w:rFonts w:ascii="Arial" w:cs="Arial" w:eastAsia="Arial" w:hAnsi="Arial"/>
                <w:sz w:val="18"/>
                <w:szCs w:val="18"/>
                <w:color w:val="060606"/>
              </w:rPr>
              <w:t>U.S.</w:t>
            </w:r>
          </w:p>
        </w:tc>
        <w:tc>
          <w:tcPr>
            <w:tcW w:w="1620" w:type="dxa"/>
            <w:vAlign w:val="bottom"/>
          </w:tcPr>
          <w:p>
            <w:pPr>
              <w:jc w:val="right"/>
              <w:spacing w:after="0"/>
              <w:rPr>
                <w:sz w:val="20"/>
                <w:szCs w:val="20"/>
                <w:color w:val="auto"/>
              </w:rPr>
            </w:pPr>
            <w:r>
              <w:rPr>
                <w:rFonts w:ascii="Arial" w:cs="Arial" w:eastAsia="Arial" w:hAnsi="Arial"/>
                <w:sz w:val="18"/>
                <w:szCs w:val="18"/>
                <w:color w:val="060606"/>
              </w:rPr>
              <w:t>130.7</w:t>
            </w:r>
          </w:p>
        </w:tc>
        <w:tc>
          <w:tcPr>
            <w:tcW w:w="1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060606"/>
              </w:rPr>
              <w:t>118.4</w:t>
            </w:r>
          </w:p>
        </w:tc>
        <w:tc>
          <w:tcPr>
            <w:tcW w:w="1860" w:type="dxa"/>
            <w:vAlign w:val="bottom"/>
            <w:gridSpan w:val="2"/>
          </w:tcPr>
          <w:p>
            <w:pPr>
              <w:jc w:val="right"/>
              <w:spacing w:after="0"/>
              <w:rPr>
                <w:sz w:val="20"/>
                <w:szCs w:val="20"/>
                <w:color w:val="auto"/>
              </w:rPr>
            </w:pPr>
            <w:r>
              <w:rPr>
                <w:rFonts w:ascii="Arial" w:cs="Arial" w:eastAsia="Arial" w:hAnsi="Arial"/>
                <w:sz w:val="18"/>
                <w:szCs w:val="18"/>
                <w:color w:val="060606"/>
              </w:rPr>
              <w:t>10.4 %</w:t>
            </w:r>
          </w:p>
        </w:tc>
        <w:tc>
          <w:tcPr>
            <w:tcW w:w="12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060606"/>
              </w:rPr>
              <w:t>10.4 %</w:t>
            </w:r>
          </w:p>
        </w:tc>
        <w:tc>
          <w:tcPr>
            <w:tcW w:w="0" w:type="dxa"/>
            <w:vAlign w:val="bottom"/>
          </w:tcPr>
          <w:p>
            <w:pPr>
              <w:spacing w:after="0"/>
              <w:rPr>
                <w:sz w:val="1"/>
                <w:szCs w:val="1"/>
                <w:color w:val="auto"/>
              </w:rPr>
            </w:pPr>
          </w:p>
        </w:tc>
      </w:tr>
      <w:tr>
        <w:trPr>
          <w:trHeight w:val="247"/>
        </w:trPr>
        <w:tc>
          <w:tcPr>
            <w:tcW w:w="3920" w:type="dxa"/>
            <w:vAlign w:val="bottom"/>
          </w:tcPr>
          <w:p>
            <w:pPr>
              <w:ind w:left="120"/>
              <w:spacing w:after="0" w:line="247" w:lineRule="exact"/>
              <w:rPr>
                <w:sz w:val="20"/>
                <w:szCs w:val="20"/>
                <w:color w:val="auto"/>
              </w:rPr>
            </w:pPr>
            <w:r>
              <w:rPr>
                <w:rFonts w:ascii="Arial" w:cs="Arial" w:eastAsia="Arial" w:hAnsi="Arial"/>
                <w:sz w:val="18"/>
                <w:szCs w:val="18"/>
                <w:color w:val="060606"/>
              </w:rPr>
              <w:t xml:space="preserve">Europe </w:t>
            </w:r>
            <w:r>
              <w:rPr>
                <w:rFonts w:ascii="Arial" w:cs="Arial" w:eastAsia="Arial" w:hAnsi="Arial"/>
                <w:sz w:val="23"/>
                <w:szCs w:val="23"/>
                <w:color w:val="060606"/>
                <w:vertAlign w:val="superscript"/>
              </w:rPr>
              <w:t>(1)</w:t>
            </w:r>
          </w:p>
        </w:tc>
        <w:tc>
          <w:tcPr>
            <w:tcW w:w="1620" w:type="dxa"/>
            <w:vAlign w:val="bottom"/>
          </w:tcPr>
          <w:p>
            <w:pPr>
              <w:jc w:val="right"/>
              <w:spacing w:after="0"/>
              <w:rPr>
                <w:sz w:val="20"/>
                <w:szCs w:val="20"/>
                <w:color w:val="auto"/>
              </w:rPr>
            </w:pPr>
            <w:r>
              <w:rPr>
                <w:rFonts w:ascii="Arial" w:cs="Arial" w:eastAsia="Arial" w:hAnsi="Arial"/>
                <w:sz w:val="18"/>
                <w:szCs w:val="18"/>
                <w:color w:val="060606"/>
              </w:rPr>
              <w:t>16.6</w:t>
            </w:r>
          </w:p>
        </w:tc>
        <w:tc>
          <w:tcPr>
            <w:tcW w:w="1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060606"/>
              </w:rPr>
              <w:t>14.5</w:t>
            </w:r>
          </w:p>
        </w:tc>
        <w:tc>
          <w:tcPr>
            <w:tcW w:w="1860" w:type="dxa"/>
            <w:vAlign w:val="bottom"/>
            <w:gridSpan w:val="2"/>
          </w:tcPr>
          <w:p>
            <w:pPr>
              <w:jc w:val="right"/>
              <w:spacing w:after="0"/>
              <w:rPr>
                <w:sz w:val="20"/>
                <w:szCs w:val="20"/>
                <w:color w:val="auto"/>
              </w:rPr>
            </w:pPr>
            <w:r>
              <w:rPr>
                <w:rFonts w:ascii="Arial" w:cs="Arial" w:eastAsia="Arial" w:hAnsi="Arial"/>
                <w:sz w:val="18"/>
                <w:szCs w:val="18"/>
                <w:color w:val="060606"/>
              </w:rPr>
              <w:t>14.4 %</w:t>
            </w:r>
          </w:p>
        </w:tc>
        <w:tc>
          <w:tcPr>
            <w:tcW w:w="12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060606"/>
              </w:rPr>
              <w:t>15.5 %</w:t>
            </w:r>
          </w:p>
        </w:tc>
        <w:tc>
          <w:tcPr>
            <w:tcW w:w="0" w:type="dxa"/>
            <w:vAlign w:val="bottom"/>
          </w:tcPr>
          <w:p>
            <w:pPr>
              <w:spacing w:after="0"/>
              <w:rPr>
                <w:sz w:val="1"/>
                <w:szCs w:val="1"/>
                <w:color w:val="auto"/>
              </w:rPr>
            </w:pPr>
          </w:p>
        </w:tc>
      </w:tr>
      <w:tr>
        <w:trPr>
          <w:trHeight w:val="235"/>
        </w:trPr>
        <w:tc>
          <w:tcPr>
            <w:tcW w:w="3920" w:type="dxa"/>
            <w:vAlign w:val="bottom"/>
          </w:tcPr>
          <w:p>
            <w:pPr>
              <w:ind w:left="120"/>
              <w:spacing w:after="0" w:line="235" w:lineRule="exact"/>
              <w:rPr>
                <w:sz w:val="20"/>
                <w:szCs w:val="20"/>
                <w:color w:val="auto"/>
              </w:rPr>
            </w:pPr>
            <w:r>
              <w:rPr>
                <w:rFonts w:ascii="Arial" w:cs="Arial" w:eastAsia="Arial" w:hAnsi="Arial"/>
                <w:sz w:val="18"/>
                <w:szCs w:val="18"/>
                <w:color w:val="060606"/>
              </w:rPr>
              <w:t xml:space="preserve">Rest of World </w:t>
            </w:r>
            <w:r>
              <w:rPr>
                <w:rFonts w:ascii="Arial" w:cs="Arial" w:eastAsia="Arial" w:hAnsi="Arial"/>
                <w:sz w:val="23"/>
                <w:szCs w:val="23"/>
                <w:color w:val="060606"/>
                <w:vertAlign w:val="superscript"/>
              </w:rPr>
              <w:t>(1)</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60606"/>
              </w:rPr>
              <w:t>18.8</w:t>
            </w:r>
          </w:p>
        </w:tc>
        <w:tc>
          <w:tcPr>
            <w:tcW w:w="100" w:type="dxa"/>
            <w:vAlign w:val="bottom"/>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60606"/>
              </w:rPr>
              <w:t>16.6</w:t>
            </w:r>
          </w:p>
        </w:tc>
        <w:tc>
          <w:tcPr>
            <w:tcW w:w="1860" w:type="dxa"/>
            <w:vAlign w:val="bottom"/>
            <w:gridSpan w:val="2"/>
          </w:tcPr>
          <w:p>
            <w:pPr>
              <w:jc w:val="right"/>
              <w:spacing w:after="0"/>
              <w:rPr>
                <w:sz w:val="20"/>
                <w:szCs w:val="20"/>
                <w:color w:val="auto"/>
              </w:rPr>
            </w:pPr>
            <w:r>
              <w:rPr>
                <w:rFonts w:ascii="Arial" w:cs="Arial" w:eastAsia="Arial" w:hAnsi="Arial"/>
                <w:sz w:val="18"/>
                <w:szCs w:val="18"/>
                <w:color w:val="060606"/>
              </w:rPr>
              <w:t>13.0 %</w:t>
            </w:r>
          </w:p>
        </w:tc>
        <w:tc>
          <w:tcPr>
            <w:tcW w:w="12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060606"/>
              </w:rPr>
              <w:t>12.9 %</w:t>
            </w:r>
          </w:p>
        </w:tc>
        <w:tc>
          <w:tcPr>
            <w:tcW w:w="0" w:type="dxa"/>
            <w:vAlign w:val="bottom"/>
          </w:tcPr>
          <w:p>
            <w:pPr>
              <w:spacing w:after="0"/>
              <w:rPr>
                <w:sz w:val="1"/>
                <w:szCs w:val="1"/>
                <w:color w:val="auto"/>
              </w:rPr>
            </w:pPr>
          </w:p>
        </w:tc>
      </w:tr>
      <w:tr>
        <w:trPr>
          <w:trHeight w:val="237"/>
        </w:trPr>
        <w:tc>
          <w:tcPr>
            <w:tcW w:w="3920" w:type="dxa"/>
            <w:vAlign w:val="bottom"/>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60606"/>
              </w:rPr>
              <w:t>166.1</w:t>
            </w:r>
          </w:p>
        </w:tc>
        <w:tc>
          <w:tcPr>
            <w:tcW w:w="100" w:type="dxa"/>
            <w:vAlign w:val="bottom"/>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60606"/>
              </w:rPr>
              <w:t>149.5</w:t>
            </w:r>
          </w:p>
        </w:tc>
        <w:tc>
          <w:tcPr>
            <w:tcW w:w="1860" w:type="dxa"/>
            <w:vAlign w:val="bottom"/>
            <w:gridSpan w:val="2"/>
          </w:tcPr>
          <w:p>
            <w:pPr>
              <w:jc w:val="right"/>
              <w:spacing w:after="0"/>
              <w:rPr>
                <w:sz w:val="20"/>
                <w:szCs w:val="20"/>
                <w:color w:val="auto"/>
              </w:rPr>
            </w:pPr>
            <w:r>
              <w:rPr>
                <w:rFonts w:ascii="Arial" w:cs="Arial" w:eastAsia="Arial" w:hAnsi="Arial"/>
                <w:sz w:val="18"/>
                <w:szCs w:val="18"/>
                <w:color w:val="060606"/>
              </w:rPr>
              <w:t>11.1 %</w:t>
            </w:r>
          </w:p>
        </w:tc>
        <w:tc>
          <w:tcPr>
            <w:tcW w:w="12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060606"/>
              </w:rPr>
              <w:t>11.2 %</w:t>
            </w:r>
          </w:p>
        </w:tc>
        <w:tc>
          <w:tcPr>
            <w:tcW w:w="0" w:type="dxa"/>
            <w:vAlign w:val="bottom"/>
          </w:tcPr>
          <w:p>
            <w:pPr>
              <w:spacing w:after="0"/>
              <w:rPr>
                <w:sz w:val="1"/>
                <w:szCs w:val="1"/>
                <w:color w:val="auto"/>
              </w:rPr>
            </w:pPr>
          </w:p>
        </w:tc>
      </w:tr>
      <w:tr>
        <w:trPr>
          <w:trHeight w:val="236"/>
        </w:trPr>
        <w:tc>
          <w:tcPr>
            <w:tcW w:w="3920" w:type="dxa"/>
            <w:vAlign w:val="bottom"/>
          </w:tcPr>
          <w:p>
            <w:pPr>
              <w:spacing w:after="0" w:line="236" w:lineRule="exact"/>
              <w:rPr>
                <w:sz w:val="20"/>
                <w:szCs w:val="20"/>
                <w:color w:val="auto"/>
              </w:rPr>
            </w:pPr>
            <w:r>
              <w:rPr>
                <w:rFonts w:ascii="Arial" w:cs="Arial" w:eastAsia="Arial" w:hAnsi="Arial"/>
                <w:sz w:val="18"/>
                <w:szCs w:val="18"/>
                <w:color w:val="060606"/>
              </w:rPr>
              <w:t xml:space="preserve">Other revenue </w:t>
            </w:r>
            <w:r>
              <w:rPr>
                <w:rFonts w:ascii="Arial" w:cs="Arial" w:eastAsia="Arial" w:hAnsi="Arial"/>
                <w:sz w:val="23"/>
                <w:szCs w:val="23"/>
                <w:color w:val="060606"/>
                <w:vertAlign w:val="superscript"/>
              </w:rPr>
              <w:t>(2)</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60606"/>
              </w:rPr>
              <w:t>1.7</w:t>
            </w:r>
          </w:p>
        </w:tc>
        <w:tc>
          <w:tcPr>
            <w:tcW w:w="100" w:type="dxa"/>
            <w:vAlign w:val="bottom"/>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60606"/>
              </w:rPr>
              <w:t>5.0</w:t>
            </w:r>
          </w:p>
        </w:tc>
        <w:tc>
          <w:tcPr>
            <w:tcW w:w="1860" w:type="dxa"/>
            <w:vAlign w:val="bottom"/>
            <w:gridSpan w:val="2"/>
          </w:tcPr>
          <w:p>
            <w:pPr>
              <w:jc w:val="right"/>
              <w:spacing w:after="0"/>
              <w:rPr>
                <w:sz w:val="20"/>
                <w:szCs w:val="20"/>
                <w:color w:val="auto"/>
              </w:rPr>
            </w:pPr>
            <w:r>
              <w:rPr>
                <w:rFonts w:ascii="Arial" w:cs="Arial" w:eastAsia="Arial" w:hAnsi="Arial"/>
                <w:sz w:val="18"/>
                <w:szCs w:val="18"/>
                <w:color w:val="060606"/>
              </w:rPr>
              <w:t>(65.7)%</w:t>
            </w:r>
          </w:p>
        </w:tc>
        <w:tc>
          <w:tcPr>
            <w:tcW w:w="12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060606"/>
              </w:rPr>
              <w:t>(65.2)%</w:t>
            </w:r>
          </w:p>
        </w:tc>
        <w:tc>
          <w:tcPr>
            <w:tcW w:w="0" w:type="dxa"/>
            <w:vAlign w:val="bottom"/>
          </w:tcPr>
          <w:p>
            <w:pPr>
              <w:spacing w:after="0"/>
              <w:rPr>
                <w:sz w:val="1"/>
                <w:szCs w:val="1"/>
                <w:color w:val="auto"/>
              </w:rPr>
            </w:pPr>
          </w:p>
        </w:tc>
      </w:tr>
      <w:tr>
        <w:trPr>
          <w:trHeight w:val="227"/>
        </w:trPr>
        <w:tc>
          <w:tcPr>
            <w:tcW w:w="3920" w:type="dxa"/>
            <w:vAlign w:val="bottom"/>
          </w:tcPr>
          <w:p>
            <w:pPr>
              <w:spacing w:after="0"/>
              <w:rPr>
                <w:sz w:val="20"/>
                <w:szCs w:val="20"/>
                <w:color w:val="auto"/>
              </w:rPr>
            </w:pPr>
            <w:r>
              <w:rPr>
                <w:rFonts w:ascii="Arial" w:cs="Arial" w:eastAsia="Arial" w:hAnsi="Arial"/>
                <w:sz w:val="18"/>
                <w:szCs w:val="18"/>
                <w:color w:val="060606"/>
              </w:rPr>
              <w:t>Total Company</w:t>
            </w: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920" w:type="dxa"/>
            <w:vAlign w:val="bottom"/>
          </w:tcPr>
          <w:p>
            <w:pPr>
              <w:ind w:left="120"/>
              <w:spacing w:after="0"/>
              <w:rPr>
                <w:sz w:val="20"/>
                <w:szCs w:val="20"/>
                <w:color w:val="auto"/>
              </w:rPr>
            </w:pPr>
            <w:r>
              <w:rPr>
                <w:rFonts w:ascii="Arial" w:cs="Arial" w:eastAsia="Arial" w:hAnsi="Arial"/>
                <w:sz w:val="18"/>
                <w:szCs w:val="18"/>
                <w:color w:val="060606"/>
              </w:rPr>
              <w:t>U.S.</w:t>
            </w:r>
          </w:p>
        </w:tc>
        <w:tc>
          <w:tcPr>
            <w:tcW w:w="1620" w:type="dxa"/>
            <w:vAlign w:val="bottom"/>
          </w:tcPr>
          <w:p>
            <w:pPr>
              <w:jc w:val="right"/>
              <w:spacing w:after="0"/>
              <w:rPr>
                <w:sz w:val="20"/>
                <w:szCs w:val="20"/>
                <w:color w:val="auto"/>
              </w:rPr>
            </w:pPr>
            <w:r>
              <w:rPr>
                <w:rFonts w:ascii="Arial" w:cs="Arial" w:eastAsia="Arial" w:hAnsi="Arial"/>
                <w:sz w:val="18"/>
                <w:szCs w:val="18"/>
                <w:color w:val="060606"/>
              </w:rPr>
              <w:t>211.1</w:t>
            </w:r>
          </w:p>
        </w:tc>
        <w:tc>
          <w:tcPr>
            <w:tcW w:w="1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060606"/>
              </w:rPr>
              <w:t>190.4</w:t>
            </w:r>
          </w:p>
        </w:tc>
        <w:tc>
          <w:tcPr>
            <w:tcW w:w="1860" w:type="dxa"/>
            <w:vAlign w:val="bottom"/>
            <w:gridSpan w:val="2"/>
          </w:tcPr>
          <w:p>
            <w:pPr>
              <w:jc w:val="right"/>
              <w:spacing w:after="0"/>
              <w:rPr>
                <w:sz w:val="20"/>
                <w:szCs w:val="20"/>
                <w:color w:val="auto"/>
              </w:rPr>
            </w:pPr>
            <w:r>
              <w:rPr>
                <w:rFonts w:ascii="Arial" w:cs="Arial" w:eastAsia="Arial" w:hAnsi="Arial"/>
                <w:sz w:val="18"/>
                <w:szCs w:val="18"/>
                <w:color w:val="060606"/>
              </w:rPr>
              <w:t>10.9 %</w:t>
            </w:r>
          </w:p>
        </w:tc>
        <w:tc>
          <w:tcPr>
            <w:tcW w:w="12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060606"/>
              </w:rPr>
              <w:t>10.9 %</w:t>
            </w:r>
          </w:p>
        </w:tc>
        <w:tc>
          <w:tcPr>
            <w:tcW w:w="0" w:type="dxa"/>
            <w:vAlign w:val="bottom"/>
          </w:tcPr>
          <w:p>
            <w:pPr>
              <w:spacing w:after="0"/>
              <w:rPr>
                <w:sz w:val="1"/>
                <w:szCs w:val="1"/>
                <w:color w:val="auto"/>
              </w:rPr>
            </w:pPr>
          </w:p>
        </w:tc>
      </w:tr>
      <w:tr>
        <w:trPr>
          <w:trHeight w:val="247"/>
        </w:trPr>
        <w:tc>
          <w:tcPr>
            <w:tcW w:w="3920" w:type="dxa"/>
            <w:vAlign w:val="bottom"/>
          </w:tcPr>
          <w:p>
            <w:pPr>
              <w:ind w:left="120"/>
              <w:spacing w:after="0" w:line="247" w:lineRule="exact"/>
              <w:rPr>
                <w:sz w:val="20"/>
                <w:szCs w:val="20"/>
                <w:color w:val="auto"/>
              </w:rPr>
            </w:pPr>
            <w:r>
              <w:rPr>
                <w:rFonts w:ascii="Arial" w:cs="Arial" w:eastAsia="Arial" w:hAnsi="Arial"/>
                <w:sz w:val="18"/>
                <w:szCs w:val="18"/>
                <w:color w:val="060606"/>
              </w:rPr>
              <w:t xml:space="preserve">Europe </w:t>
            </w:r>
            <w:r>
              <w:rPr>
                <w:rFonts w:ascii="Arial" w:cs="Arial" w:eastAsia="Arial" w:hAnsi="Arial"/>
                <w:sz w:val="23"/>
                <w:szCs w:val="23"/>
                <w:color w:val="060606"/>
                <w:vertAlign w:val="superscript"/>
              </w:rPr>
              <w:t>(1)</w:t>
            </w:r>
          </w:p>
        </w:tc>
        <w:tc>
          <w:tcPr>
            <w:tcW w:w="1620" w:type="dxa"/>
            <w:vAlign w:val="bottom"/>
          </w:tcPr>
          <w:p>
            <w:pPr>
              <w:jc w:val="right"/>
              <w:spacing w:after="0"/>
              <w:rPr>
                <w:sz w:val="20"/>
                <w:szCs w:val="20"/>
                <w:color w:val="auto"/>
              </w:rPr>
            </w:pPr>
            <w:r>
              <w:rPr>
                <w:rFonts w:ascii="Arial" w:cs="Arial" w:eastAsia="Arial" w:hAnsi="Arial"/>
                <w:sz w:val="18"/>
                <w:szCs w:val="18"/>
                <w:color w:val="060606"/>
              </w:rPr>
              <w:t>73.7</w:t>
            </w:r>
          </w:p>
        </w:tc>
        <w:tc>
          <w:tcPr>
            <w:tcW w:w="1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060606"/>
              </w:rPr>
              <w:t>67.7</w:t>
            </w:r>
          </w:p>
        </w:tc>
        <w:tc>
          <w:tcPr>
            <w:tcW w:w="1860" w:type="dxa"/>
            <w:vAlign w:val="bottom"/>
            <w:gridSpan w:val="2"/>
          </w:tcPr>
          <w:p>
            <w:pPr>
              <w:jc w:val="right"/>
              <w:spacing w:after="0"/>
              <w:rPr>
                <w:sz w:val="20"/>
                <w:szCs w:val="20"/>
                <w:color w:val="auto"/>
              </w:rPr>
            </w:pPr>
            <w:r>
              <w:rPr>
                <w:rFonts w:ascii="Arial" w:cs="Arial" w:eastAsia="Arial" w:hAnsi="Arial"/>
                <w:sz w:val="18"/>
                <w:szCs w:val="18"/>
                <w:color w:val="060606"/>
              </w:rPr>
              <w:t>8.8 %</w:t>
            </w:r>
          </w:p>
        </w:tc>
        <w:tc>
          <w:tcPr>
            <w:tcW w:w="12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060606"/>
              </w:rPr>
              <w:t>10.5 %</w:t>
            </w:r>
          </w:p>
        </w:tc>
        <w:tc>
          <w:tcPr>
            <w:tcW w:w="0" w:type="dxa"/>
            <w:vAlign w:val="bottom"/>
          </w:tcPr>
          <w:p>
            <w:pPr>
              <w:spacing w:after="0"/>
              <w:rPr>
                <w:sz w:val="1"/>
                <w:szCs w:val="1"/>
                <w:color w:val="auto"/>
              </w:rPr>
            </w:pPr>
          </w:p>
        </w:tc>
      </w:tr>
      <w:tr>
        <w:trPr>
          <w:trHeight w:val="235"/>
        </w:trPr>
        <w:tc>
          <w:tcPr>
            <w:tcW w:w="3920" w:type="dxa"/>
            <w:vAlign w:val="bottom"/>
          </w:tcPr>
          <w:p>
            <w:pPr>
              <w:ind w:left="120"/>
              <w:spacing w:after="0" w:line="235" w:lineRule="exact"/>
              <w:rPr>
                <w:sz w:val="20"/>
                <w:szCs w:val="20"/>
                <w:color w:val="auto"/>
              </w:rPr>
            </w:pPr>
            <w:r>
              <w:rPr>
                <w:rFonts w:ascii="Arial" w:cs="Arial" w:eastAsia="Arial" w:hAnsi="Arial"/>
                <w:sz w:val="18"/>
                <w:szCs w:val="18"/>
                <w:color w:val="060606"/>
              </w:rPr>
              <w:t xml:space="preserve">Rest of World </w:t>
            </w:r>
            <w:r>
              <w:rPr>
                <w:rFonts w:ascii="Arial" w:cs="Arial" w:eastAsia="Arial" w:hAnsi="Arial"/>
                <w:sz w:val="23"/>
                <w:szCs w:val="23"/>
                <w:color w:val="060606"/>
                <w:vertAlign w:val="superscript"/>
              </w:rPr>
              <w:t>(1)</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60606"/>
              </w:rPr>
              <w:t>108.3</w:t>
            </w:r>
          </w:p>
        </w:tc>
        <w:tc>
          <w:tcPr>
            <w:tcW w:w="100" w:type="dxa"/>
            <w:vAlign w:val="bottom"/>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60606"/>
              </w:rPr>
              <w:t>99.6</w:t>
            </w:r>
          </w:p>
        </w:tc>
        <w:tc>
          <w:tcPr>
            <w:tcW w:w="1860" w:type="dxa"/>
            <w:vAlign w:val="bottom"/>
            <w:gridSpan w:val="2"/>
          </w:tcPr>
          <w:p>
            <w:pPr>
              <w:jc w:val="right"/>
              <w:spacing w:after="0"/>
              <w:rPr>
                <w:sz w:val="20"/>
                <w:szCs w:val="20"/>
                <w:color w:val="auto"/>
              </w:rPr>
            </w:pPr>
            <w:r>
              <w:rPr>
                <w:rFonts w:ascii="Arial" w:cs="Arial" w:eastAsia="Arial" w:hAnsi="Arial"/>
                <w:sz w:val="18"/>
                <w:szCs w:val="18"/>
                <w:color w:val="060606"/>
              </w:rPr>
              <w:t>8.7 %</w:t>
            </w:r>
          </w:p>
        </w:tc>
        <w:tc>
          <w:tcPr>
            <w:tcW w:w="12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060606"/>
              </w:rPr>
              <w:t>7.9 %</w:t>
            </w:r>
          </w:p>
        </w:tc>
        <w:tc>
          <w:tcPr>
            <w:tcW w:w="0" w:type="dxa"/>
            <w:vAlign w:val="bottom"/>
          </w:tcPr>
          <w:p>
            <w:pPr>
              <w:spacing w:after="0"/>
              <w:rPr>
                <w:sz w:val="1"/>
                <w:szCs w:val="1"/>
                <w:color w:val="auto"/>
              </w:rPr>
            </w:pPr>
          </w:p>
        </w:tc>
      </w:tr>
      <w:tr>
        <w:trPr>
          <w:trHeight w:val="237"/>
        </w:trPr>
        <w:tc>
          <w:tcPr>
            <w:tcW w:w="3920" w:type="dxa"/>
            <w:vAlign w:val="bottom"/>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60606"/>
              </w:rPr>
              <w:t>$393.1</w:t>
            </w:r>
          </w:p>
        </w:tc>
        <w:tc>
          <w:tcPr>
            <w:tcW w:w="100" w:type="dxa"/>
            <w:vAlign w:val="bottom"/>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60606"/>
              </w:rPr>
              <w:t>$357.8</w:t>
            </w:r>
          </w:p>
        </w:tc>
        <w:tc>
          <w:tcPr>
            <w:tcW w:w="1860" w:type="dxa"/>
            <w:vAlign w:val="bottom"/>
            <w:gridSpan w:val="2"/>
          </w:tcPr>
          <w:p>
            <w:pPr>
              <w:jc w:val="right"/>
              <w:spacing w:after="0"/>
              <w:rPr>
                <w:sz w:val="20"/>
                <w:szCs w:val="20"/>
                <w:color w:val="auto"/>
              </w:rPr>
            </w:pPr>
            <w:r>
              <w:rPr>
                <w:rFonts w:ascii="Arial" w:cs="Arial" w:eastAsia="Arial" w:hAnsi="Arial"/>
                <w:sz w:val="18"/>
                <w:szCs w:val="18"/>
                <w:color w:val="060606"/>
              </w:rPr>
              <w:t>9.9 %</w:t>
            </w:r>
          </w:p>
        </w:tc>
        <w:tc>
          <w:tcPr>
            <w:tcW w:w="12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060606"/>
              </w:rPr>
              <w:t>10.0 %</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ind w:left="340" w:right="20" w:hanging="332"/>
        <w:spacing w:after="0" w:line="227" w:lineRule="auto"/>
        <w:tabs>
          <w:tab w:leader="none" w:pos="333" w:val="left"/>
        </w:tabs>
        <w:numPr>
          <w:ilvl w:val="0"/>
          <w:numId w:val="7"/>
        </w:numPr>
        <w:rPr>
          <w:rFonts w:ascii="Arial" w:cs="Arial" w:eastAsia="Arial" w:hAnsi="Arial"/>
          <w:sz w:val="21"/>
          <w:szCs w:val="21"/>
          <w:color w:val="060606"/>
          <w:vertAlign w:val="superscript"/>
        </w:rPr>
      </w:pPr>
      <w:r>
        <w:rPr>
          <w:rFonts w:ascii="Arial" w:cs="Arial" w:eastAsia="Arial" w:hAnsi="Arial"/>
          <w:sz w:val="16"/>
          <w:szCs w:val="16"/>
          <w:color w:val="060606"/>
        </w:rPr>
        <w:t>“Europe” includes the UK, Germany, France, Italy, the Netherlands, Spain, Belgium, Poland, Sweden, Switzerland, Austria, Norway, Portugal, Finland, and Denmark. Excluding Europe and the U.S., “Rest of World” includes all other countries where LivaNova operates.</w:t>
      </w:r>
    </w:p>
    <w:p>
      <w:pPr>
        <w:spacing w:after="0" w:line="1" w:lineRule="exact"/>
        <w:rPr>
          <w:rFonts w:ascii="Arial" w:cs="Arial" w:eastAsia="Arial" w:hAnsi="Arial"/>
          <w:sz w:val="21"/>
          <w:szCs w:val="21"/>
          <w:color w:val="060606"/>
          <w:vertAlign w:val="superscript"/>
        </w:rPr>
      </w:pPr>
    </w:p>
    <w:p>
      <w:pPr>
        <w:ind w:left="340" w:hanging="332"/>
        <w:spacing w:after="0" w:line="220" w:lineRule="auto"/>
        <w:tabs>
          <w:tab w:leader="none" w:pos="333" w:val="left"/>
        </w:tabs>
        <w:numPr>
          <w:ilvl w:val="0"/>
          <w:numId w:val="7"/>
        </w:numPr>
        <w:rPr>
          <w:rFonts w:ascii="Arial" w:cs="Arial" w:eastAsia="Arial" w:hAnsi="Arial"/>
          <w:sz w:val="21"/>
          <w:szCs w:val="21"/>
          <w:color w:val="060606"/>
          <w:vertAlign w:val="superscript"/>
        </w:rPr>
      </w:pPr>
      <w:r>
        <w:rPr>
          <w:rFonts w:ascii="Arial" w:cs="Arial" w:eastAsia="Arial" w:hAnsi="Arial"/>
          <w:sz w:val="16"/>
          <w:szCs w:val="16"/>
          <w:color w:val="060606"/>
        </w:rPr>
        <w:t>“Other revenue” includes rental and site services income not allocated to segments. In addition, for 2025, “Other revenue” includes $3.1 million from a reduction in the reserve associated with the Italian MedTech payback measure related to product sales of previously divested businesses.</w:t>
      </w:r>
    </w:p>
    <w:p>
      <w:pPr>
        <w:spacing w:after="0" w:line="3" w:lineRule="exact"/>
        <w:rPr>
          <w:sz w:val="20"/>
          <w:szCs w:val="20"/>
          <w:color w:val="auto"/>
        </w:rPr>
      </w:pPr>
    </w:p>
    <w:p>
      <w:pPr>
        <w:ind w:left="280" w:hanging="272"/>
        <w:spacing w:after="0"/>
        <w:tabs>
          <w:tab w:leader="none" w:pos="280" w:val="left"/>
        </w:tabs>
        <w:numPr>
          <w:ilvl w:val="0"/>
          <w:numId w:val="8"/>
        </w:numPr>
        <w:rPr>
          <w:rFonts w:ascii="Arial" w:cs="Arial" w:eastAsia="Arial" w:hAnsi="Arial"/>
          <w:sz w:val="16"/>
          <w:szCs w:val="16"/>
          <w:color w:val="060606"/>
        </w:rPr>
      </w:pPr>
      <w:r>
        <w:rPr>
          <w:rFonts w:ascii="Arial" w:cs="Arial" w:eastAsia="Arial" w:hAnsi="Arial"/>
          <w:sz w:val="16"/>
          <w:szCs w:val="16"/>
          <w:color w:val="060606"/>
        </w:rPr>
        <w:t>Numbers may not add precisely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2"/>
          <w:szCs w:val="22"/>
          <w:color w:val="060606"/>
        </w:rPr>
        <w:t>8</w:t>
      </w:r>
    </w:p>
    <w:p>
      <w:pPr>
        <w:sectPr>
          <w:pgSz w:w="11900" w:h="16838" w:orient="portrait"/>
          <w:cols w:equalWidth="0" w:num="1">
            <w:col w:w="11240"/>
          </w:cols>
          <w:pgMar w:left="320" w:top="1440" w:right="339" w:bottom="1440" w:gutter="0" w:footer="0" w:header="0"/>
        </w:sectPr>
      </w:pPr>
    </w:p>
    <w:bookmarkStart w:id="11" w:name="page12"/>
    <w:bookmarkEnd w:id="11"/>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3920" w:type="dxa"/>
            <w:vAlign w:val="bottom"/>
          </w:tcPr>
          <w:p>
            <w:pPr>
              <w:spacing w:after="0"/>
              <w:rPr>
                <w:sz w:val="20"/>
                <w:szCs w:val="20"/>
                <w:color w:val="auto"/>
              </w:rPr>
            </w:pPr>
            <w:r>
              <w:rPr>
                <w:rFonts w:ascii="Arial" w:cs="Arial" w:eastAsia="Arial" w:hAnsi="Arial"/>
                <w:sz w:val="18"/>
                <w:szCs w:val="18"/>
                <w:color w:val="060606"/>
              </w:rPr>
              <w:t>LIVANOVA PLC</w:t>
            </w: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920" w:type="dxa"/>
            <w:vAlign w:val="bottom"/>
          </w:tcPr>
          <w:p>
            <w:pPr>
              <w:spacing w:after="0"/>
              <w:rPr>
                <w:sz w:val="20"/>
                <w:szCs w:val="20"/>
                <w:color w:val="auto"/>
              </w:rPr>
            </w:pPr>
            <w:r>
              <w:rPr>
                <w:rFonts w:ascii="Arial" w:cs="Arial" w:eastAsia="Arial" w:hAnsi="Arial"/>
                <w:sz w:val="18"/>
                <w:szCs w:val="18"/>
                <w:color w:val="060606"/>
              </w:rPr>
              <w:t>NET REVENUE - UNAUDITED</w:t>
            </w: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20" w:type="dxa"/>
            <w:vAlign w:val="bottom"/>
          </w:tcPr>
          <w:p>
            <w:pPr>
              <w:spacing w:after="0"/>
              <w:rPr>
                <w:sz w:val="20"/>
                <w:szCs w:val="20"/>
                <w:color w:val="auto"/>
              </w:rPr>
            </w:pPr>
            <w:r>
              <w:rPr>
                <w:rFonts w:ascii="Arial" w:cs="Arial" w:eastAsia="Arial" w:hAnsi="Arial"/>
                <w:sz w:val="18"/>
                <w:szCs w:val="18"/>
                <w:color w:val="060606"/>
              </w:rPr>
              <w:t>(In millions)</w:t>
            </w: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920" w:type="dxa"/>
            <w:vAlign w:val="bottom"/>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gridSpan w:val="4"/>
          </w:tcPr>
          <w:p>
            <w:pPr>
              <w:ind w:left="520"/>
              <w:spacing w:after="0"/>
              <w:rPr>
                <w:sz w:val="20"/>
                <w:szCs w:val="20"/>
                <w:color w:val="auto"/>
              </w:rPr>
            </w:pPr>
            <w:r>
              <w:rPr>
                <w:rFonts w:ascii="Arial" w:cs="Arial" w:eastAsia="Arial" w:hAnsi="Arial"/>
                <w:sz w:val="18"/>
                <w:szCs w:val="18"/>
                <w:color w:val="060606"/>
              </w:rPr>
              <w:t>Nine Months Ended September 30,</w:t>
            </w:r>
          </w:p>
        </w:tc>
        <w:tc>
          <w:tcPr>
            <w:tcW w:w="1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920" w:type="dxa"/>
            <w:vAlign w:val="bottom"/>
          </w:tcPr>
          <w:p>
            <w:pPr>
              <w:spacing w:after="0"/>
              <w:rPr>
                <w:sz w:val="16"/>
                <w:szCs w:val="16"/>
                <w:color w:val="auto"/>
              </w:rPr>
            </w:pPr>
          </w:p>
        </w:tc>
        <w:tc>
          <w:tcPr>
            <w:tcW w:w="1620" w:type="dxa"/>
            <w:vAlign w:val="bottom"/>
            <w:vMerge w:val="restart"/>
          </w:tcPr>
          <w:p>
            <w:pPr>
              <w:jc w:val="right"/>
              <w:ind w:right="530"/>
              <w:spacing w:after="0"/>
              <w:rPr>
                <w:sz w:val="20"/>
                <w:szCs w:val="20"/>
                <w:color w:val="auto"/>
              </w:rPr>
            </w:pPr>
            <w:r>
              <w:rPr>
                <w:rFonts w:ascii="Arial" w:cs="Arial" w:eastAsia="Arial" w:hAnsi="Arial"/>
                <w:sz w:val="18"/>
                <w:szCs w:val="18"/>
                <w:color w:val="060606"/>
              </w:rPr>
              <w:t>2026</w:t>
            </w:r>
          </w:p>
        </w:tc>
        <w:tc>
          <w:tcPr>
            <w:tcW w:w="100" w:type="dxa"/>
            <w:vAlign w:val="bottom"/>
          </w:tcPr>
          <w:p>
            <w:pPr>
              <w:spacing w:after="0"/>
              <w:rPr>
                <w:sz w:val="16"/>
                <w:szCs w:val="16"/>
                <w:color w:val="auto"/>
              </w:rPr>
            </w:pPr>
          </w:p>
        </w:tc>
        <w:tc>
          <w:tcPr>
            <w:tcW w:w="1620" w:type="dxa"/>
            <w:vAlign w:val="bottom"/>
            <w:vMerge w:val="restart"/>
          </w:tcPr>
          <w:p>
            <w:pPr>
              <w:jc w:val="right"/>
              <w:ind w:right="510"/>
              <w:spacing w:after="0"/>
              <w:rPr>
                <w:sz w:val="20"/>
                <w:szCs w:val="20"/>
                <w:color w:val="auto"/>
              </w:rPr>
            </w:pPr>
            <w:r>
              <w:rPr>
                <w:rFonts w:ascii="Arial" w:cs="Arial" w:eastAsia="Arial" w:hAnsi="Arial"/>
                <w:sz w:val="18"/>
                <w:szCs w:val="18"/>
                <w:color w:val="060606"/>
              </w:rPr>
              <w:t>2025</w:t>
            </w:r>
          </w:p>
        </w:tc>
        <w:tc>
          <w:tcPr>
            <w:tcW w:w="120" w:type="dxa"/>
            <w:vAlign w:val="bottom"/>
          </w:tcPr>
          <w:p>
            <w:pPr>
              <w:spacing w:after="0"/>
              <w:rPr>
                <w:sz w:val="16"/>
                <w:szCs w:val="16"/>
                <w:color w:val="auto"/>
              </w:rPr>
            </w:pPr>
          </w:p>
        </w:tc>
        <w:tc>
          <w:tcPr>
            <w:tcW w:w="1860" w:type="dxa"/>
            <w:vAlign w:val="bottom"/>
            <w:gridSpan w:val="2"/>
            <w:vMerge w:val="restart"/>
          </w:tcPr>
          <w:p>
            <w:pPr>
              <w:ind w:left="460"/>
              <w:spacing w:after="0"/>
              <w:rPr>
                <w:sz w:val="20"/>
                <w:szCs w:val="20"/>
                <w:color w:val="auto"/>
              </w:rPr>
            </w:pPr>
            <w:r>
              <w:rPr>
                <w:rFonts w:ascii="Arial" w:cs="Arial" w:eastAsia="Arial" w:hAnsi="Arial"/>
                <w:sz w:val="18"/>
                <w:szCs w:val="18"/>
                <w:color w:val="060606"/>
              </w:rPr>
              <w:t>% Change</w:t>
            </w:r>
          </w:p>
        </w:tc>
        <w:tc>
          <w:tcPr>
            <w:tcW w:w="1980" w:type="dxa"/>
            <w:vAlign w:val="bottom"/>
          </w:tcPr>
          <w:p>
            <w:pPr>
              <w:jc w:val="right"/>
              <w:ind w:right="30"/>
              <w:spacing w:after="0" w:line="191" w:lineRule="exact"/>
              <w:rPr>
                <w:sz w:val="20"/>
                <w:szCs w:val="20"/>
                <w:color w:val="auto"/>
              </w:rPr>
            </w:pPr>
            <w:r>
              <w:rPr>
                <w:rFonts w:ascii="Arial" w:cs="Arial" w:eastAsia="Arial" w:hAnsi="Arial"/>
                <w:sz w:val="18"/>
                <w:szCs w:val="18"/>
                <w:color w:val="060606"/>
              </w:rPr>
              <w:t>Constant-Currency %</w:t>
            </w:r>
          </w:p>
        </w:tc>
        <w:tc>
          <w:tcPr>
            <w:tcW w:w="0" w:type="dxa"/>
            <w:vAlign w:val="bottom"/>
          </w:tcPr>
          <w:p>
            <w:pPr>
              <w:spacing w:after="0"/>
              <w:rPr>
                <w:sz w:val="1"/>
                <w:szCs w:val="1"/>
                <w:color w:val="auto"/>
              </w:rPr>
            </w:pPr>
          </w:p>
        </w:tc>
      </w:tr>
      <w:tr>
        <w:trPr>
          <w:trHeight w:val="235"/>
        </w:trPr>
        <w:tc>
          <w:tcPr>
            <w:tcW w:w="3920" w:type="dxa"/>
            <w:vAlign w:val="bottom"/>
          </w:tcPr>
          <w:p>
            <w:pPr>
              <w:spacing w:after="0"/>
              <w:rPr>
                <w:sz w:val="20"/>
                <w:szCs w:val="20"/>
                <w:color w:val="auto"/>
              </w:rPr>
            </w:pPr>
          </w:p>
        </w:tc>
        <w:tc>
          <w:tcPr>
            <w:tcW w:w="16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860" w:type="dxa"/>
            <w:vAlign w:val="bottom"/>
            <w:gridSpan w:val="2"/>
            <w:vMerge w:val="continue"/>
          </w:tcPr>
          <w:p>
            <w:pPr>
              <w:spacing w:after="0"/>
              <w:rPr>
                <w:sz w:val="20"/>
                <w:szCs w:val="20"/>
                <w:color w:val="auto"/>
              </w:rPr>
            </w:pPr>
          </w:p>
        </w:tc>
        <w:tc>
          <w:tcPr>
            <w:tcW w:w="1980" w:type="dxa"/>
            <w:vAlign w:val="bottom"/>
          </w:tcPr>
          <w:p>
            <w:pPr>
              <w:jc w:val="right"/>
              <w:ind w:right="590"/>
              <w:spacing w:after="0"/>
              <w:rPr>
                <w:sz w:val="20"/>
                <w:szCs w:val="20"/>
                <w:color w:val="auto"/>
              </w:rPr>
            </w:pPr>
            <w:r>
              <w:rPr>
                <w:rFonts w:ascii="Arial" w:cs="Arial" w:eastAsia="Arial" w:hAnsi="Arial"/>
                <w:sz w:val="18"/>
                <w:szCs w:val="18"/>
                <w:color w:val="060606"/>
              </w:rPr>
              <w:t>Change</w:t>
            </w:r>
          </w:p>
        </w:tc>
        <w:tc>
          <w:tcPr>
            <w:tcW w:w="0" w:type="dxa"/>
            <w:vAlign w:val="bottom"/>
          </w:tcPr>
          <w:p>
            <w:pPr>
              <w:spacing w:after="0"/>
              <w:rPr>
                <w:sz w:val="1"/>
                <w:szCs w:val="1"/>
                <w:color w:val="auto"/>
              </w:rPr>
            </w:pPr>
          </w:p>
        </w:tc>
      </w:tr>
      <w:tr>
        <w:trPr>
          <w:trHeight w:val="227"/>
        </w:trPr>
        <w:tc>
          <w:tcPr>
            <w:tcW w:w="3920" w:type="dxa"/>
            <w:vAlign w:val="bottom"/>
          </w:tcPr>
          <w:p>
            <w:pPr>
              <w:spacing w:after="0"/>
              <w:rPr>
                <w:sz w:val="20"/>
                <w:szCs w:val="20"/>
                <w:color w:val="auto"/>
              </w:rPr>
            </w:pPr>
            <w:r>
              <w:rPr>
                <w:rFonts w:ascii="Arial" w:cs="Arial" w:eastAsia="Arial" w:hAnsi="Arial"/>
                <w:sz w:val="18"/>
                <w:szCs w:val="18"/>
                <w:color w:val="060606"/>
              </w:rPr>
              <w:t>Cardiopulmonary</w:t>
            </w:r>
          </w:p>
        </w:tc>
        <w:tc>
          <w:tcPr>
            <w:tcW w:w="16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920" w:type="dxa"/>
            <w:vAlign w:val="bottom"/>
          </w:tcPr>
          <w:p>
            <w:pPr>
              <w:ind w:left="120"/>
              <w:spacing w:after="0"/>
              <w:rPr>
                <w:sz w:val="20"/>
                <w:szCs w:val="20"/>
                <w:color w:val="auto"/>
              </w:rPr>
            </w:pPr>
            <w:r>
              <w:rPr>
                <w:rFonts w:ascii="Arial" w:cs="Arial" w:eastAsia="Arial" w:hAnsi="Arial"/>
                <w:sz w:val="18"/>
                <w:szCs w:val="18"/>
                <w:color w:val="060606"/>
              </w:rPr>
              <w:t>U.S.</w:t>
            </w:r>
          </w:p>
        </w:tc>
        <w:tc>
          <w:tcPr>
            <w:tcW w:w="1620" w:type="dxa"/>
            <w:vAlign w:val="bottom"/>
          </w:tcPr>
          <w:p>
            <w:pPr>
              <w:jc w:val="right"/>
              <w:spacing w:after="0"/>
              <w:rPr>
                <w:sz w:val="20"/>
                <w:szCs w:val="20"/>
                <w:color w:val="auto"/>
              </w:rPr>
            </w:pPr>
            <w:r>
              <w:rPr>
                <w:rFonts w:ascii="Arial" w:cs="Arial" w:eastAsia="Arial" w:hAnsi="Arial"/>
                <w:sz w:val="18"/>
                <w:szCs w:val="18"/>
                <w:color w:val="060606"/>
              </w:rPr>
              <w:t>$222.5</w:t>
            </w:r>
          </w:p>
        </w:tc>
        <w:tc>
          <w:tcPr>
            <w:tcW w:w="1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060606"/>
              </w:rPr>
              <w:t>$204.0</w:t>
            </w:r>
          </w:p>
        </w:tc>
        <w:tc>
          <w:tcPr>
            <w:tcW w:w="1880" w:type="dxa"/>
            <w:vAlign w:val="bottom"/>
            <w:gridSpan w:val="2"/>
          </w:tcPr>
          <w:p>
            <w:pPr>
              <w:jc w:val="right"/>
              <w:spacing w:after="0"/>
              <w:rPr>
                <w:sz w:val="20"/>
                <w:szCs w:val="20"/>
                <w:color w:val="auto"/>
              </w:rPr>
            </w:pPr>
            <w:r>
              <w:rPr>
                <w:rFonts w:ascii="Arial" w:cs="Arial" w:eastAsia="Arial" w:hAnsi="Arial"/>
                <w:sz w:val="18"/>
                <w:szCs w:val="18"/>
                <w:color w:val="060606"/>
              </w:rPr>
              <w:t>9.0 %</w:t>
            </w:r>
          </w:p>
        </w:tc>
        <w:tc>
          <w:tcPr>
            <w:tcW w:w="10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060606"/>
              </w:rPr>
              <w:t>9.0 %</w:t>
            </w:r>
          </w:p>
        </w:tc>
        <w:tc>
          <w:tcPr>
            <w:tcW w:w="0" w:type="dxa"/>
            <w:vAlign w:val="bottom"/>
          </w:tcPr>
          <w:p>
            <w:pPr>
              <w:spacing w:after="0"/>
              <w:rPr>
                <w:sz w:val="1"/>
                <w:szCs w:val="1"/>
                <w:color w:val="auto"/>
              </w:rPr>
            </w:pPr>
          </w:p>
        </w:tc>
      </w:tr>
      <w:tr>
        <w:trPr>
          <w:trHeight w:val="247"/>
        </w:trPr>
        <w:tc>
          <w:tcPr>
            <w:tcW w:w="3920" w:type="dxa"/>
            <w:vAlign w:val="bottom"/>
          </w:tcPr>
          <w:p>
            <w:pPr>
              <w:ind w:left="120"/>
              <w:spacing w:after="0" w:line="247" w:lineRule="exact"/>
              <w:rPr>
                <w:sz w:val="20"/>
                <w:szCs w:val="20"/>
                <w:color w:val="auto"/>
              </w:rPr>
            </w:pPr>
            <w:r>
              <w:rPr>
                <w:rFonts w:ascii="Arial" w:cs="Arial" w:eastAsia="Arial" w:hAnsi="Arial"/>
                <w:sz w:val="18"/>
                <w:szCs w:val="18"/>
                <w:color w:val="060606"/>
              </w:rPr>
              <w:t xml:space="preserve">Europe </w:t>
            </w:r>
            <w:r>
              <w:rPr>
                <w:rFonts w:ascii="Arial" w:cs="Arial" w:eastAsia="Arial" w:hAnsi="Arial"/>
                <w:sz w:val="23"/>
                <w:szCs w:val="23"/>
                <w:color w:val="060606"/>
                <w:vertAlign w:val="superscript"/>
              </w:rPr>
              <w:t>(1)</w:t>
            </w:r>
          </w:p>
        </w:tc>
        <w:tc>
          <w:tcPr>
            <w:tcW w:w="1620" w:type="dxa"/>
            <w:vAlign w:val="bottom"/>
          </w:tcPr>
          <w:p>
            <w:pPr>
              <w:jc w:val="right"/>
              <w:spacing w:after="0"/>
              <w:rPr>
                <w:sz w:val="20"/>
                <w:szCs w:val="20"/>
                <w:color w:val="auto"/>
              </w:rPr>
            </w:pPr>
            <w:r>
              <w:rPr>
                <w:rFonts w:ascii="Arial" w:cs="Arial" w:eastAsia="Arial" w:hAnsi="Arial"/>
                <w:sz w:val="18"/>
                <w:szCs w:val="18"/>
                <w:color w:val="060606"/>
              </w:rPr>
              <w:t>176.3</w:t>
            </w:r>
          </w:p>
        </w:tc>
        <w:tc>
          <w:tcPr>
            <w:tcW w:w="1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060606"/>
              </w:rPr>
              <w:t>143.6</w:t>
            </w:r>
          </w:p>
        </w:tc>
        <w:tc>
          <w:tcPr>
            <w:tcW w:w="1880" w:type="dxa"/>
            <w:vAlign w:val="bottom"/>
            <w:gridSpan w:val="2"/>
          </w:tcPr>
          <w:p>
            <w:pPr>
              <w:jc w:val="right"/>
              <w:spacing w:after="0"/>
              <w:rPr>
                <w:sz w:val="20"/>
                <w:szCs w:val="20"/>
                <w:color w:val="auto"/>
              </w:rPr>
            </w:pPr>
            <w:r>
              <w:rPr>
                <w:rFonts w:ascii="Arial" w:cs="Arial" w:eastAsia="Arial" w:hAnsi="Arial"/>
                <w:sz w:val="18"/>
                <w:szCs w:val="18"/>
                <w:color w:val="060606"/>
              </w:rPr>
              <w:t>22.8 %</w:t>
            </w:r>
          </w:p>
        </w:tc>
        <w:tc>
          <w:tcPr>
            <w:tcW w:w="10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060606"/>
              </w:rPr>
              <w:t>19.1 %</w:t>
            </w:r>
          </w:p>
        </w:tc>
        <w:tc>
          <w:tcPr>
            <w:tcW w:w="0" w:type="dxa"/>
            <w:vAlign w:val="bottom"/>
          </w:tcPr>
          <w:p>
            <w:pPr>
              <w:spacing w:after="0"/>
              <w:rPr>
                <w:sz w:val="1"/>
                <w:szCs w:val="1"/>
                <w:color w:val="auto"/>
              </w:rPr>
            </w:pPr>
          </w:p>
        </w:tc>
      </w:tr>
      <w:tr>
        <w:trPr>
          <w:trHeight w:val="235"/>
        </w:trPr>
        <w:tc>
          <w:tcPr>
            <w:tcW w:w="3920" w:type="dxa"/>
            <w:vAlign w:val="bottom"/>
          </w:tcPr>
          <w:p>
            <w:pPr>
              <w:ind w:left="120"/>
              <w:spacing w:after="0" w:line="235" w:lineRule="exact"/>
              <w:rPr>
                <w:sz w:val="20"/>
                <w:szCs w:val="20"/>
                <w:color w:val="auto"/>
              </w:rPr>
            </w:pPr>
            <w:r>
              <w:rPr>
                <w:rFonts w:ascii="Arial" w:cs="Arial" w:eastAsia="Arial" w:hAnsi="Arial"/>
                <w:sz w:val="18"/>
                <w:szCs w:val="18"/>
                <w:color w:val="060606"/>
              </w:rPr>
              <w:t xml:space="preserve">Rest of World </w:t>
            </w:r>
            <w:r>
              <w:rPr>
                <w:rFonts w:ascii="Arial" w:cs="Arial" w:eastAsia="Arial" w:hAnsi="Arial"/>
                <w:sz w:val="23"/>
                <w:szCs w:val="23"/>
                <w:color w:val="060606"/>
                <w:vertAlign w:val="superscript"/>
              </w:rPr>
              <w:t>(1)</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60606"/>
              </w:rPr>
              <w:t>256.7</w:t>
            </w:r>
          </w:p>
        </w:tc>
        <w:tc>
          <w:tcPr>
            <w:tcW w:w="100" w:type="dxa"/>
            <w:vAlign w:val="bottom"/>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60606"/>
              </w:rPr>
              <w:t>231.2</w:t>
            </w:r>
          </w:p>
        </w:tc>
        <w:tc>
          <w:tcPr>
            <w:tcW w:w="1880" w:type="dxa"/>
            <w:vAlign w:val="bottom"/>
            <w:gridSpan w:val="2"/>
          </w:tcPr>
          <w:p>
            <w:pPr>
              <w:jc w:val="right"/>
              <w:spacing w:after="0"/>
              <w:rPr>
                <w:sz w:val="20"/>
                <w:szCs w:val="20"/>
                <w:color w:val="auto"/>
              </w:rPr>
            </w:pPr>
            <w:r>
              <w:rPr>
                <w:rFonts w:ascii="Arial" w:cs="Arial" w:eastAsia="Arial" w:hAnsi="Arial"/>
                <w:sz w:val="18"/>
                <w:szCs w:val="18"/>
                <w:color w:val="060606"/>
              </w:rPr>
              <w:t>11.1 %</w:t>
            </w:r>
          </w:p>
        </w:tc>
        <w:tc>
          <w:tcPr>
            <w:tcW w:w="10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060606"/>
              </w:rPr>
              <w:t>9.0 %</w:t>
            </w:r>
          </w:p>
        </w:tc>
        <w:tc>
          <w:tcPr>
            <w:tcW w:w="0" w:type="dxa"/>
            <w:vAlign w:val="bottom"/>
          </w:tcPr>
          <w:p>
            <w:pPr>
              <w:spacing w:after="0"/>
              <w:rPr>
                <w:sz w:val="1"/>
                <w:szCs w:val="1"/>
                <w:color w:val="auto"/>
              </w:rPr>
            </w:pPr>
          </w:p>
        </w:tc>
      </w:tr>
      <w:tr>
        <w:trPr>
          <w:trHeight w:val="237"/>
        </w:trPr>
        <w:tc>
          <w:tcPr>
            <w:tcW w:w="3920" w:type="dxa"/>
            <w:vAlign w:val="bottom"/>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60606"/>
              </w:rPr>
              <w:t>655.5</w:t>
            </w:r>
          </w:p>
        </w:tc>
        <w:tc>
          <w:tcPr>
            <w:tcW w:w="100" w:type="dxa"/>
            <w:vAlign w:val="bottom"/>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60606"/>
              </w:rPr>
              <w:t>578.8</w:t>
            </w:r>
          </w:p>
        </w:tc>
        <w:tc>
          <w:tcPr>
            <w:tcW w:w="1880" w:type="dxa"/>
            <w:vAlign w:val="bottom"/>
            <w:gridSpan w:val="2"/>
          </w:tcPr>
          <w:p>
            <w:pPr>
              <w:jc w:val="right"/>
              <w:spacing w:after="0"/>
              <w:rPr>
                <w:sz w:val="20"/>
                <w:szCs w:val="20"/>
                <w:color w:val="auto"/>
              </w:rPr>
            </w:pPr>
            <w:r>
              <w:rPr>
                <w:rFonts w:ascii="Arial" w:cs="Arial" w:eastAsia="Arial" w:hAnsi="Arial"/>
                <w:sz w:val="18"/>
                <w:szCs w:val="18"/>
                <w:color w:val="060606"/>
              </w:rPr>
              <w:t>13.3 %</w:t>
            </w:r>
          </w:p>
        </w:tc>
        <w:tc>
          <w:tcPr>
            <w:tcW w:w="10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060606"/>
              </w:rPr>
              <w:t>11.5 %</w:t>
            </w:r>
          </w:p>
        </w:tc>
        <w:tc>
          <w:tcPr>
            <w:tcW w:w="0" w:type="dxa"/>
            <w:vAlign w:val="bottom"/>
          </w:tcPr>
          <w:p>
            <w:pPr>
              <w:spacing w:after="0"/>
              <w:rPr>
                <w:sz w:val="1"/>
                <w:szCs w:val="1"/>
                <w:color w:val="auto"/>
              </w:rPr>
            </w:pPr>
          </w:p>
        </w:tc>
      </w:tr>
      <w:tr>
        <w:trPr>
          <w:trHeight w:val="227"/>
        </w:trPr>
        <w:tc>
          <w:tcPr>
            <w:tcW w:w="3920" w:type="dxa"/>
            <w:vAlign w:val="bottom"/>
          </w:tcPr>
          <w:p>
            <w:pPr>
              <w:spacing w:after="0"/>
              <w:rPr>
                <w:sz w:val="20"/>
                <w:szCs w:val="20"/>
                <w:color w:val="auto"/>
              </w:rPr>
            </w:pPr>
            <w:r>
              <w:rPr>
                <w:rFonts w:ascii="Arial" w:cs="Arial" w:eastAsia="Arial" w:hAnsi="Arial"/>
                <w:sz w:val="18"/>
                <w:szCs w:val="18"/>
                <w:color w:val="060606"/>
              </w:rPr>
              <w:t>Neuromodulation</w:t>
            </w: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920" w:type="dxa"/>
            <w:vAlign w:val="bottom"/>
          </w:tcPr>
          <w:p>
            <w:pPr>
              <w:ind w:left="120"/>
              <w:spacing w:after="0"/>
              <w:rPr>
                <w:sz w:val="20"/>
                <w:szCs w:val="20"/>
                <w:color w:val="auto"/>
              </w:rPr>
            </w:pPr>
            <w:r>
              <w:rPr>
                <w:rFonts w:ascii="Arial" w:cs="Arial" w:eastAsia="Arial" w:hAnsi="Arial"/>
                <w:sz w:val="18"/>
                <w:szCs w:val="18"/>
                <w:color w:val="060606"/>
              </w:rPr>
              <w:t>U.S.</w:t>
            </w:r>
          </w:p>
        </w:tc>
        <w:tc>
          <w:tcPr>
            <w:tcW w:w="1620" w:type="dxa"/>
            <w:vAlign w:val="bottom"/>
          </w:tcPr>
          <w:p>
            <w:pPr>
              <w:jc w:val="right"/>
              <w:spacing w:after="0"/>
              <w:rPr>
                <w:sz w:val="20"/>
                <w:szCs w:val="20"/>
                <w:color w:val="auto"/>
              </w:rPr>
            </w:pPr>
            <w:r>
              <w:rPr>
                <w:rFonts w:ascii="Arial" w:cs="Arial" w:eastAsia="Arial" w:hAnsi="Arial"/>
                <w:sz w:val="18"/>
                <w:szCs w:val="18"/>
                <w:color w:val="060606"/>
              </w:rPr>
              <w:t>372.7</w:t>
            </w:r>
          </w:p>
        </w:tc>
        <w:tc>
          <w:tcPr>
            <w:tcW w:w="1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060606"/>
              </w:rPr>
              <w:t>344.0</w:t>
            </w:r>
          </w:p>
        </w:tc>
        <w:tc>
          <w:tcPr>
            <w:tcW w:w="1880" w:type="dxa"/>
            <w:vAlign w:val="bottom"/>
            <w:gridSpan w:val="2"/>
          </w:tcPr>
          <w:p>
            <w:pPr>
              <w:jc w:val="right"/>
              <w:spacing w:after="0"/>
              <w:rPr>
                <w:sz w:val="20"/>
                <w:szCs w:val="20"/>
                <w:color w:val="auto"/>
              </w:rPr>
            </w:pPr>
            <w:r>
              <w:rPr>
                <w:rFonts w:ascii="Arial" w:cs="Arial" w:eastAsia="Arial" w:hAnsi="Arial"/>
                <w:sz w:val="18"/>
                <w:szCs w:val="18"/>
                <w:color w:val="060606"/>
              </w:rPr>
              <w:t>8.4 %</w:t>
            </w:r>
          </w:p>
        </w:tc>
        <w:tc>
          <w:tcPr>
            <w:tcW w:w="10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060606"/>
              </w:rPr>
              <w:t>8.4 %</w:t>
            </w:r>
          </w:p>
        </w:tc>
        <w:tc>
          <w:tcPr>
            <w:tcW w:w="0" w:type="dxa"/>
            <w:vAlign w:val="bottom"/>
          </w:tcPr>
          <w:p>
            <w:pPr>
              <w:spacing w:after="0"/>
              <w:rPr>
                <w:sz w:val="1"/>
                <w:szCs w:val="1"/>
                <w:color w:val="auto"/>
              </w:rPr>
            </w:pPr>
          </w:p>
        </w:tc>
      </w:tr>
      <w:tr>
        <w:trPr>
          <w:trHeight w:val="247"/>
        </w:trPr>
        <w:tc>
          <w:tcPr>
            <w:tcW w:w="3920" w:type="dxa"/>
            <w:vAlign w:val="bottom"/>
          </w:tcPr>
          <w:p>
            <w:pPr>
              <w:ind w:left="120"/>
              <w:spacing w:after="0" w:line="247" w:lineRule="exact"/>
              <w:rPr>
                <w:sz w:val="20"/>
                <w:szCs w:val="20"/>
                <w:color w:val="auto"/>
              </w:rPr>
            </w:pPr>
            <w:r>
              <w:rPr>
                <w:rFonts w:ascii="Arial" w:cs="Arial" w:eastAsia="Arial" w:hAnsi="Arial"/>
                <w:sz w:val="18"/>
                <w:szCs w:val="18"/>
                <w:color w:val="060606"/>
              </w:rPr>
              <w:t xml:space="preserve">Europe </w:t>
            </w:r>
            <w:r>
              <w:rPr>
                <w:rFonts w:ascii="Arial" w:cs="Arial" w:eastAsia="Arial" w:hAnsi="Arial"/>
                <w:sz w:val="23"/>
                <w:szCs w:val="23"/>
                <w:color w:val="060606"/>
                <w:vertAlign w:val="superscript"/>
              </w:rPr>
              <w:t>(1)</w:t>
            </w:r>
          </w:p>
        </w:tc>
        <w:tc>
          <w:tcPr>
            <w:tcW w:w="1620" w:type="dxa"/>
            <w:vAlign w:val="bottom"/>
          </w:tcPr>
          <w:p>
            <w:pPr>
              <w:jc w:val="right"/>
              <w:spacing w:after="0"/>
              <w:rPr>
                <w:sz w:val="20"/>
                <w:szCs w:val="20"/>
                <w:color w:val="auto"/>
              </w:rPr>
            </w:pPr>
            <w:r>
              <w:rPr>
                <w:rFonts w:ascii="Arial" w:cs="Arial" w:eastAsia="Arial" w:hAnsi="Arial"/>
                <w:sz w:val="18"/>
                <w:szCs w:val="18"/>
                <w:color w:val="060606"/>
              </w:rPr>
              <w:t>54.8</w:t>
            </w:r>
          </w:p>
        </w:tc>
        <w:tc>
          <w:tcPr>
            <w:tcW w:w="1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060606"/>
              </w:rPr>
              <w:t>47.4</w:t>
            </w:r>
          </w:p>
        </w:tc>
        <w:tc>
          <w:tcPr>
            <w:tcW w:w="1880" w:type="dxa"/>
            <w:vAlign w:val="bottom"/>
            <w:gridSpan w:val="2"/>
          </w:tcPr>
          <w:p>
            <w:pPr>
              <w:jc w:val="right"/>
              <w:spacing w:after="0"/>
              <w:rPr>
                <w:sz w:val="20"/>
                <w:szCs w:val="20"/>
                <w:color w:val="auto"/>
              </w:rPr>
            </w:pPr>
            <w:r>
              <w:rPr>
                <w:rFonts w:ascii="Arial" w:cs="Arial" w:eastAsia="Arial" w:hAnsi="Arial"/>
                <w:sz w:val="18"/>
                <w:szCs w:val="18"/>
                <w:color w:val="060606"/>
              </w:rPr>
              <w:t>15.5 %</w:t>
            </w:r>
          </w:p>
        </w:tc>
        <w:tc>
          <w:tcPr>
            <w:tcW w:w="10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060606"/>
              </w:rPr>
              <w:t>11.4 %</w:t>
            </w:r>
          </w:p>
        </w:tc>
        <w:tc>
          <w:tcPr>
            <w:tcW w:w="0" w:type="dxa"/>
            <w:vAlign w:val="bottom"/>
          </w:tcPr>
          <w:p>
            <w:pPr>
              <w:spacing w:after="0"/>
              <w:rPr>
                <w:sz w:val="1"/>
                <w:szCs w:val="1"/>
                <w:color w:val="auto"/>
              </w:rPr>
            </w:pPr>
          </w:p>
        </w:tc>
      </w:tr>
      <w:tr>
        <w:trPr>
          <w:trHeight w:val="235"/>
        </w:trPr>
        <w:tc>
          <w:tcPr>
            <w:tcW w:w="3920" w:type="dxa"/>
            <w:vAlign w:val="bottom"/>
          </w:tcPr>
          <w:p>
            <w:pPr>
              <w:ind w:left="120"/>
              <w:spacing w:after="0" w:line="235" w:lineRule="exact"/>
              <w:rPr>
                <w:sz w:val="20"/>
                <w:szCs w:val="20"/>
                <w:color w:val="auto"/>
              </w:rPr>
            </w:pPr>
            <w:r>
              <w:rPr>
                <w:rFonts w:ascii="Arial" w:cs="Arial" w:eastAsia="Arial" w:hAnsi="Arial"/>
                <w:sz w:val="18"/>
                <w:szCs w:val="18"/>
                <w:color w:val="060606"/>
              </w:rPr>
              <w:t xml:space="preserve">Rest of World </w:t>
            </w:r>
            <w:r>
              <w:rPr>
                <w:rFonts w:ascii="Arial" w:cs="Arial" w:eastAsia="Arial" w:hAnsi="Arial"/>
                <w:sz w:val="23"/>
                <w:szCs w:val="23"/>
                <w:color w:val="060606"/>
                <w:vertAlign w:val="superscript"/>
              </w:rPr>
              <w:t>(1)</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60606"/>
              </w:rPr>
              <w:t>57.4</w:t>
            </w:r>
          </w:p>
        </w:tc>
        <w:tc>
          <w:tcPr>
            <w:tcW w:w="100" w:type="dxa"/>
            <w:vAlign w:val="bottom"/>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60606"/>
              </w:rPr>
              <w:t>48.7</w:t>
            </w:r>
          </w:p>
        </w:tc>
        <w:tc>
          <w:tcPr>
            <w:tcW w:w="1880" w:type="dxa"/>
            <w:vAlign w:val="bottom"/>
            <w:gridSpan w:val="2"/>
          </w:tcPr>
          <w:p>
            <w:pPr>
              <w:jc w:val="right"/>
              <w:spacing w:after="0"/>
              <w:rPr>
                <w:sz w:val="20"/>
                <w:szCs w:val="20"/>
                <w:color w:val="auto"/>
              </w:rPr>
            </w:pPr>
            <w:r>
              <w:rPr>
                <w:rFonts w:ascii="Arial" w:cs="Arial" w:eastAsia="Arial" w:hAnsi="Arial"/>
                <w:sz w:val="18"/>
                <w:szCs w:val="18"/>
                <w:color w:val="060606"/>
              </w:rPr>
              <w:t>17.8 %</w:t>
            </w:r>
          </w:p>
        </w:tc>
        <w:tc>
          <w:tcPr>
            <w:tcW w:w="10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060606"/>
              </w:rPr>
              <w:t>15.6 %</w:t>
            </w:r>
          </w:p>
        </w:tc>
        <w:tc>
          <w:tcPr>
            <w:tcW w:w="0" w:type="dxa"/>
            <w:vAlign w:val="bottom"/>
          </w:tcPr>
          <w:p>
            <w:pPr>
              <w:spacing w:after="0"/>
              <w:rPr>
                <w:sz w:val="1"/>
                <w:szCs w:val="1"/>
                <w:color w:val="auto"/>
              </w:rPr>
            </w:pPr>
          </w:p>
        </w:tc>
      </w:tr>
      <w:tr>
        <w:trPr>
          <w:trHeight w:val="237"/>
        </w:trPr>
        <w:tc>
          <w:tcPr>
            <w:tcW w:w="3920" w:type="dxa"/>
            <w:vAlign w:val="bottom"/>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60606"/>
              </w:rPr>
              <w:t>484.9</w:t>
            </w:r>
          </w:p>
        </w:tc>
        <w:tc>
          <w:tcPr>
            <w:tcW w:w="100" w:type="dxa"/>
            <w:vAlign w:val="bottom"/>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60606"/>
              </w:rPr>
              <w:t>440.1</w:t>
            </w:r>
          </w:p>
        </w:tc>
        <w:tc>
          <w:tcPr>
            <w:tcW w:w="1880" w:type="dxa"/>
            <w:vAlign w:val="bottom"/>
            <w:gridSpan w:val="2"/>
          </w:tcPr>
          <w:p>
            <w:pPr>
              <w:jc w:val="right"/>
              <w:spacing w:after="0"/>
              <w:rPr>
                <w:sz w:val="20"/>
                <w:szCs w:val="20"/>
                <w:color w:val="auto"/>
              </w:rPr>
            </w:pPr>
            <w:r>
              <w:rPr>
                <w:rFonts w:ascii="Arial" w:cs="Arial" w:eastAsia="Arial" w:hAnsi="Arial"/>
                <w:sz w:val="18"/>
                <w:szCs w:val="18"/>
                <w:color w:val="060606"/>
              </w:rPr>
              <w:t>10.2 %</w:t>
            </w:r>
          </w:p>
        </w:tc>
        <w:tc>
          <w:tcPr>
            <w:tcW w:w="10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060606"/>
              </w:rPr>
              <w:t>9.5 %</w:t>
            </w:r>
          </w:p>
        </w:tc>
        <w:tc>
          <w:tcPr>
            <w:tcW w:w="0" w:type="dxa"/>
            <w:vAlign w:val="bottom"/>
          </w:tcPr>
          <w:p>
            <w:pPr>
              <w:spacing w:after="0"/>
              <w:rPr>
                <w:sz w:val="1"/>
                <w:szCs w:val="1"/>
                <w:color w:val="auto"/>
              </w:rPr>
            </w:pPr>
          </w:p>
        </w:tc>
      </w:tr>
      <w:tr>
        <w:trPr>
          <w:trHeight w:val="236"/>
        </w:trPr>
        <w:tc>
          <w:tcPr>
            <w:tcW w:w="3920" w:type="dxa"/>
            <w:vAlign w:val="bottom"/>
          </w:tcPr>
          <w:p>
            <w:pPr>
              <w:spacing w:after="0" w:line="236" w:lineRule="exact"/>
              <w:rPr>
                <w:sz w:val="20"/>
                <w:szCs w:val="20"/>
                <w:color w:val="auto"/>
              </w:rPr>
            </w:pPr>
            <w:r>
              <w:rPr>
                <w:rFonts w:ascii="Arial" w:cs="Arial" w:eastAsia="Arial" w:hAnsi="Arial"/>
                <w:sz w:val="18"/>
                <w:szCs w:val="18"/>
                <w:color w:val="060606"/>
              </w:rPr>
              <w:t xml:space="preserve">Other revenue </w:t>
            </w:r>
            <w:r>
              <w:rPr>
                <w:rFonts w:ascii="Arial" w:cs="Arial" w:eastAsia="Arial" w:hAnsi="Arial"/>
                <w:sz w:val="23"/>
                <w:szCs w:val="23"/>
                <w:color w:val="060606"/>
                <w:vertAlign w:val="superscript"/>
              </w:rPr>
              <w:t>(2)</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60606"/>
              </w:rPr>
              <w:t>5.6</w:t>
            </w:r>
          </w:p>
        </w:tc>
        <w:tc>
          <w:tcPr>
            <w:tcW w:w="100" w:type="dxa"/>
            <w:vAlign w:val="bottom"/>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60606"/>
              </w:rPr>
              <w:t>8.2</w:t>
            </w:r>
          </w:p>
        </w:tc>
        <w:tc>
          <w:tcPr>
            <w:tcW w:w="1880" w:type="dxa"/>
            <w:vAlign w:val="bottom"/>
            <w:gridSpan w:val="2"/>
          </w:tcPr>
          <w:p>
            <w:pPr>
              <w:jc w:val="right"/>
              <w:spacing w:after="0"/>
              <w:rPr>
                <w:sz w:val="20"/>
                <w:szCs w:val="20"/>
                <w:color w:val="auto"/>
              </w:rPr>
            </w:pPr>
            <w:r>
              <w:rPr>
                <w:rFonts w:ascii="Arial" w:cs="Arial" w:eastAsia="Arial" w:hAnsi="Arial"/>
                <w:sz w:val="18"/>
                <w:szCs w:val="18"/>
                <w:color w:val="060606"/>
              </w:rPr>
              <w:t>(32.0)%</w:t>
            </w:r>
          </w:p>
        </w:tc>
        <w:tc>
          <w:tcPr>
            <w:tcW w:w="10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060606"/>
              </w:rPr>
              <w:t>(34.4)%</w:t>
            </w:r>
          </w:p>
        </w:tc>
        <w:tc>
          <w:tcPr>
            <w:tcW w:w="0" w:type="dxa"/>
            <w:vAlign w:val="bottom"/>
          </w:tcPr>
          <w:p>
            <w:pPr>
              <w:spacing w:after="0"/>
              <w:rPr>
                <w:sz w:val="1"/>
                <w:szCs w:val="1"/>
                <w:color w:val="auto"/>
              </w:rPr>
            </w:pPr>
          </w:p>
        </w:tc>
      </w:tr>
      <w:tr>
        <w:trPr>
          <w:trHeight w:val="227"/>
        </w:trPr>
        <w:tc>
          <w:tcPr>
            <w:tcW w:w="3920" w:type="dxa"/>
            <w:vAlign w:val="bottom"/>
          </w:tcPr>
          <w:p>
            <w:pPr>
              <w:spacing w:after="0"/>
              <w:rPr>
                <w:sz w:val="20"/>
                <w:szCs w:val="20"/>
                <w:color w:val="auto"/>
              </w:rPr>
            </w:pPr>
            <w:r>
              <w:rPr>
                <w:rFonts w:ascii="Arial" w:cs="Arial" w:eastAsia="Arial" w:hAnsi="Arial"/>
                <w:sz w:val="18"/>
                <w:szCs w:val="18"/>
                <w:color w:val="060606"/>
              </w:rPr>
              <w:t>Total Company</w:t>
            </w: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920" w:type="dxa"/>
            <w:vAlign w:val="bottom"/>
          </w:tcPr>
          <w:p>
            <w:pPr>
              <w:ind w:left="120"/>
              <w:spacing w:after="0"/>
              <w:rPr>
                <w:sz w:val="20"/>
                <w:szCs w:val="20"/>
                <w:color w:val="auto"/>
              </w:rPr>
            </w:pPr>
            <w:r>
              <w:rPr>
                <w:rFonts w:ascii="Arial" w:cs="Arial" w:eastAsia="Arial" w:hAnsi="Arial"/>
                <w:sz w:val="18"/>
                <w:szCs w:val="18"/>
                <w:color w:val="060606"/>
              </w:rPr>
              <w:t>U.S.</w:t>
            </w:r>
          </w:p>
        </w:tc>
        <w:tc>
          <w:tcPr>
            <w:tcW w:w="1620" w:type="dxa"/>
            <w:vAlign w:val="bottom"/>
          </w:tcPr>
          <w:p>
            <w:pPr>
              <w:jc w:val="right"/>
              <w:spacing w:after="0"/>
              <w:rPr>
                <w:sz w:val="20"/>
                <w:szCs w:val="20"/>
                <w:color w:val="auto"/>
              </w:rPr>
            </w:pPr>
            <w:r>
              <w:rPr>
                <w:rFonts w:ascii="Arial" w:cs="Arial" w:eastAsia="Arial" w:hAnsi="Arial"/>
                <w:sz w:val="18"/>
                <w:szCs w:val="18"/>
                <w:color w:val="060606"/>
              </w:rPr>
              <w:t>595.2</w:t>
            </w:r>
          </w:p>
        </w:tc>
        <w:tc>
          <w:tcPr>
            <w:tcW w:w="1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060606"/>
              </w:rPr>
              <w:t>548.1</w:t>
            </w:r>
          </w:p>
        </w:tc>
        <w:tc>
          <w:tcPr>
            <w:tcW w:w="1880" w:type="dxa"/>
            <w:vAlign w:val="bottom"/>
            <w:gridSpan w:val="2"/>
          </w:tcPr>
          <w:p>
            <w:pPr>
              <w:jc w:val="right"/>
              <w:spacing w:after="0"/>
              <w:rPr>
                <w:sz w:val="20"/>
                <w:szCs w:val="20"/>
                <w:color w:val="auto"/>
              </w:rPr>
            </w:pPr>
            <w:r>
              <w:rPr>
                <w:rFonts w:ascii="Arial" w:cs="Arial" w:eastAsia="Arial" w:hAnsi="Arial"/>
                <w:sz w:val="18"/>
                <w:szCs w:val="18"/>
                <w:color w:val="060606"/>
              </w:rPr>
              <w:t>8.6 %</w:t>
            </w:r>
          </w:p>
        </w:tc>
        <w:tc>
          <w:tcPr>
            <w:tcW w:w="10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060606"/>
              </w:rPr>
              <w:t>8.6 %</w:t>
            </w:r>
          </w:p>
        </w:tc>
        <w:tc>
          <w:tcPr>
            <w:tcW w:w="0" w:type="dxa"/>
            <w:vAlign w:val="bottom"/>
          </w:tcPr>
          <w:p>
            <w:pPr>
              <w:spacing w:after="0"/>
              <w:rPr>
                <w:sz w:val="1"/>
                <w:szCs w:val="1"/>
                <w:color w:val="auto"/>
              </w:rPr>
            </w:pPr>
          </w:p>
        </w:tc>
      </w:tr>
      <w:tr>
        <w:trPr>
          <w:trHeight w:val="247"/>
        </w:trPr>
        <w:tc>
          <w:tcPr>
            <w:tcW w:w="3920" w:type="dxa"/>
            <w:vAlign w:val="bottom"/>
          </w:tcPr>
          <w:p>
            <w:pPr>
              <w:ind w:left="120"/>
              <w:spacing w:after="0" w:line="247" w:lineRule="exact"/>
              <w:rPr>
                <w:sz w:val="20"/>
                <w:szCs w:val="20"/>
                <w:color w:val="auto"/>
              </w:rPr>
            </w:pPr>
            <w:r>
              <w:rPr>
                <w:rFonts w:ascii="Arial" w:cs="Arial" w:eastAsia="Arial" w:hAnsi="Arial"/>
                <w:sz w:val="18"/>
                <w:szCs w:val="18"/>
                <w:color w:val="060606"/>
              </w:rPr>
              <w:t xml:space="preserve">Europe </w:t>
            </w:r>
            <w:r>
              <w:rPr>
                <w:rFonts w:ascii="Arial" w:cs="Arial" w:eastAsia="Arial" w:hAnsi="Arial"/>
                <w:sz w:val="23"/>
                <w:szCs w:val="23"/>
                <w:color w:val="060606"/>
                <w:vertAlign w:val="superscript"/>
              </w:rPr>
              <w:t>(1)</w:t>
            </w:r>
          </w:p>
        </w:tc>
        <w:tc>
          <w:tcPr>
            <w:tcW w:w="1620" w:type="dxa"/>
            <w:vAlign w:val="bottom"/>
          </w:tcPr>
          <w:p>
            <w:pPr>
              <w:jc w:val="right"/>
              <w:spacing w:after="0"/>
              <w:rPr>
                <w:sz w:val="20"/>
                <w:szCs w:val="20"/>
                <w:color w:val="auto"/>
              </w:rPr>
            </w:pPr>
            <w:r>
              <w:rPr>
                <w:rFonts w:ascii="Arial" w:cs="Arial" w:eastAsia="Arial" w:hAnsi="Arial"/>
                <w:sz w:val="18"/>
                <w:szCs w:val="18"/>
                <w:color w:val="060606"/>
              </w:rPr>
              <w:t>231.1</w:t>
            </w:r>
          </w:p>
        </w:tc>
        <w:tc>
          <w:tcPr>
            <w:tcW w:w="1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060606"/>
              </w:rPr>
              <w:t>194.2</w:t>
            </w:r>
          </w:p>
        </w:tc>
        <w:tc>
          <w:tcPr>
            <w:tcW w:w="1880" w:type="dxa"/>
            <w:vAlign w:val="bottom"/>
            <w:gridSpan w:val="2"/>
          </w:tcPr>
          <w:p>
            <w:pPr>
              <w:jc w:val="right"/>
              <w:spacing w:after="0"/>
              <w:rPr>
                <w:sz w:val="20"/>
                <w:szCs w:val="20"/>
                <w:color w:val="auto"/>
              </w:rPr>
            </w:pPr>
            <w:r>
              <w:rPr>
                <w:rFonts w:ascii="Arial" w:cs="Arial" w:eastAsia="Arial" w:hAnsi="Arial"/>
                <w:sz w:val="18"/>
                <w:szCs w:val="18"/>
                <w:color w:val="060606"/>
              </w:rPr>
              <w:t>19.0 %</w:t>
            </w:r>
          </w:p>
        </w:tc>
        <w:tc>
          <w:tcPr>
            <w:tcW w:w="10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060606"/>
              </w:rPr>
              <w:t>15.3 %</w:t>
            </w:r>
          </w:p>
        </w:tc>
        <w:tc>
          <w:tcPr>
            <w:tcW w:w="0" w:type="dxa"/>
            <w:vAlign w:val="bottom"/>
          </w:tcPr>
          <w:p>
            <w:pPr>
              <w:spacing w:after="0"/>
              <w:rPr>
                <w:sz w:val="1"/>
                <w:szCs w:val="1"/>
                <w:color w:val="auto"/>
              </w:rPr>
            </w:pPr>
          </w:p>
        </w:tc>
      </w:tr>
      <w:tr>
        <w:trPr>
          <w:trHeight w:val="235"/>
        </w:trPr>
        <w:tc>
          <w:tcPr>
            <w:tcW w:w="3920" w:type="dxa"/>
            <w:vAlign w:val="bottom"/>
          </w:tcPr>
          <w:p>
            <w:pPr>
              <w:ind w:left="120"/>
              <w:spacing w:after="0" w:line="235" w:lineRule="exact"/>
              <w:rPr>
                <w:sz w:val="20"/>
                <w:szCs w:val="20"/>
                <w:color w:val="auto"/>
              </w:rPr>
            </w:pPr>
            <w:r>
              <w:rPr>
                <w:rFonts w:ascii="Arial" w:cs="Arial" w:eastAsia="Arial" w:hAnsi="Arial"/>
                <w:sz w:val="18"/>
                <w:szCs w:val="18"/>
                <w:color w:val="060606"/>
              </w:rPr>
              <w:t xml:space="preserve">Rest of World </w:t>
            </w:r>
            <w:r>
              <w:rPr>
                <w:rFonts w:ascii="Arial" w:cs="Arial" w:eastAsia="Arial" w:hAnsi="Arial"/>
                <w:sz w:val="23"/>
                <w:szCs w:val="23"/>
                <w:color w:val="060606"/>
                <w:vertAlign w:val="superscript"/>
              </w:rPr>
              <w:t>(1)</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60606"/>
              </w:rPr>
              <w:t>319.7</w:t>
            </w:r>
          </w:p>
        </w:tc>
        <w:tc>
          <w:tcPr>
            <w:tcW w:w="100" w:type="dxa"/>
            <w:vAlign w:val="bottom"/>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60606"/>
              </w:rPr>
              <w:t>284.9</w:t>
            </w:r>
          </w:p>
        </w:tc>
        <w:tc>
          <w:tcPr>
            <w:tcW w:w="1880" w:type="dxa"/>
            <w:vAlign w:val="bottom"/>
            <w:gridSpan w:val="2"/>
          </w:tcPr>
          <w:p>
            <w:pPr>
              <w:jc w:val="right"/>
              <w:spacing w:after="0"/>
              <w:rPr>
                <w:sz w:val="20"/>
                <w:szCs w:val="20"/>
                <w:color w:val="auto"/>
              </w:rPr>
            </w:pPr>
            <w:r>
              <w:rPr>
                <w:rFonts w:ascii="Arial" w:cs="Arial" w:eastAsia="Arial" w:hAnsi="Arial"/>
                <w:sz w:val="18"/>
                <w:szCs w:val="18"/>
                <w:color w:val="060606"/>
              </w:rPr>
              <w:t>12.2 %</w:t>
            </w:r>
          </w:p>
        </w:tc>
        <w:tc>
          <w:tcPr>
            <w:tcW w:w="10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060606"/>
              </w:rPr>
              <w:t>10.1 %</w:t>
            </w:r>
          </w:p>
        </w:tc>
        <w:tc>
          <w:tcPr>
            <w:tcW w:w="0" w:type="dxa"/>
            <w:vAlign w:val="bottom"/>
          </w:tcPr>
          <w:p>
            <w:pPr>
              <w:spacing w:after="0"/>
              <w:rPr>
                <w:sz w:val="1"/>
                <w:szCs w:val="1"/>
                <w:color w:val="auto"/>
              </w:rPr>
            </w:pPr>
          </w:p>
        </w:tc>
      </w:tr>
      <w:tr>
        <w:trPr>
          <w:trHeight w:val="237"/>
        </w:trPr>
        <w:tc>
          <w:tcPr>
            <w:tcW w:w="3920" w:type="dxa"/>
            <w:vAlign w:val="bottom"/>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60606"/>
              </w:rPr>
              <w:t>$1,146.0</w:t>
            </w:r>
          </w:p>
        </w:tc>
        <w:tc>
          <w:tcPr>
            <w:tcW w:w="100" w:type="dxa"/>
            <w:vAlign w:val="bottom"/>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60606"/>
              </w:rPr>
              <w:t>$1,027.1</w:t>
            </w:r>
          </w:p>
        </w:tc>
        <w:tc>
          <w:tcPr>
            <w:tcW w:w="1880" w:type="dxa"/>
            <w:vAlign w:val="bottom"/>
            <w:gridSpan w:val="2"/>
          </w:tcPr>
          <w:p>
            <w:pPr>
              <w:jc w:val="right"/>
              <w:spacing w:after="0"/>
              <w:rPr>
                <w:sz w:val="20"/>
                <w:szCs w:val="20"/>
                <w:color w:val="auto"/>
              </w:rPr>
            </w:pPr>
            <w:r>
              <w:rPr>
                <w:rFonts w:ascii="Arial" w:cs="Arial" w:eastAsia="Arial" w:hAnsi="Arial"/>
                <w:sz w:val="18"/>
                <w:szCs w:val="18"/>
                <w:color w:val="060606"/>
              </w:rPr>
              <w:t>11.6 %</w:t>
            </w:r>
          </w:p>
        </w:tc>
        <w:tc>
          <w:tcPr>
            <w:tcW w:w="10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060606"/>
              </w:rPr>
              <w:t>10.3 %</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ind w:left="340" w:right="20" w:hanging="332"/>
        <w:spacing w:after="0" w:line="227" w:lineRule="auto"/>
        <w:tabs>
          <w:tab w:leader="none" w:pos="333" w:val="left"/>
        </w:tabs>
        <w:numPr>
          <w:ilvl w:val="0"/>
          <w:numId w:val="9"/>
        </w:numPr>
        <w:rPr>
          <w:rFonts w:ascii="Arial" w:cs="Arial" w:eastAsia="Arial" w:hAnsi="Arial"/>
          <w:sz w:val="21"/>
          <w:szCs w:val="21"/>
          <w:color w:val="060606"/>
          <w:vertAlign w:val="superscript"/>
        </w:rPr>
      </w:pPr>
      <w:r>
        <w:rPr>
          <w:rFonts w:ascii="Arial" w:cs="Arial" w:eastAsia="Arial" w:hAnsi="Arial"/>
          <w:sz w:val="16"/>
          <w:szCs w:val="16"/>
          <w:color w:val="060606"/>
        </w:rPr>
        <w:t>“Europe” includes the UK, Germany, France, Italy, the Netherlands, Spain, Belgium, Poland, Sweden, Switzerland, Austria, Norway, Portugal, Finland, and Denmark. Excluding Europe and the U.S., “Rest of World” includes all other countries where LivaNova operates.</w:t>
      </w:r>
    </w:p>
    <w:p>
      <w:pPr>
        <w:spacing w:after="0" w:line="1" w:lineRule="exact"/>
        <w:rPr>
          <w:rFonts w:ascii="Arial" w:cs="Arial" w:eastAsia="Arial" w:hAnsi="Arial"/>
          <w:sz w:val="21"/>
          <w:szCs w:val="21"/>
          <w:color w:val="060606"/>
          <w:vertAlign w:val="superscript"/>
        </w:rPr>
      </w:pPr>
    </w:p>
    <w:p>
      <w:pPr>
        <w:ind w:left="340" w:hanging="332"/>
        <w:spacing w:after="0" w:line="220" w:lineRule="auto"/>
        <w:tabs>
          <w:tab w:leader="none" w:pos="333" w:val="left"/>
        </w:tabs>
        <w:numPr>
          <w:ilvl w:val="0"/>
          <w:numId w:val="9"/>
        </w:numPr>
        <w:rPr>
          <w:rFonts w:ascii="Arial" w:cs="Arial" w:eastAsia="Arial" w:hAnsi="Arial"/>
          <w:sz w:val="21"/>
          <w:szCs w:val="21"/>
          <w:color w:val="060606"/>
          <w:vertAlign w:val="superscript"/>
        </w:rPr>
      </w:pPr>
      <w:r>
        <w:rPr>
          <w:rFonts w:ascii="Arial" w:cs="Arial" w:eastAsia="Arial" w:hAnsi="Arial"/>
          <w:sz w:val="16"/>
          <w:szCs w:val="16"/>
          <w:color w:val="060606"/>
        </w:rPr>
        <w:t>“Other revenue” includes rental and site services income not allocated to segments. In addition, for 2025, “Other revenue” includes $3.1 million from a reduction in the reserve associated with the Italian MedTech payback measure related to product sales of previously divested businesses.</w:t>
      </w:r>
    </w:p>
    <w:p>
      <w:pPr>
        <w:spacing w:after="0" w:line="3" w:lineRule="exact"/>
        <w:rPr>
          <w:sz w:val="20"/>
          <w:szCs w:val="20"/>
          <w:color w:val="auto"/>
        </w:rPr>
      </w:pPr>
    </w:p>
    <w:p>
      <w:pPr>
        <w:ind w:left="280" w:hanging="272"/>
        <w:spacing w:after="0"/>
        <w:tabs>
          <w:tab w:leader="none" w:pos="280" w:val="left"/>
        </w:tabs>
        <w:numPr>
          <w:ilvl w:val="0"/>
          <w:numId w:val="10"/>
        </w:numPr>
        <w:rPr>
          <w:rFonts w:ascii="Arial" w:cs="Arial" w:eastAsia="Arial" w:hAnsi="Arial"/>
          <w:sz w:val="16"/>
          <w:szCs w:val="16"/>
          <w:color w:val="060606"/>
        </w:rPr>
      </w:pPr>
      <w:r>
        <w:rPr>
          <w:rFonts w:ascii="Arial" w:cs="Arial" w:eastAsia="Arial" w:hAnsi="Arial"/>
          <w:sz w:val="16"/>
          <w:szCs w:val="16"/>
          <w:color w:val="060606"/>
        </w:rPr>
        <w:t>Numbers may not add precisely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2"/>
          <w:szCs w:val="22"/>
          <w:color w:val="060606"/>
        </w:rPr>
        <w:t>9</w:t>
      </w:r>
    </w:p>
    <w:p>
      <w:pPr>
        <w:sectPr>
          <w:pgSz w:w="11900" w:h="16838" w:orient="portrait"/>
          <w:cols w:equalWidth="0" w:num="1">
            <w:col w:w="11240"/>
          </w:cols>
          <w:pgMar w:left="320" w:top="1440" w:right="339" w:bottom="1440" w:gutter="0" w:footer="0" w:header="0"/>
        </w:sectPr>
      </w:pPr>
    </w:p>
    <w:bookmarkStart w:id="12" w:name="page13"/>
    <w:bookmarkEnd w:id="12"/>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color w:val="060606"/>
        </w:rPr>
        <w:t>LIVANOVA PLC AND SUBSIDIARIES</w:t>
      </w:r>
    </w:p>
    <w:p>
      <w:pPr>
        <w:spacing w:after="0" w:line="36" w:lineRule="exact"/>
        <w:rPr>
          <w:sz w:val="20"/>
          <w:szCs w:val="20"/>
          <w:color w:val="auto"/>
        </w:rPr>
      </w:pPr>
    </w:p>
    <w:p>
      <w:pPr>
        <w:ind w:left="20" w:right="5100"/>
        <w:spacing w:after="0" w:line="318" w:lineRule="auto"/>
        <w:rPr>
          <w:sz w:val="20"/>
          <w:szCs w:val="20"/>
          <w:color w:val="auto"/>
        </w:rPr>
      </w:pPr>
      <w:r>
        <w:rPr>
          <w:rFonts w:ascii="Arial" w:cs="Arial" w:eastAsia="Arial" w:hAnsi="Arial"/>
          <w:sz w:val="18"/>
          <w:szCs w:val="18"/>
          <w:color w:val="060606"/>
        </w:rPr>
        <w:t>CONDENSED CONSOLIDATED STATEMENTS OF INCOME - UNAUDITED (In millions, except for per share amounts)</w:t>
      </w:r>
    </w:p>
    <w:p>
      <w:pPr>
        <w:spacing w:after="0" w:line="153" w:lineRule="exact"/>
        <w:rPr>
          <w:sz w:val="20"/>
          <w:szCs w:val="20"/>
          <w:color w:val="auto"/>
        </w:rPr>
      </w:pPr>
    </w:p>
    <w:p>
      <w:pPr>
        <w:ind w:left="7860"/>
        <w:spacing w:after="0"/>
        <w:rPr>
          <w:sz w:val="20"/>
          <w:szCs w:val="20"/>
          <w:color w:val="auto"/>
        </w:rPr>
      </w:pPr>
      <w:r>
        <w:rPr>
          <w:rFonts w:ascii="Arial" w:cs="Arial" w:eastAsia="Arial" w:hAnsi="Arial"/>
          <w:sz w:val="18"/>
          <w:szCs w:val="18"/>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17780</wp:posOffset>
            </wp:positionV>
            <wp:extent cx="24517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30"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7360" w:type="dxa"/>
            <w:vAlign w:val="bottom"/>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60606"/>
              </w:rPr>
              <w:t>2026</w:t>
            </w:r>
          </w:p>
        </w:tc>
        <w:tc>
          <w:tcPr>
            <w:tcW w:w="6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8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060606"/>
              </w:rPr>
              <w:t>2025</w:t>
            </w:r>
          </w:p>
        </w:tc>
      </w:tr>
      <w:tr>
        <w:trPr>
          <w:trHeight w:val="241"/>
        </w:trPr>
        <w:tc>
          <w:tcPr>
            <w:tcW w:w="8560" w:type="dxa"/>
            <w:vAlign w:val="bottom"/>
            <w:gridSpan w:val="2"/>
          </w:tcPr>
          <w:p>
            <w:pPr>
              <w:spacing w:after="0"/>
              <w:rPr>
                <w:sz w:val="20"/>
                <w:szCs w:val="20"/>
                <w:color w:val="auto"/>
              </w:rPr>
            </w:pPr>
            <w:r>
              <w:rPr>
                <w:rFonts w:ascii="Arial" w:cs="Arial" w:eastAsia="Arial" w:hAnsi="Arial"/>
                <w:sz w:val="18"/>
                <w:szCs w:val="18"/>
                <w:color w:val="060606"/>
              </w:rPr>
              <w:t>Net revenue</w:t>
            </w:r>
          </w:p>
        </w:tc>
        <w:tc>
          <w:tcPr>
            <w:tcW w:w="680" w:type="dxa"/>
            <w:vAlign w:val="bottom"/>
          </w:tcPr>
          <w:p>
            <w:pPr>
              <w:jc w:val="right"/>
              <w:spacing w:after="0"/>
              <w:rPr>
                <w:sz w:val="20"/>
                <w:szCs w:val="20"/>
                <w:color w:val="auto"/>
              </w:rPr>
            </w:pPr>
            <w:r>
              <w:rPr>
                <w:rFonts w:ascii="Arial" w:cs="Arial" w:eastAsia="Arial" w:hAnsi="Arial"/>
                <w:sz w:val="18"/>
                <w:szCs w:val="18"/>
                <w:color w:val="060606"/>
              </w:rPr>
              <w:t>$393.1</w:t>
            </w:r>
          </w:p>
        </w:tc>
        <w:tc>
          <w:tcPr>
            <w:tcW w:w="10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060606"/>
              </w:rPr>
              <w:t>$357.8</w:t>
            </w:r>
          </w:p>
        </w:tc>
      </w:tr>
      <w:tr>
        <w:trPr>
          <w:trHeight w:val="239"/>
        </w:trPr>
        <w:tc>
          <w:tcPr>
            <w:tcW w:w="7360" w:type="dxa"/>
            <w:vAlign w:val="bottom"/>
          </w:tcPr>
          <w:p>
            <w:pPr>
              <w:spacing w:after="0"/>
              <w:rPr>
                <w:sz w:val="20"/>
                <w:szCs w:val="20"/>
                <w:color w:val="auto"/>
              </w:rPr>
            </w:pPr>
            <w:r>
              <w:rPr>
                <w:rFonts w:ascii="Arial" w:cs="Arial" w:eastAsia="Arial" w:hAnsi="Arial"/>
                <w:sz w:val="18"/>
                <w:szCs w:val="18"/>
                <w:color w:val="060606"/>
              </w:rPr>
              <w:t>Cost of sales</w:t>
            </w:r>
          </w:p>
        </w:tc>
        <w:tc>
          <w:tcPr>
            <w:tcW w:w="12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60606"/>
              </w:rPr>
              <w:t>128.1</w:t>
            </w:r>
          </w:p>
        </w:tc>
        <w:tc>
          <w:tcPr>
            <w:tcW w:w="100" w:type="dxa"/>
            <w:vAlign w:val="bottom"/>
          </w:tcPr>
          <w:p>
            <w:pPr>
              <w:spacing w:after="0"/>
              <w:rPr>
                <w:sz w:val="20"/>
                <w:szCs w:val="20"/>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60606"/>
              </w:rPr>
              <w:t>112.9</w:t>
            </w:r>
          </w:p>
        </w:tc>
      </w:tr>
      <w:tr>
        <w:trPr>
          <w:trHeight w:val="237"/>
        </w:trPr>
        <w:tc>
          <w:tcPr>
            <w:tcW w:w="8560" w:type="dxa"/>
            <w:vAlign w:val="bottom"/>
            <w:gridSpan w:val="2"/>
          </w:tcPr>
          <w:p>
            <w:pPr>
              <w:spacing w:after="0"/>
              <w:rPr>
                <w:sz w:val="20"/>
                <w:szCs w:val="20"/>
                <w:color w:val="auto"/>
              </w:rPr>
            </w:pPr>
            <w:r>
              <w:rPr>
                <w:rFonts w:ascii="Arial" w:cs="Arial" w:eastAsia="Arial" w:hAnsi="Arial"/>
                <w:sz w:val="18"/>
                <w:szCs w:val="18"/>
                <w:color w:val="060606"/>
              </w:rPr>
              <w:t>Gross profit</w:t>
            </w:r>
          </w:p>
        </w:tc>
        <w:tc>
          <w:tcPr>
            <w:tcW w:w="680" w:type="dxa"/>
            <w:vAlign w:val="bottom"/>
          </w:tcPr>
          <w:p>
            <w:pPr>
              <w:jc w:val="right"/>
              <w:spacing w:after="0"/>
              <w:rPr>
                <w:sz w:val="20"/>
                <w:szCs w:val="20"/>
                <w:color w:val="auto"/>
              </w:rPr>
            </w:pPr>
            <w:r>
              <w:rPr>
                <w:rFonts w:ascii="Arial" w:cs="Arial" w:eastAsia="Arial" w:hAnsi="Arial"/>
                <w:sz w:val="18"/>
                <w:szCs w:val="18"/>
                <w:color w:val="060606"/>
              </w:rPr>
              <w:t>265.1</w:t>
            </w:r>
          </w:p>
        </w:tc>
        <w:tc>
          <w:tcPr>
            <w:tcW w:w="10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060606"/>
              </w:rPr>
              <w:t>244.9</w:t>
            </w:r>
          </w:p>
        </w:tc>
      </w:tr>
      <w:tr>
        <w:trPr>
          <w:trHeight w:val="227"/>
        </w:trPr>
        <w:tc>
          <w:tcPr>
            <w:tcW w:w="7360" w:type="dxa"/>
            <w:vAlign w:val="bottom"/>
          </w:tcPr>
          <w:p>
            <w:pPr>
              <w:spacing w:after="0"/>
              <w:rPr>
                <w:sz w:val="20"/>
                <w:szCs w:val="20"/>
                <w:color w:val="auto"/>
              </w:rPr>
            </w:pPr>
            <w:r>
              <w:rPr>
                <w:rFonts w:ascii="Arial" w:cs="Arial" w:eastAsia="Arial" w:hAnsi="Arial"/>
                <w:sz w:val="18"/>
                <w:szCs w:val="18"/>
                <w:color w:val="060606"/>
              </w:rPr>
              <w:t>Operating expenses:</w:t>
            </w:r>
          </w:p>
        </w:tc>
        <w:tc>
          <w:tcPr>
            <w:tcW w:w="1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80" w:type="dxa"/>
            <w:vAlign w:val="bottom"/>
            <w:tcBorders>
              <w:top w:val="single" w:sz="8" w:color="auto"/>
            </w:tcBorders>
          </w:tcPr>
          <w:p>
            <w:pPr>
              <w:spacing w:after="0"/>
              <w:rPr>
                <w:sz w:val="19"/>
                <w:szCs w:val="19"/>
                <w:color w:val="auto"/>
              </w:rPr>
            </w:pPr>
          </w:p>
        </w:tc>
      </w:tr>
      <w:tr>
        <w:trPr>
          <w:trHeight w:val="243"/>
        </w:trPr>
        <w:tc>
          <w:tcPr>
            <w:tcW w:w="8560" w:type="dxa"/>
            <w:vAlign w:val="bottom"/>
            <w:gridSpan w:val="2"/>
          </w:tcPr>
          <w:p>
            <w:pPr>
              <w:ind w:left="120"/>
              <w:spacing w:after="0"/>
              <w:rPr>
                <w:sz w:val="20"/>
                <w:szCs w:val="20"/>
                <w:color w:val="auto"/>
              </w:rPr>
            </w:pPr>
            <w:r>
              <w:rPr>
                <w:rFonts w:ascii="Arial" w:cs="Arial" w:eastAsia="Arial" w:hAnsi="Arial"/>
                <w:sz w:val="18"/>
                <w:szCs w:val="18"/>
                <w:color w:val="060606"/>
              </w:rPr>
              <w:t>Selling, general, and administrative</w:t>
            </w:r>
          </w:p>
        </w:tc>
        <w:tc>
          <w:tcPr>
            <w:tcW w:w="680" w:type="dxa"/>
            <w:vAlign w:val="bottom"/>
          </w:tcPr>
          <w:p>
            <w:pPr>
              <w:jc w:val="right"/>
              <w:spacing w:after="0"/>
              <w:rPr>
                <w:sz w:val="20"/>
                <w:szCs w:val="20"/>
                <w:color w:val="auto"/>
              </w:rPr>
            </w:pPr>
            <w:r>
              <w:rPr>
                <w:rFonts w:ascii="Arial" w:cs="Arial" w:eastAsia="Arial" w:hAnsi="Arial"/>
                <w:sz w:val="18"/>
                <w:szCs w:val="18"/>
                <w:color w:val="060606"/>
              </w:rPr>
              <w:t>154.9</w:t>
            </w:r>
          </w:p>
        </w:tc>
        <w:tc>
          <w:tcPr>
            <w:tcW w:w="10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060606"/>
              </w:rPr>
              <w:t>138.5</w:t>
            </w:r>
          </w:p>
        </w:tc>
      </w:tr>
      <w:tr>
        <w:trPr>
          <w:trHeight w:val="243"/>
        </w:trPr>
        <w:tc>
          <w:tcPr>
            <w:tcW w:w="8560" w:type="dxa"/>
            <w:vAlign w:val="bottom"/>
            <w:gridSpan w:val="2"/>
          </w:tcPr>
          <w:p>
            <w:pPr>
              <w:ind w:left="120"/>
              <w:spacing w:after="0"/>
              <w:rPr>
                <w:sz w:val="20"/>
                <w:szCs w:val="20"/>
                <w:color w:val="auto"/>
              </w:rPr>
            </w:pPr>
            <w:r>
              <w:rPr>
                <w:rFonts w:ascii="Arial" w:cs="Arial" w:eastAsia="Arial" w:hAnsi="Arial"/>
                <w:sz w:val="18"/>
                <w:szCs w:val="18"/>
                <w:color w:val="060606"/>
              </w:rPr>
              <w:t>Research and development</w:t>
            </w:r>
          </w:p>
        </w:tc>
        <w:tc>
          <w:tcPr>
            <w:tcW w:w="680" w:type="dxa"/>
            <w:vAlign w:val="bottom"/>
          </w:tcPr>
          <w:p>
            <w:pPr>
              <w:jc w:val="right"/>
              <w:spacing w:after="0"/>
              <w:rPr>
                <w:sz w:val="20"/>
                <w:szCs w:val="20"/>
                <w:color w:val="auto"/>
              </w:rPr>
            </w:pPr>
            <w:r>
              <w:rPr>
                <w:rFonts w:ascii="Arial" w:cs="Arial" w:eastAsia="Arial" w:hAnsi="Arial"/>
                <w:sz w:val="18"/>
                <w:szCs w:val="18"/>
                <w:color w:val="060606"/>
              </w:rPr>
              <w:t>47.7</w:t>
            </w:r>
          </w:p>
        </w:tc>
        <w:tc>
          <w:tcPr>
            <w:tcW w:w="10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060606"/>
              </w:rPr>
              <w:t>48.6</w:t>
            </w:r>
          </w:p>
        </w:tc>
      </w:tr>
      <w:tr>
        <w:trPr>
          <w:trHeight w:val="239"/>
        </w:trPr>
        <w:tc>
          <w:tcPr>
            <w:tcW w:w="7360" w:type="dxa"/>
            <w:vAlign w:val="bottom"/>
          </w:tcPr>
          <w:p>
            <w:pPr>
              <w:ind w:left="120"/>
              <w:spacing w:after="0"/>
              <w:rPr>
                <w:sz w:val="20"/>
                <w:szCs w:val="20"/>
                <w:color w:val="auto"/>
              </w:rPr>
            </w:pPr>
            <w:r>
              <w:rPr>
                <w:rFonts w:ascii="Arial" w:cs="Arial" w:eastAsia="Arial" w:hAnsi="Arial"/>
                <w:sz w:val="18"/>
                <w:szCs w:val="18"/>
                <w:color w:val="060606"/>
              </w:rPr>
              <w:t>Other operating expense</w:t>
            </w:r>
          </w:p>
        </w:tc>
        <w:tc>
          <w:tcPr>
            <w:tcW w:w="12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60606"/>
              </w:rPr>
              <w:t>34.0</w:t>
            </w:r>
          </w:p>
        </w:tc>
        <w:tc>
          <w:tcPr>
            <w:tcW w:w="100" w:type="dxa"/>
            <w:vAlign w:val="bottom"/>
          </w:tcPr>
          <w:p>
            <w:pPr>
              <w:spacing w:after="0"/>
              <w:rPr>
                <w:sz w:val="20"/>
                <w:szCs w:val="20"/>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60606"/>
              </w:rPr>
              <w:t>3.7</w:t>
            </w:r>
          </w:p>
        </w:tc>
      </w:tr>
      <w:tr>
        <w:trPr>
          <w:trHeight w:val="237"/>
        </w:trPr>
        <w:tc>
          <w:tcPr>
            <w:tcW w:w="7360" w:type="dxa"/>
            <w:vAlign w:val="bottom"/>
          </w:tcPr>
          <w:p>
            <w:pPr>
              <w:spacing w:after="0"/>
              <w:rPr>
                <w:sz w:val="20"/>
                <w:szCs w:val="20"/>
                <w:color w:val="auto"/>
              </w:rPr>
            </w:pPr>
            <w:r>
              <w:rPr>
                <w:rFonts w:ascii="Arial" w:cs="Arial" w:eastAsia="Arial" w:hAnsi="Arial"/>
                <w:sz w:val="18"/>
                <w:szCs w:val="18"/>
                <w:color w:val="auto"/>
              </w:rPr>
              <w:t>Operating income</w:t>
            </w:r>
          </w:p>
        </w:tc>
        <w:tc>
          <w:tcPr>
            <w:tcW w:w="12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60606"/>
              </w:rPr>
              <w:t>28.4</w:t>
            </w:r>
          </w:p>
        </w:tc>
        <w:tc>
          <w:tcPr>
            <w:tcW w:w="100" w:type="dxa"/>
            <w:vAlign w:val="bottom"/>
          </w:tcPr>
          <w:p>
            <w:pPr>
              <w:spacing w:after="0"/>
              <w:rPr>
                <w:sz w:val="20"/>
                <w:szCs w:val="20"/>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60606"/>
              </w:rPr>
              <w:t>54.0</w:t>
            </w:r>
          </w:p>
        </w:tc>
      </w:tr>
      <w:tr>
        <w:trPr>
          <w:trHeight w:val="241"/>
        </w:trPr>
        <w:tc>
          <w:tcPr>
            <w:tcW w:w="8560" w:type="dxa"/>
            <w:vAlign w:val="bottom"/>
            <w:gridSpan w:val="2"/>
          </w:tcPr>
          <w:p>
            <w:pPr>
              <w:spacing w:after="0"/>
              <w:rPr>
                <w:sz w:val="20"/>
                <w:szCs w:val="20"/>
                <w:color w:val="auto"/>
              </w:rPr>
            </w:pPr>
            <w:r>
              <w:rPr>
                <w:rFonts w:ascii="Arial" w:cs="Arial" w:eastAsia="Arial" w:hAnsi="Arial"/>
                <w:sz w:val="18"/>
                <w:szCs w:val="18"/>
                <w:color w:val="060606"/>
              </w:rPr>
              <w:t>SNIA environmental liability expense</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060606"/>
              </w:rPr>
              <w:t>—</w:t>
            </w:r>
          </w:p>
        </w:tc>
        <w:tc>
          <w:tcPr>
            <w:tcW w:w="1880" w:type="dxa"/>
            <w:vAlign w:val="bottom"/>
          </w:tcPr>
          <w:p>
            <w:pPr>
              <w:jc w:val="right"/>
              <w:spacing w:after="0"/>
              <w:rPr>
                <w:sz w:val="20"/>
                <w:szCs w:val="20"/>
                <w:color w:val="auto"/>
              </w:rPr>
            </w:pPr>
            <w:r>
              <w:rPr>
                <w:rFonts w:ascii="Arial" w:cs="Arial" w:eastAsia="Arial" w:hAnsi="Arial"/>
                <w:sz w:val="18"/>
                <w:szCs w:val="18"/>
                <w:color w:val="060606"/>
              </w:rPr>
              <w:t>(1.7)</w:t>
            </w:r>
          </w:p>
        </w:tc>
      </w:tr>
      <w:tr>
        <w:trPr>
          <w:trHeight w:val="243"/>
        </w:trPr>
        <w:tc>
          <w:tcPr>
            <w:tcW w:w="8560" w:type="dxa"/>
            <w:vAlign w:val="bottom"/>
            <w:gridSpan w:val="2"/>
          </w:tcPr>
          <w:p>
            <w:pPr>
              <w:spacing w:after="0"/>
              <w:rPr>
                <w:sz w:val="20"/>
                <w:szCs w:val="20"/>
                <w:color w:val="auto"/>
              </w:rPr>
            </w:pPr>
            <w:r>
              <w:rPr>
                <w:rFonts w:ascii="Arial" w:cs="Arial" w:eastAsia="Arial" w:hAnsi="Arial"/>
                <w:sz w:val="18"/>
                <w:szCs w:val="18"/>
                <w:color w:val="060606"/>
              </w:rPr>
              <w:t>Interest expense</w:t>
            </w:r>
          </w:p>
        </w:tc>
        <w:tc>
          <w:tcPr>
            <w:tcW w:w="680" w:type="dxa"/>
            <w:vAlign w:val="bottom"/>
          </w:tcPr>
          <w:p>
            <w:pPr>
              <w:jc w:val="right"/>
              <w:spacing w:after="0"/>
              <w:rPr>
                <w:sz w:val="20"/>
                <w:szCs w:val="20"/>
                <w:color w:val="auto"/>
              </w:rPr>
            </w:pPr>
            <w:r>
              <w:rPr>
                <w:rFonts w:ascii="Arial" w:cs="Arial" w:eastAsia="Arial" w:hAnsi="Arial"/>
                <w:sz w:val="18"/>
                <w:szCs w:val="18"/>
                <w:color w:val="060606"/>
              </w:rPr>
              <w:t>(8.0)</w:t>
            </w:r>
          </w:p>
        </w:tc>
        <w:tc>
          <w:tcPr>
            <w:tcW w:w="10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060606"/>
              </w:rPr>
              <w:t>(10.9)</w:t>
            </w:r>
          </w:p>
        </w:tc>
      </w:tr>
      <w:tr>
        <w:trPr>
          <w:trHeight w:val="239"/>
        </w:trPr>
        <w:tc>
          <w:tcPr>
            <w:tcW w:w="7360" w:type="dxa"/>
            <w:vAlign w:val="bottom"/>
          </w:tcPr>
          <w:p>
            <w:pPr>
              <w:spacing w:after="0"/>
              <w:rPr>
                <w:sz w:val="20"/>
                <w:szCs w:val="20"/>
                <w:color w:val="auto"/>
              </w:rPr>
            </w:pPr>
            <w:r>
              <w:rPr>
                <w:rFonts w:ascii="Arial" w:cs="Arial" w:eastAsia="Arial" w:hAnsi="Arial"/>
                <w:sz w:val="18"/>
                <w:szCs w:val="18"/>
                <w:color w:val="060606"/>
              </w:rPr>
              <w:t>Foreign exchange and other income/(expense)</w:t>
            </w:r>
          </w:p>
        </w:tc>
        <w:tc>
          <w:tcPr>
            <w:tcW w:w="12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60606"/>
              </w:rPr>
              <w:t>26.3</w:t>
            </w:r>
          </w:p>
        </w:tc>
        <w:tc>
          <w:tcPr>
            <w:tcW w:w="100" w:type="dxa"/>
            <w:vAlign w:val="bottom"/>
          </w:tcPr>
          <w:p>
            <w:pPr>
              <w:spacing w:after="0"/>
              <w:rPr>
                <w:sz w:val="20"/>
                <w:szCs w:val="20"/>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60606"/>
              </w:rPr>
              <w:t>(7.5)</w:t>
            </w:r>
          </w:p>
        </w:tc>
      </w:tr>
      <w:tr>
        <w:trPr>
          <w:trHeight w:val="237"/>
        </w:trPr>
        <w:tc>
          <w:tcPr>
            <w:tcW w:w="7360" w:type="dxa"/>
            <w:vAlign w:val="bottom"/>
          </w:tcPr>
          <w:p>
            <w:pPr>
              <w:spacing w:after="0"/>
              <w:rPr>
                <w:sz w:val="20"/>
                <w:szCs w:val="20"/>
                <w:color w:val="auto"/>
              </w:rPr>
            </w:pPr>
            <w:r>
              <w:rPr>
                <w:rFonts w:ascii="Arial" w:cs="Arial" w:eastAsia="Arial" w:hAnsi="Arial"/>
                <w:sz w:val="18"/>
                <w:szCs w:val="18"/>
                <w:color w:val="auto"/>
              </w:rPr>
              <w:t>Income before income tax</w:t>
            </w:r>
          </w:p>
        </w:tc>
        <w:tc>
          <w:tcPr>
            <w:tcW w:w="12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60606"/>
              </w:rPr>
              <w:t>46.8</w:t>
            </w:r>
          </w:p>
        </w:tc>
        <w:tc>
          <w:tcPr>
            <w:tcW w:w="100" w:type="dxa"/>
            <w:vAlign w:val="bottom"/>
          </w:tcPr>
          <w:p>
            <w:pPr>
              <w:spacing w:after="0"/>
              <w:rPr>
                <w:sz w:val="20"/>
                <w:szCs w:val="20"/>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60606"/>
              </w:rPr>
              <w:t>33.9</w:t>
            </w:r>
          </w:p>
        </w:tc>
      </w:tr>
      <w:tr>
        <w:trPr>
          <w:trHeight w:val="240"/>
        </w:trPr>
        <w:tc>
          <w:tcPr>
            <w:tcW w:w="8560" w:type="dxa"/>
            <w:vAlign w:val="bottom"/>
            <w:gridSpan w:val="2"/>
          </w:tcPr>
          <w:p>
            <w:pPr>
              <w:spacing w:after="0"/>
              <w:rPr>
                <w:sz w:val="20"/>
                <w:szCs w:val="20"/>
                <w:color w:val="auto"/>
              </w:rPr>
            </w:pPr>
            <w:r>
              <w:rPr>
                <w:rFonts w:ascii="Arial" w:cs="Arial" w:eastAsia="Arial" w:hAnsi="Arial"/>
                <w:sz w:val="18"/>
                <w:szCs w:val="18"/>
                <w:color w:val="060606"/>
              </w:rPr>
              <w:t>Income tax expense</w:t>
            </w:r>
          </w:p>
        </w:tc>
        <w:tc>
          <w:tcPr>
            <w:tcW w:w="680" w:type="dxa"/>
            <w:vAlign w:val="bottom"/>
          </w:tcPr>
          <w:p>
            <w:pPr>
              <w:jc w:val="right"/>
              <w:spacing w:after="0"/>
              <w:rPr>
                <w:sz w:val="20"/>
                <w:szCs w:val="20"/>
                <w:color w:val="auto"/>
              </w:rPr>
            </w:pPr>
            <w:r>
              <w:rPr>
                <w:rFonts w:ascii="Arial" w:cs="Arial" w:eastAsia="Arial" w:hAnsi="Arial"/>
                <w:sz w:val="18"/>
                <w:szCs w:val="18"/>
                <w:color w:val="060606"/>
              </w:rPr>
              <w:t>12.4</w:t>
            </w:r>
          </w:p>
        </w:tc>
        <w:tc>
          <w:tcPr>
            <w:tcW w:w="10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060606"/>
              </w:rPr>
              <w:t>7.1</w:t>
            </w:r>
          </w:p>
        </w:tc>
      </w:tr>
      <w:tr>
        <w:trPr>
          <w:trHeight w:val="239"/>
        </w:trPr>
        <w:tc>
          <w:tcPr>
            <w:tcW w:w="7360" w:type="dxa"/>
            <w:vAlign w:val="bottom"/>
          </w:tcPr>
          <w:p>
            <w:pPr>
              <w:spacing w:after="0"/>
              <w:rPr>
                <w:sz w:val="20"/>
                <w:szCs w:val="20"/>
                <w:color w:val="auto"/>
              </w:rPr>
            </w:pPr>
            <w:r>
              <w:rPr>
                <w:rFonts w:ascii="Arial" w:cs="Arial" w:eastAsia="Arial" w:hAnsi="Arial"/>
                <w:sz w:val="18"/>
                <w:szCs w:val="18"/>
                <w:color w:val="060606"/>
              </w:rPr>
              <w:t>Loss from equity method investments</w:t>
            </w:r>
          </w:p>
        </w:tc>
        <w:tc>
          <w:tcPr>
            <w:tcW w:w="12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60606"/>
              </w:rPr>
              <w:t>(0.1)</w:t>
            </w:r>
          </w:p>
        </w:tc>
        <w:tc>
          <w:tcPr>
            <w:tcW w:w="100" w:type="dxa"/>
            <w:vAlign w:val="bottom"/>
          </w:tcPr>
          <w:p>
            <w:pPr>
              <w:spacing w:after="0"/>
              <w:rPr>
                <w:sz w:val="20"/>
                <w:szCs w:val="20"/>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60606"/>
              </w:rPr>
              <w:t>—</w:t>
            </w:r>
          </w:p>
        </w:tc>
      </w:tr>
      <w:tr>
        <w:trPr>
          <w:trHeight w:val="237"/>
        </w:trPr>
        <w:tc>
          <w:tcPr>
            <w:tcW w:w="8560" w:type="dxa"/>
            <w:vAlign w:val="bottom"/>
            <w:gridSpan w:val="2"/>
          </w:tcPr>
          <w:p>
            <w:pPr>
              <w:spacing w:after="0"/>
              <w:rPr>
                <w:sz w:val="20"/>
                <w:szCs w:val="20"/>
                <w:color w:val="auto"/>
              </w:rPr>
            </w:pPr>
            <w:r>
              <w:rPr>
                <w:rFonts w:ascii="Arial" w:cs="Arial" w:eastAsia="Arial" w:hAnsi="Arial"/>
                <w:sz w:val="18"/>
                <w:szCs w:val="18"/>
                <w:color w:val="060606"/>
              </w:rPr>
              <w:t>Net income</w:t>
            </w:r>
          </w:p>
        </w:tc>
        <w:tc>
          <w:tcPr>
            <w:tcW w:w="680" w:type="dxa"/>
            <w:vAlign w:val="bottom"/>
          </w:tcPr>
          <w:p>
            <w:pPr>
              <w:jc w:val="right"/>
              <w:spacing w:after="0"/>
              <w:rPr>
                <w:sz w:val="20"/>
                <w:szCs w:val="20"/>
                <w:color w:val="auto"/>
              </w:rPr>
            </w:pPr>
            <w:r>
              <w:rPr>
                <w:rFonts w:ascii="Arial" w:cs="Arial" w:eastAsia="Arial" w:hAnsi="Arial"/>
                <w:sz w:val="18"/>
                <w:szCs w:val="18"/>
                <w:color w:val="060606"/>
              </w:rPr>
              <w:t>$34.3</w:t>
            </w:r>
          </w:p>
        </w:tc>
        <w:tc>
          <w:tcPr>
            <w:tcW w:w="10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060606"/>
              </w:rPr>
              <w:t>$26.8</w:t>
            </w:r>
          </w:p>
        </w:tc>
      </w:tr>
      <w:tr>
        <w:trPr>
          <w:trHeight w:val="20"/>
        </w:trPr>
        <w:tc>
          <w:tcPr>
            <w:tcW w:w="736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r>
      <w:tr>
        <w:trPr>
          <w:trHeight w:val="488"/>
        </w:trPr>
        <w:tc>
          <w:tcPr>
            <w:tcW w:w="8560" w:type="dxa"/>
            <w:vAlign w:val="bottom"/>
            <w:gridSpan w:val="2"/>
          </w:tcPr>
          <w:p>
            <w:pPr>
              <w:spacing w:after="0"/>
              <w:rPr>
                <w:sz w:val="20"/>
                <w:szCs w:val="20"/>
                <w:color w:val="auto"/>
              </w:rPr>
            </w:pPr>
            <w:r>
              <w:rPr>
                <w:rFonts w:ascii="Arial" w:cs="Arial" w:eastAsia="Arial" w:hAnsi="Arial"/>
                <w:sz w:val="18"/>
                <w:szCs w:val="18"/>
                <w:color w:val="060606"/>
              </w:rPr>
              <w:t xml:space="preserve">Earnings per share: </w:t>
            </w:r>
            <w:r>
              <w:rPr>
                <w:rFonts w:ascii="Arial" w:cs="Arial" w:eastAsia="Arial" w:hAnsi="Arial"/>
                <w:sz w:val="23"/>
                <w:szCs w:val="23"/>
                <w:color w:val="060606"/>
                <w:vertAlign w:val="superscript"/>
              </w:rPr>
              <w:t>(1)</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239"/>
        </w:trPr>
        <w:tc>
          <w:tcPr>
            <w:tcW w:w="8560" w:type="dxa"/>
            <w:vAlign w:val="bottom"/>
            <w:gridSpan w:val="2"/>
          </w:tcPr>
          <w:p>
            <w:pPr>
              <w:ind w:left="120"/>
              <w:spacing w:after="0"/>
              <w:rPr>
                <w:sz w:val="20"/>
                <w:szCs w:val="20"/>
                <w:color w:val="auto"/>
              </w:rPr>
            </w:pPr>
            <w:r>
              <w:rPr>
                <w:rFonts w:ascii="Arial" w:cs="Arial" w:eastAsia="Arial" w:hAnsi="Arial"/>
                <w:sz w:val="18"/>
                <w:szCs w:val="18"/>
                <w:color w:val="060606"/>
              </w:rPr>
              <w:t>Basic</w:t>
            </w:r>
          </w:p>
        </w:tc>
        <w:tc>
          <w:tcPr>
            <w:tcW w:w="680" w:type="dxa"/>
            <w:vAlign w:val="bottom"/>
          </w:tcPr>
          <w:p>
            <w:pPr>
              <w:jc w:val="right"/>
              <w:spacing w:after="0"/>
              <w:rPr>
                <w:sz w:val="20"/>
                <w:szCs w:val="20"/>
                <w:color w:val="auto"/>
              </w:rPr>
            </w:pPr>
            <w:r>
              <w:rPr>
                <w:rFonts w:ascii="Arial" w:cs="Arial" w:eastAsia="Arial" w:hAnsi="Arial"/>
                <w:sz w:val="18"/>
                <w:szCs w:val="18"/>
                <w:color w:val="060606"/>
              </w:rPr>
              <w:t>$0.62</w:t>
            </w:r>
          </w:p>
        </w:tc>
        <w:tc>
          <w:tcPr>
            <w:tcW w:w="10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060606"/>
              </w:rPr>
              <w:t>$0.49</w:t>
            </w:r>
          </w:p>
        </w:tc>
      </w:tr>
      <w:tr>
        <w:trPr>
          <w:trHeight w:val="243"/>
        </w:trPr>
        <w:tc>
          <w:tcPr>
            <w:tcW w:w="8560" w:type="dxa"/>
            <w:vAlign w:val="bottom"/>
            <w:gridSpan w:val="2"/>
          </w:tcPr>
          <w:p>
            <w:pPr>
              <w:ind w:left="120"/>
              <w:spacing w:after="0"/>
              <w:rPr>
                <w:sz w:val="20"/>
                <w:szCs w:val="20"/>
                <w:color w:val="auto"/>
              </w:rPr>
            </w:pPr>
            <w:r>
              <w:rPr>
                <w:rFonts w:ascii="Arial" w:cs="Arial" w:eastAsia="Arial" w:hAnsi="Arial"/>
                <w:sz w:val="18"/>
                <w:szCs w:val="18"/>
                <w:color w:val="060606"/>
              </w:rPr>
              <w:t>Diluted</w:t>
            </w:r>
          </w:p>
        </w:tc>
        <w:tc>
          <w:tcPr>
            <w:tcW w:w="680" w:type="dxa"/>
            <w:vAlign w:val="bottom"/>
          </w:tcPr>
          <w:p>
            <w:pPr>
              <w:jc w:val="right"/>
              <w:spacing w:after="0"/>
              <w:rPr>
                <w:sz w:val="20"/>
                <w:szCs w:val="20"/>
                <w:color w:val="auto"/>
              </w:rPr>
            </w:pPr>
            <w:r>
              <w:rPr>
                <w:rFonts w:ascii="Arial" w:cs="Arial" w:eastAsia="Arial" w:hAnsi="Arial"/>
                <w:sz w:val="18"/>
                <w:szCs w:val="18"/>
                <w:color w:val="060606"/>
              </w:rPr>
              <w:t>$0.11</w:t>
            </w:r>
          </w:p>
        </w:tc>
        <w:tc>
          <w:tcPr>
            <w:tcW w:w="10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060606"/>
              </w:rPr>
              <w:t>$0.49</w:t>
            </w:r>
          </w:p>
        </w:tc>
      </w:tr>
      <w:tr>
        <w:trPr>
          <w:trHeight w:val="459"/>
        </w:trPr>
        <w:tc>
          <w:tcPr>
            <w:tcW w:w="8560" w:type="dxa"/>
            <w:vAlign w:val="bottom"/>
            <w:gridSpan w:val="2"/>
          </w:tcPr>
          <w:p>
            <w:pPr>
              <w:spacing w:after="0"/>
              <w:rPr>
                <w:sz w:val="20"/>
                <w:szCs w:val="20"/>
                <w:color w:val="auto"/>
              </w:rPr>
            </w:pPr>
            <w:r>
              <w:rPr>
                <w:rFonts w:ascii="Arial" w:cs="Arial" w:eastAsia="Arial" w:hAnsi="Arial"/>
                <w:sz w:val="18"/>
                <w:szCs w:val="18"/>
                <w:color w:val="060606"/>
              </w:rPr>
              <w:t>Weighted average shares outstanding:</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243"/>
        </w:trPr>
        <w:tc>
          <w:tcPr>
            <w:tcW w:w="8560" w:type="dxa"/>
            <w:vAlign w:val="bottom"/>
            <w:gridSpan w:val="2"/>
          </w:tcPr>
          <w:p>
            <w:pPr>
              <w:ind w:left="120"/>
              <w:spacing w:after="0"/>
              <w:rPr>
                <w:sz w:val="20"/>
                <w:szCs w:val="20"/>
                <w:color w:val="auto"/>
              </w:rPr>
            </w:pPr>
            <w:r>
              <w:rPr>
                <w:rFonts w:ascii="Arial" w:cs="Arial" w:eastAsia="Arial" w:hAnsi="Arial"/>
                <w:sz w:val="18"/>
                <w:szCs w:val="18"/>
                <w:color w:val="060606"/>
              </w:rPr>
              <w:t>Basic</w:t>
            </w:r>
          </w:p>
        </w:tc>
        <w:tc>
          <w:tcPr>
            <w:tcW w:w="680" w:type="dxa"/>
            <w:vAlign w:val="bottom"/>
          </w:tcPr>
          <w:p>
            <w:pPr>
              <w:jc w:val="right"/>
              <w:spacing w:after="0"/>
              <w:rPr>
                <w:sz w:val="20"/>
                <w:szCs w:val="20"/>
                <w:color w:val="auto"/>
              </w:rPr>
            </w:pPr>
            <w:r>
              <w:rPr>
                <w:rFonts w:ascii="Arial" w:cs="Arial" w:eastAsia="Arial" w:hAnsi="Arial"/>
                <w:sz w:val="18"/>
                <w:szCs w:val="18"/>
                <w:color w:val="060606"/>
              </w:rPr>
              <w:t>55.1</w:t>
            </w:r>
          </w:p>
        </w:tc>
        <w:tc>
          <w:tcPr>
            <w:tcW w:w="10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060606"/>
              </w:rPr>
              <w:t>54.6</w:t>
            </w:r>
          </w:p>
        </w:tc>
      </w:tr>
      <w:tr>
        <w:trPr>
          <w:trHeight w:val="243"/>
        </w:trPr>
        <w:tc>
          <w:tcPr>
            <w:tcW w:w="8560" w:type="dxa"/>
            <w:vAlign w:val="bottom"/>
            <w:gridSpan w:val="2"/>
          </w:tcPr>
          <w:p>
            <w:pPr>
              <w:ind w:left="120"/>
              <w:spacing w:after="0"/>
              <w:rPr>
                <w:sz w:val="20"/>
                <w:szCs w:val="20"/>
                <w:color w:val="auto"/>
              </w:rPr>
            </w:pPr>
            <w:r>
              <w:rPr>
                <w:rFonts w:ascii="Arial" w:cs="Arial" w:eastAsia="Arial" w:hAnsi="Arial"/>
                <w:sz w:val="18"/>
                <w:szCs w:val="18"/>
                <w:color w:val="060606"/>
              </w:rPr>
              <w:t>Diluted</w:t>
            </w:r>
          </w:p>
        </w:tc>
        <w:tc>
          <w:tcPr>
            <w:tcW w:w="680" w:type="dxa"/>
            <w:vAlign w:val="bottom"/>
          </w:tcPr>
          <w:p>
            <w:pPr>
              <w:jc w:val="right"/>
              <w:spacing w:after="0"/>
              <w:rPr>
                <w:sz w:val="20"/>
                <w:szCs w:val="20"/>
                <w:color w:val="auto"/>
              </w:rPr>
            </w:pPr>
            <w:r>
              <w:rPr>
                <w:rFonts w:ascii="Arial" w:cs="Arial" w:eastAsia="Arial" w:hAnsi="Arial"/>
                <w:sz w:val="18"/>
                <w:szCs w:val="18"/>
                <w:color w:val="060606"/>
              </w:rPr>
              <w:t>57.4</w:t>
            </w:r>
          </w:p>
        </w:tc>
        <w:tc>
          <w:tcPr>
            <w:tcW w:w="10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060606"/>
              </w:rPr>
              <w:t>55.2</w:t>
            </w:r>
          </w:p>
        </w:tc>
      </w:tr>
    </w:tbl>
    <w:p>
      <w:pPr>
        <w:spacing w:after="0" w:line="50" w:lineRule="exact"/>
        <w:rPr>
          <w:sz w:val="20"/>
          <w:szCs w:val="20"/>
          <w:color w:val="auto"/>
        </w:rPr>
      </w:pPr>
    </w:p>
    <w:p>
      <w:pPr>
        <w:ind w:left="320" w:hanging="312"/>
        <w:spacing w:after="0"/>
        <w:tabs>
          <w:tab w:leader="none" w:pos="320" w:val="left"/>
        </w:tabs>
        <w:numPr>
          <w:ilvl w:val="0"/>
          <w:numId w:val="11"/>
        </w:numPr>
        <w:rPr>
          <w:rFonts w:ascii="Arial" w:cs="Arial" w:eastAsia="Arial" w:hAnsi="Arial"/>
          <w:sz w:val="21"/>
          <w:szCs w:val="21"/>
          <w:color w:val="060606"/>
          <w:vertAlign w:val="superscript"/>
        </w:rPr>
      </w:pPr>
      <w:r>
        <w:rPr>
          <w:rFonts w:ascii="Arial" w:cs="Arial" w:eastAsia="Arial" w:hAnsi="Arial"/>
          <w:sz w:val="16"/>
          <w:szCs w:val="16"/>
          <w:color w:val="060606"/>
        </w:rPr>
        <w:t>For additional details, refer to the computation of basic and diluted earnings (loss) per share further in this news release.</w:t>
      </w:r>
    </w:p>
    <w:p>
      <w:pPr>
        <w:spacing w:after="0" w:line="3" w:lineRule="exact"/>
        <w:rPr>
          <w:rFonts w:ascii="Arial" w:cs="Arial" w:eastAsia="Arial" w:hAnsi="Arial"/>
          <w:sz w:val="21"/>
          <w:szCs w:val="21"/>
          <w:color w:val="060606"/>
          <w:vertAlign w:val="superscript"/>
        </w:rPr>
      </w:pPr>
    </w:p>
    <w:p>
      <w:pPr>
        <w:spacing w:after="0"/>
        <w:rPr>
          <w:rFonts w:ascii="Arial" w:cs="Arial" w:eastAsia="Arial" w:hAnsi="Arial"/>
          <w:sz w:val="21"/>
          <w:szCs w:val="21"/>
          <w:color w:val="060606"/>
          <w:vertAlign w:val="superscript"/>
        </w:rPr>
      </w:pPr>
      <w:r>
        <w:rPr>
          <w:rFonts w:ascii="Arial" w:cs="Arial" w:eastAsia="Arial" w:hAnsi="Arial"/>
          <w:sz w:val="16"/>
          <w:szCs w:val="16"/>
          <w:color w:val="060606"/>
        </w:rPr>
        <w:t>•   Numbers may not add precisely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22"/>
          <w:szCs w:val="22"/>
          <w:color w:val="060606"/>
        </w:rPr>
        <w:t>10</w:t>
      </w:r>
    </w:p>
    <w:p>
      <w:pPr>
        <w:sectPr>
          <w:pgSz w:w="11900" w:h="16838" w:orient="portrait"/>
          <w:cols w:equalWidth="0" w:num="1">
            <w:col w:w="11240"/>
          </w:cols>
          <w:pgMar w:left="320" w:top="1440" w:right="339" w:bottom="1440" w:gutter="0" w:footer="0" w:header="0"/>
        </w:sectPr>
      </w:pPr>
    </w:p>
    <w:bookmarkStart w:id="13" w:name="page14"/>
    <w:bookmarkEnd w:id="13"/>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400" w:type="dxa"/>
            <w:vAlign w:val="bottom"/>
            <w:gridSpan w:val="7"/>
          </w:tcPr>
          <w:p>
            <w:pPr>
              <w:spacing w:after="0"/>
              <w:rPr>
                <w:sz w:val="20"/>
                <w:szCs w:val="20"/>
                <w:color w:val="auto"/>
              </w:rPr>
            </w:pPr>
            <w:r>
              <w:rPr>
                <w:rFonts w:ascii="Arial" w:cs="Arial" w:eastAsia="Arial" w:hAnsi="Arial"/>
                <w:sz w:val="18"/>
                <w:szCs w:val="18"/>
                <w:color w:val="060606"/>
              </w:rPr>
              <w:t>Adjusted Financial Measures (in millions, except for per share amounts) - Unaudited</w:t>
            </w:r>
          </w:p>
        </w:tc>
        <w:tc>
          <w:tcPr>
            <w:tcW w:w="1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36"/>
        </w:trPr>
        <w:tc>
          <w:tcPr>
            <w:tcW w:w="32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40" w:type="dxa"/>
            <w:vAlign w:val="bottom"/>
            <w:gridSpan w:val="6"/>
          </w:tcPr>
          <w:p>
            <w:pPr>
              <w:jc w:val="center"/>
              <w:spacing w:after="0"/>
              <w:rPr>
                <w:sz w:val="20"/>
                <w:szCs w:val="20"/>
                <w:color w:val="auto"/>
              </w:rPr>
            </w:pPr>
            <w:r>
              <w:rPr>
                <w:rFonts w:ascii="Arial" w:cs="Arial" w:eastAsia="Arial" w:hAnsi="Arial"/>
                <w:sz w:val="18"/>
                <w:szCs w:val="18"/>
                <w:color w:val="060606"/>
                <w:w w:val="99"/>
              </w:rPr>
              <w:t>Three Months Ended</w:t>
            </w:r>
          </w:p>
        </w:tc>
      </w:tr>
      <w:tr>
        <w:trPr>
          <w:trHeight w:val="235"/>
        </w:trPr>
        <w:tc>
          <w:tcPr>
            <w:tcW w:w="32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0" w:type="dxa"/>
            <w:vAlign w:val="bottom"/>
            <w:tcBorders>
              <w:bottom w:val="single" w:sz="8" w:color="auto"/>
            </w:tcBorders>
            <w:gridSpan w:val="5"/>
          </w:tcPr>
          <w:p>
            <w:pPr>
              <w:jc w:val="center"/>
              <w:ind w:left="1130"/>
              <w:spacing w:after="0"/>
              <w:rPr>
                <w:sz w:val="20"/>
                <w:szCs w:val="20"/>
                <w:color w:val="auto"/>
              </w:rPr>
            </w:pPr>
            <w:r>
              <w:rPr>
                <w:rFonts w:ascii="Arial" w:cs="Arial" w:eastAsia="Arial" w:hAnsi="Arial"/>
                <w:sz w:val="18"/>
                <w:szCs w:val="18"/>
                <w:color w:val="060606"/>
                <w:w w:val="99"/>
              </w:rPr>
              <w:t>September 30,</w:t>
            </w:r>
          </w:p>
        </w:tc>
        <w:tc>
          <w:tcPr>
            <w:tcW w:w="1240" w:type="dxa"/>
            <w:vAlign w:val="bottom"/>
            <w:tcBorders>
              <w:bottom w:val="single" w:sz="8" w:color="auto"/>
            </w:tcBorders>
          </w:tcPr>
          <w:p>
            <w:pPr>
              <w:spacing w:after="0"/>
              <w:rPr>
                <w:sz w:val="20"/>
                <w:szCs w:val="20"/>
                <w:color w:val="auto"/>
              </w:rPr>
            </w:pPr>
          </w:p>
        </w:tc>
      </w:tr>
      <w:tr>
        <w:trPr>
          <w:trHeight w:val="237"/>
        </w:trPr>
        <w:tc>
          <w:tcPr>
            <w:tcW w:w="32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060606"/>
              </w:rPr>
              <w:t>2026</w:t>
            </w:r>
          </w:p>
        </w:tc>
        <w:tc>
          <w:tcPr>
            <w:tcW w:w="4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060606"/>
              </w:rPr>
              <w:t>2025</w:t>
            </w:r>
          </w:p>
        </w:tc>
      </w:tr>
      <w:tr>
        <w:trPr>
          <w:trHeight w:val="241"/>
        </w:trPr>
        <w:tc>
          <w:tcPr>
            <w:tcW w:w="3280" w:type="dxa"/>
            <w:vAlign w:val="bottom"/>
          </w:tcPr>
          <w:p>
            <w:pPr>
              <w:ind w:left="20"/>
              <w:spacing w:after="0"/>
              <w:rPr>
                <w:sz w:val="20"/>
                <w:szCs w:val="20"/>
                <w:color w:val="auto"/>
              </w:rPr>
            </w:pPr>
            <w:r>
              <w:rPr>
                <w:rFonts w:ascii="Arial" w:cs="Arial" w:eastAsia="Arial" w:hAnsi="Arial"/>
                <w:sz w:val="18"/>
                <w:szCs w:val="18"/>
                <w:color w:val="060606"/>
              </w:rPr>
              <w:t>Adjusted SG&amp;A</w:t>
            </w: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060606"/>
              </w:rPr>
              <w:t>$135.7</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060606"/>
              </w:rPr>
              <w:t>$122.8</w:t>
            </w:r>
          </w:p>
        </w:tc>
      </w:tr>
      <w:tr>
        <w:trPr>
          <w:trHeight w:val="243"/>
        </w:trPr>
        <w:tc>
          <w:tcPr>
            <w:tcW w:w="3280" w:type="dxa"/>
            <w:vAlign w:val="bottom"/>
          </w:tcPr>
          <w:p>
            <w:pPr>
              <w:ind w:left="20"/>
              <w:spacing w:after="0"/>
              <w:rPr>
                <w:sz w:val="20"/>
                <w:szCs w:val="20"/>
                <w:color w:val="auto"/>
              </w:rPr>
            </w:pPr>
            <w:r>
              <w:rPr>
                <w:rFonts w:ascii="Arial" w:cs="Arial" w:eastAsia="Arial" w:hAnsi="Arial"/>
                <w:sz w:val="18"/>
                <w:szCs w:val="18"/>
                <w:color w:val="060606"/>
              </w:rPr>
              <w:t>Adjusted R&amp;D</w:t>
            </w:r>
          </w:p>
        </w:tc>
        <w:tc>
          <w:tcPr>
            <w:tcW w:w="1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060606"/>
              </w:rPr>
              <w:t>44.7</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060606"/>
              </w:rPr>
              <w:t>45.0</w:t>
            </w:r>
          </w:p>
        </w:tc>
      </w:tr>
      <w:tr>
        <w:trPr>
          <w:trHeight w:val="243"/>
        </w:trPr>
        <w:tc>
          <w:tcPr>
            <w:tcW w:w="3280" w:type="dxa"/>
            <w:vAlign w:val="bottom"/>
          </w:tcPr>
          <w:p>
            <w:pPr>
              <w:ind w:left="20"/>
              <w:spacing w:after="0"/>
              <w:rPr>
                <w:sz w:val="20"/>
                <w:szCs w:val="20"/>
                <w:color w:val="auto"/>
              </w:rPr>
            </w:pPr>
            <w:r>
              <w:rPr>
                <w:rFonts w:ascii="Arial" w:cs="Arial" w:eastAsia="Arial" w:hAnsi="Arial"/>
                <w:sz w:val="18"/>
                <w:szCs w:val="18"/>
                <w:color w:val="060606"/>
              </w:rPr>
              <w:t>Adjusted operating income</w:t>
            </w:r>
          </w:p>
        </w:tc>
        <w:tc>
          <w:tcPr>
            <w:tcW w:w="1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060606"/>
              </w:rPr>
              <w:t>92.3</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060606"/>
              </w:rPr>
              <w:t>80.4</w:t>
            </w:r>
          </w:p>
        </w:tc>
      </w:tr>
      <w:tr>
        <w:trPr>
          <w:trHeight w:val="243"/>
        </w:trPr>
        <w:tc>
          <w:tcPr>
            <w:tcW w:w="3280" w:type="dxa"/>
            <w:vAlign w:val="bottom"/>
          </w:tcPr>
          <w:p>
            <w:pPr>
              <w:ind w:left="20"/>
              <w:spacing w:after="0"/>
              <w:rPr>
                <w:sz w:val="20"/>
                <w:szCs w:val="20"/>
                <w:color w:val="auto"/>
              </w:rPr>
            </w:pPr>
            <w:r>
              <w:rPr>
                <w:rFonts w:ascii="Arial" w:cs="Arial" w:eastAsia="Arial" w:hAnsi="Arial"/>
                <w:sz w:val="18"/>
                <w:szCs w:val="18"/>
                <w:color w:val="060606"/>
              </w:rPr>
              <w:t>Adjusted net income</w:t>
            </w:r>
          </w:p>
        </w:tc>
        <w:tc>
          <w:tcPr>
            <w:tcW w:w="1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060606"/>
              </w:rPr>
              <w:t>70.7</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060606"/>
              </w:rPr>
              <w:t>61.4</w:t>
            </w:r>
          </w:p>
        </w:tc>
      </w:tr>
      <w:tr>
        <w:trPr>
          <w:trHeight w:val="243"/>
        </w:trPr>
        <w:tc>
          <w:tcPr>
            <w:tcW w:w="3280" w:type="dxa"/>
            <w:vAlign w:val="bottom"/>
          </w:tcPr>
          <w:p>
            <w:pPr>
              <w:ind w:left="20"/>
              <w:spacing w:after="0"/>
              <w:rPr>
                <w:sz w:val="20"/>
                <w:szCs w:val="20"/>
                <w:color w:val="auto"/>
              </w:rPr>
            </w:pPr>
            <w:r>
              <w:rPr>
                <w:rFonts w:ascii="Arial" w:cs="Arial" w:eastAsia="Arial" w:hAnsi="Arial"/>
                <w:sz w:val="18"/>
                <w:szCs w:val="18"/>
                <w:color w:val="060606"/>
              </w:rPr>
              <w:t>Adjusted diluted earnings per share</w:t>
            </w:r>
          </w:p>
        </w:tc>
        <w:tc>
          <w:tcPr>
            <w:tcW w:w="1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060606"/>
              </w:rPr>
              <w:t>$1.23</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060606"/>
              </w:rPr>
              <w:t>$1.11</w:t>
            </w:r>
          </w:p>
        </w:tc>
      </w:tr>
      <w:tr>
        <w:trPr>
          <w:trHeight w:val="581"/>
        </w:trPr>
        <w:tc>
          <w:tcPr>
            <w:tcW w:w="5940" w:type="dxa"/>
            <w:vAlign w:val="bottom"/>
            <w:gridSpan w:val="4"/>
          </w:tcPr>
          <w:p>
            <w:pPr>
              <w:spacing w:after="0"/>
              <w:rPr>
                <w:sz w:val="20"/>
                <w:szCs w:val="20"/>
                <w:color w:val="auto"/>
              </w:rPr>
            </w:pPr>
            <w:r>
              <w:rPr>
                <w:rFonts w:ascii="Arial" w:cs="Arial" w:eastAsia="Arial" w:hAnsi="Arial"/>
                <w:sz w:val="18"/>
                <w:szCs w:val="18"/>
                <w:color w:val="060606"/>
              </w:rPr>
              <w:t>Statistics (as a % of net revenue, except for income tax rate) - Unaudited</w:t>
            </w: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77"/>
        </w:trPr>
        <w:tc>
          <w:tcPr>
            <w:tcW w:w="3280" w:type="dxa"/>
            <w:vAlign w:val="bottom"/>
          </w:tcPr>
          <w:p>
            <w:pPr>
              <w:spacing w:after="0"/>
              <w:rPr>
                <w:sz w:val="24"/>
                <w:szCs w:val="24"/>
                <w:color w:val="auto"/>
              </w:rPr>
            </w:pPr>
          </w:p>
        </w:tc>
        <w:tc>
          <w:tcPr>
            <w:tcW w:w="4120" w:type="dxa"/>
            <w:vAlign w:val="bottom"/>
            <w:gridSpan w:val="6"/>
          </w:tcPr>
          <w:p>
            <w:pPr>
              <w:jc w:val="center"/>
              <w:ind w:right="220"/>
              <w:spacing w:after="0"/>
              <w:rPr>
                <w:sz w:val="20"/>
                <w:szCs w:val="20"/>
                <w:color w:val="auto"/>
              </w:rPr>
            </w:pPr>
            <w:r>
              <w:rPr>
                <w:rFonts w:ascii="Arial" w:cs="Arial" w:eastAsia="Arial" w:hAnsi="Arial"/>
                <w:sz w:val="18"/>
                <w:szCs w:val="18"/>
                <w:color w:val="060606"/>
                <w:w w:val="99"/>
              </w:rPr>
              <w:t>GAAP Three Months Ended</w:t>
            </w:r>
          </w:p>
        </w:tc>
        <w:tc>
          <w:tcPr>
            <w:tcW w:w="3840" w:type="dxa"/>
            <w:vAlign w:val="bottom"/>
            <w:gridSpan w:val="6"/>
          </w:tcPr>
          <w:p>
            <w:pPr>
              <w:jc w:val="center"/>
              <w:ind w:right="10"/>
              <w:spacing w:after="0"/>
              <w:rPr>
                <w:sz w:val="20"/>
                <w:szCs w:val="20"/>
                <w:color w:val="auto"/>
              </w:rPr>
            </w:pPr>
            <w:r>
              <w:rPr>
                <w:rFonts w:ascii="Arial" w:cs="Arial" w:eastAsia="Arial" w:hAnsi="Arial"/>
                <w:sz w:val="18"/>
                <w:szCs w:val="18"/>
                <w:color w:val="060606"/>
                <w:w w:val="99"/>
              </w:rPr>
              <w:t>Adjusted Three Months Ended</w:t>
            </w:r>
          </w:p>
        </w:tc>
      </w:tr>
      <w:tr>
        <w:trPr>
          <w:trHeight w:val="235"/>
        </w:trPr>
        <w:tc>
          <w:tcPr>
            <w:tcW w:w="3280" w:type="dxa"/>
            <w:vAlign w:val="bottom"/>
          </w:tcPr>
          <w:p>
            <w:pPr>
              <w:spacing w:after="0"/>
              <w:rPr>
                <w:sz w:val="20"/>
                <w:szCs w:val="20"/>
                <w:color w:val="auto"/>
              </w:rPr>
            </w:pPr>
          </w:p>
        </w:tc>
        <w:tc>
          <w:tcPr>
            <w:tcW w:w="2660" w:type="dxa"/>
            <w:vAlign w:val="bottom"/>
            <w:tcBorders>
              <w:bottom w:val="single" w:sz="8" w:color="auto"/>
            </w:tcBorders>
            <w:gridSpan w:val="3"/>
          </w:tcPr>
          <w:p>
            <w:pPr>
              <w:jc w:val="center"/>
              <w:ind w:left="1150"/>
              <w:spacing w:after="0"/>
              <w:rPr>
                <w:sz w:val="20"/>
                <w:szCs w:val="20"/>
                <w:color w:val="auto"/>
              </w:rPr>
            </w:pPr>
            <w:r>
              <w:rPr>
                <w:rFonts w:ascii="Arial" w:cs="Arial" w:eastAsia="Arial" w:hAnsi="Arial"/>
                <w:sz w:val="18"/>
                <w:szCs w:val="18"/>
                <w:color w:val="060606"/>
                <w:w w:val="99"/>
              </w:rPr>
              <w:t>September 30,</w:t>
            </w:r>
          </w:p>
        </w:tc>
        <w:tc>
          <w:tcPr>
            <w:tcW w:w="12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5"/>
          </w:tcPr>
          <w:p>
            <w:pPr>
              <w:jc w:val="center"/>
              <w:ind w:left="1050"/>
              <w:spacing w:after="0"/>
              <w:rPr>
                <w:sz w:val="20"/>
                <w:szCs w:val="20"/>
                <w:color w:val="auto"/>
              </w:rPr>
            </w:pPr>
            <w:r>
              <w:rPr>
                <w:rFonts w:ascii="Arial" w:cs="Arial" w:eastAsia="Arial" w:hAnsi="Arial"/>
                <w:sz w:val="18"/>
                <w:szCs w:val="18"/>
                <w:color w:val="060606"/>
                <w:w w:val="99"/>
              </w:rPr>
              <w:t>September 30,</w:t>
            </w:r>
          </w:p>
        </w:tc>
        <w:tc>
          <w:tcPr>
            <w:tcW w:w="1240" w:type="dxa"/>
            <w:vAlign w:val="bottom"/>
            <w:tcBorders>
              <w:bottom w:val="single" w:sz="8" w:color="auto"/>
            </w:tcBorders>
          </w:tcPr>
          <w:p>
            <w:pPr>
              <w:spacing w:after="0"/>
              <w:rPr>
                <w:sz w:val="20"/>
                <w:szCs w:val="20"/>
                <w:color w:val="auto"/>
              </w:rPr>
            </w:pPr>
          </w:p>
        </w:tc>
      </w:tr>
      <w:tr>
        <w:trPr>
          <w:trHeight w:val="237"/>
        </w:trPr>
        <w:tc>
          <w:tcPr>
            <w:tcW w:w="3280" w:type="dxa"/>
            <w:vAlign w:val="bottom"/>
          </w:tcPr>
          <w:p>
            <w:pPr>
              <w:spacing w:after="0"/>
              <w:rPr>
                <w:sz w:val="20"/>
                <w:szCs w:val="20"/>
                <w:color w:val="auto"/>
              </w:rPr>
            </w:pPr>
          </w:p>
        </w:tc>
        <w:tc>
          <w:tcPr>
            <w:tcW w:w="190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060606"/>
              </w:rPr>
              <w:t>2026</w:t>
            </w:r>
          </w:p>
        </w:tc>
        <w:tc>
          <w:tcPr>
            <w:tcW w:w="10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060606"/>
              </w:rPr>
              <w:t>2025</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060606"/>
              </w:rPr>
              <w:t>2026</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060606"/>
              </w:rPr>
              <w:t>2025</w:t>
            </w:r>
          </w:p>
        </w:tc>
      </w:tr>
      <w:tr>
        <w:trPr>
          <w:trHeight w:val="241"/>
        </w:trPr>
        <w:tc>
          <w:tcPr>
            <w:tcW w:w="3280" w:type="dxa"/>
            <w:vAlign w:val="bottom"/>
          </w:tcPr>
          <w:p>
            <w:pPr>
              <w:ind w:left="20"/>
              <w:spacing w:after="0"/>
              <w:rPr>
                <w:sz w:val="20"/>
                <w:szCs w:val="20"/>
                <w:color w:val="auto"/>
              </w:rPr>
            </w:pPr>
            <w:r>
              <w:rPr>
                <w:rFonts w:ascii="Arial" w:cs="Arial" w:eastAsia="Arial" w:hAnsi="Arial"/>
                <w:sz w:val="18"/>
                <w:szCs w:val="18"/>
                <w:color w:val="060606"/>
              </w:rPr>
              <w:t>Gross profit</w:t>
            </w:r>
          </w:p>
        </w:tc>
        <w:tc>
          <w:tcPr>
            <w:tcW w:w="1900" w:type="dxa"/>
            <w:vAlign w:val="bottom"/>
          </w:tcPr>
          <w:p>
            <w:pPr>
              <w:jc w:val="right"/>
              <w:spacing w:after="0"/>
              <w:rPr>
                <w:sz w:val="20"/>
                <w:szCs w:val="20"/>
                <w:color w:val="auto"/>
              </w:rPr>
            </w:pPr>
            <w:r>
              <w:rPr>
                <w:rFonts w:ascii="Arial" w:cs="Arial" w:eastAsia="Arial" w:hAnsi="Arial"/>
                <w:sz w:val="18"/>
                <w:szCs w:val="18"/>
                <w:color w:val="060606"/>
              </w:rPr>
              <w:t>67.4 %</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060606"/>
              </w:rPr>
              <w:t>68.4 %</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060606"/>
              </w:rPr>
              <w:t>69.3 %</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060606"/>
              </w:rPr>
              <w:t>69.4 %</w:t>
            </w:r>
          </w:p>
        </w:tc>
      </w:tr>
      <w:tr>
        <w:trPr>
          <w:trHeight w:val="243"/>
        </w:trPr>
        <w:tc>
          <w:tcPr>
            <w:tcW w:w="3280" w:type="dxa"/>
            <w:vAlign w:val="bottom"/>
          </w:tcPr>
          <w:p>
            <w:pPr>
              <w:ind w:left="20"/>
              <w:spacing w:after="0"/>
              <w:rPr>
                <w:sz w:val="20"/>
                <w:szCs w:val="20"/>
                <w:color w:val="auto"/>
              </w:rPr>
            </w:pPr>
            <w:r>
              <w:rPr>
                <w:rFonts w:ascii="Arial" w:cs="Arial" w:eastAsia="Arial" w:hAnsi="Arial"/>
                <w:sz w:val="18"/>
                <w:szCs w:val="18"/>
                <w:color w:val="060606"/>
              </w:rPr>
              <w:t>SG&amp;A</w:t>
            </w:r>
          </w:p>
        </w:tc>
        <w:tc>
          <w:tcPr>
            <w:tcW w:w="1900" w:type="dxa"/>
            <w:vAlign w:val="bottom"/>
          </w:tcPr>
          <w:p>
            <w:pPr>
              <w:jc w:val="right"/>
              <w:spacing w:after="0"/>
              <w:rPr>
                <w:sz w:val="20"/>
                <w:szCs w:val="20"/>
                <w:color w:val="auto"/>
              </w:rPr>
            </w:pPr>
            <w:r>
              <w:rPr>
                <w:rFonts w:ascii="Arial" w:cs="Arial" w:eastAsia="Arial" w:hAnsi="Arial"/>
                <w:sz w:val="18"/>
                <w:szCs w:val="18"/>
                <w:color w:val="060606"/>
              </w:rPr>
              <w:t>39.4 %</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060606"/>
              </w:rPr>
              <w:t>38.7 %</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060606"/>
              </w:rPr>
              <w:t>34.5 %</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060606"/>
              </w:rPr>
              <w:t>34.3 %</w:t>
            </w:r>
          </w:p>
        </w:tc>
      </w:tr>
      <w:tr>
        <w:trPr>
          <w:trHeight w:val="243"/>
        </w:trPr>
        <w:tc>
          <w:tcPr>
            <w:tcW w:w="3280" w:type="dxa"/>
            <w:vAlign w:val="bottom"/>
          </w:tcPr>
          <w:p>
            <w:pPr>
              <w:ind w:left="20"/>
              <w:spacing w:after="0"/>
              <w:rPr>
                <w:sz w:val="20"/>
                <w:szCs w:val="20"/>
                <w:color w:val="auto"/>
              </w:rPr>
            </w:pPr>
            <w:r>
              <w:rPr>
                <w:rFonts w:ascii="Arial" w:cs="Arial" w:eastAsia="Arial" w:hAnsi="Arial"/>
                <w:sz w:val="18"/>
                <w:szCs w:val="18"/>
                <w:color w:val="060606"/>
              </w:rPr>
              <w:t>R&amp;D</w:t>
            </w:r>
          </w:p>
        </w:tc>
        <w:tc>
          <w:tcPr>
            <w:tcW w:w="1900" w:type="dxa"/>
            <w:vAlign w:val="bottom"/>
          </w:tcPr>
          <w:p>
            <w:pPr>
              <w:jc w:val="right"/>
              <w:spacing w:after="0"/>
              <w:rPr>
                <w:sz w:val="20"/>
                <w:szCs w:val="20"/>
                <w:color w:val="auto"/>
              </w:rPr>
            </w:pPr>
            <w:r>
              <w:rPr>
                <w:rFonts w:ascii="Arial" w:cs="Arial" w:eastAsia="Arial" w:hAnsi="Arial"/>
                <w:sz w:val="18"/>
                <w:szCs w:val="18"/>
                <w:color w:val="060606"/>
              </w:rPr>
              <w:t>12.1 %</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060606"/>
              </w:rPr>
              <w:t>13.6 %</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060606"/>
              </w:rPr>
              <w:t>11.4 %</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060606"/>
              </w:rPr>
              <w:t>12.6 %</w:t>
            </w:r>
          </w:p>
        </w:tc>
      </w:tr>
      <w:tr>
        <w:trPr>
          <w:trHeight w:val="243"/>
        </w:trPr>
        <w:tc>
          <w:tcPr>
            <w:tcW w:w="328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1900" w:type="dxa"/>
            <w:vAlign w:val="bottom"/>
          </w:tcPr>
          <w:p>
            <w:pPr>
              <w:jc w:val="right"/>
              <w:spacing w:after="0"/>
              <w:rPr>
                <w:sz w:val="20"/>
                <w:szCs w:val="20"/>
                <w:color w:val="auto"/>
              </w:rPr>
            </w:pPr>
            <w:r>
              <w:rPr>
                <w:rFonts w:ascii="Arial" w:cs="Arial" w:eastAsia="Arial" w:hAnsi="Arial"/>
                <w:sz w:val="18"/>
                <w:szCs w:val="18"/>
                <w:color w:val="060606"/>
              </w:rPr>
              <w:t>7.2 %</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060606"/>
              </w:rPr>
              <w:t>15.1 %</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060606"/>
              </w:rPr>
              <w:t>23.5 %</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060606"/>
              </w:rPr>
              <w:t>22.5 %</w:t>
            </w:r>
          </w:p>
        </w:tc>
      </w:tr>
      <w:tr>
        <w:trPr>
          <w:trHeight w:val="243"/>
        </w:trPr>
        <w:tc>
          <w:tcPr>
            <w:tcW w:w="32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900" w:type="dxa"/>
            <w:vAlign w:val="bottom"/>
          </w:tcPr>
          <w:p>
            <w:pPr>
              <w:jc w:val="right"/>
              <w:spacing w:after="0"/>
              <w:rPr>
                <w:sz w:val="20"/>
                <w:szCs w:val="20"/>
                <w:color w:val="auto"/>
              </w:rPr>
            </w:pPr>
            <w:r>
              <w:rPr>
                <w:rFonts w:ascii="Arial" w:cs="Arial" w:eastAsia="Arial" w:hAnsi="Arial"/>
                <w:sz w:val="18"/>
                <w:szCs w:val="18"/>
                <w:color w:val="060606"/>
              </w:rPr>
              <w:t>8.7 %</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060606"/>
              </w:rPr>
              <w:t>7.5 %</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060606"/>
              </w:rPr>
              <w:t>18.0 %</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060606"/>
              </w:rPr>
              <w:t>17.2 %</w:t>
            </w:r>
          </w:p>
        </w:tc>
      </w:tr>
      <w:tr>
        <w:trPr>
          <w:trHeight w:val="243"/>
        </w:trPr>
        <w:tc>
          <w:tcPr>
            <w:tcW w:w="3280" w:type="dxa"/>
            <w:vAlign w:val="bottom"/>
          </w:tcPr>
          <w:p>
            <w:pPr>
              <w:ind w:left="20"/>
              <w:spacing w:after="0"/>
              <w:rPr>
                <w:sz w:val="20"/>
                <w:szCs w:val="20"/>
                <w:color w:val="auto"/>
              </w:rPr>
            </w:pPr>
            <w:r>
              <w:rPr>
                <w:rFonts w:ascii="Arial" w:cs="Arial" w:eastAsia="Arial" w:hAnsi="Arial"/>
                <w:sz w:val="18"/>
                <w:szCs w:val="18"/>
                <w:color w:val="060606"/>
              </w:rPr>
              <w:t>Income tax rate</w:t>
            </w:r>
          </w:p>
        </w:tc>
        <w:tc>
          <w:tcPr>
            <w:tcW w:w="1900" w:type="dxa"/>
            <w:vAlign w:val="bottom"/>
          </w:tcPr>
          <w:p>
            <w:pPr>
              <w:jc w:val="right"/>
              <w:spacing w:after="0"/>
              <w:rPr>
                <w:sz w:val="20"/>
                <w:szCs w:val="20"/>
                <w:color w:val="auto"/>
              </w:rPr>
            </w:pPr>
            <w:r>
              <w:rPr>
                <w:rFonts w:ascii="Arial" w:cs="Arial" w:eastAsia="Arial" w:hAnsi="Arial"/>
                <w:sz w:val="18"/>
                <w:szCs w:val="18"/>
                <w:color w:val="060606"/>
              </w:rPr>
              <w:t>26.5 %</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060606"/>
              </w:rPr>
              <w:t>21.0 %</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060606"/>
              </w:rPr>
              <w:t>23.3 %</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060606"/>
              </w:rPr>
              <w:t>22.1 %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22"/>
          <w:szCs w:val="22"/>
          <w:color w:val="060606"/>
        </w:rPr>
        <w:t>11</w:t>
      </w:r>
    </w:p>
    <w:p>
      <w:pPr>
        <w:sectPr>
          <w:pgSz w:w="11900" w:h="16838" w:orient="portrait"/>
          <w:cols w:equalWidth="0" w:num="1">
            <w:col w:w="11240"/>
          </w:cols>
          <w:pgMar w:left="320" w:top="1440" w:right="339" w:bottom="1440" w:gutter="0" w:footer="0" w:header="0"/>
        </w:sectPr>
      </w:pPr>
    </w:p>
    <w:bookmarkStart w:id="14" w:name="page15"/>
    <w:bookmarkEnd w:id="14"/>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color w:val="060606"/>
        </w:rPr>
        <w:t>LIVANOVA PLC AND SUBSIDIARIES</w:t>
      </w:r>
    </w:p>
    <w:p>
      <w:pPr>
        <w:spacing w:after="0" w:line="36" w:lineRule="exact"/>
        <w:rPr>
          <w:sz w:val="20"/>
          <w:szCs w:val="20"/>
          <w:color w:val="auto"/>
        </w:rPr>
      </w:pPr>
    </w:p>
    <w:p>
      <w:pPr>
        <w:ind w:left="20" w:right="4440"/>
        <w:spacing w:after="0" w:line="318" w:lineRule="auto"/>
        <w:rPr>
          <w:sz w:val="20"/>
          <w:szCs w:val="20"/>
          <w:color w:val="auto"/>
        </w:rPr>
      </w:pPr>
      <w:r>
        <w:rPr>
          <w:rFonts w:ascii="Arial" w:cs="Arial" w:eastAsia="Arial" w:hAnsi="Arial"/>
          <w:sz w:val="18"/>
          <w:szCs w:val="18"/>
          <w:color w:val="060606"/>
        </w:rPr>
        <w:t>CONDENSED CONSOLIDATED STATEMENTS OF INCOME (LOSS) - UNAUDITED (In millions, except for per share amounts)</w:t>
      </w:r>
    </w:p>
    <w:p>
      <w:pPr>
        <w:spacing w:after="0" w:line="153"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7360" w:type="dxa"/>
            <w:vAlign w:val="bottom"/>
          </w:tcPr>
          <w:p>
            <w:pPr>
              <w:spacing w:after="0"/>
              <w:rPr>
                <w:sz w:val="20"/>
                <w:szCs w:val="20"/>
                <w:color w:val="auto"/>
              </w:rPr>
            </w:pPr>
          </w:p>
        </w:tc>
        <w:tc>
          <w:tcPr>
            <w:tcW w:w="3860" w:type="dxa"/>
            <w:vAlign w:val="bottom"/>
            <w:tcBorders>
              <w:bottom w:val="single" w:sz="8" w:color="auto"/>
            </w:tcBorders>
            <w:gridSpan w:val="3"/>
          </w:tcPr>
          <w:p>
            <w:pPr>
              <w:jc w:val="right"/>
              <w:ind w:right="430"/>
              <w:spacing w:after="0"/>
              <w:rPr>
                <w:sz w:val="20"/>
                <w:szCs w:val="20"/>
                <w:color w:val="auto"/>
              </w:rPr>
            </w:pPr>
            <w:r>
              <w:rPr>
                <w:rFonts w:ascii="Arial" w:cs="Arial" w:eastAsia="Arial" w:hAnsi="Arial"/>
                <w:sz w:val="18"/>
                <w:szCs w:val="18"/>
                <w:color w:val="060606"/>
              </w:rPr>
              <w:t>Nine Months Ended September 30,</w:t>
            </w:r>
          </w:p>
        </w:tc>
        <w:tc>
          <w:tcPr>
            <w:tcW w:w="0" w:type="dxa"/>
            <w:vAlign w:val="bottom"/>
          </w:tcPr>
          <w:p>
            <w:pPr>
              <w:spacing w:after="0"/>
              <w:rPr>
                <w:sz w:val="1"/>
                <w:szCs w:val="1"/>
                <w:color w:val="auto"/>
              </w:rPr>
            </w:pPr>
          </w:p>
        </w:tc>
      </w:tr>
      <w:tr>
        <w:trPr>
          <w:trHeight w:val="237"/>
        </w:trPr>
        <w:tc>
          <w:tcPr>
            <w:tcW w:w="7360" w:type="dxa"/>
            <w:vAlign w:val="bottom"/>
          </w:tcPr>
          <w:p>
            <w:pPr>
              <w:spacing w:after="0"/>
              <w:rPr>
                <w:sz w:val="20"/>
                <w:szCs w:val="20"/>
                <w:color w:val="auto"/>
              </w:rPr>
            </w:pPr>
          </w:p>
        </w:tc>
        <w:tc>
          <w:tcPr>
            <w:tcW w:w="188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060606"/>
              </w:rPr>
              <w:t>2026</w:t>
            </w:r>
          </w:p>
        </w:tc>
        <w:tc>
          <w:tcPr>
            <w:tcW w:w="100" w:type="dxa"/>
            <w:vAlign w:val="bottom"/>
          </w:tcPr>
          <w:p>
            <w:pPr>
              <w:spacing w:after="0"/>
              <w:rPr>
                <w:sz w:val="20"/>
                <w:szCs w:val="20"/>
                <w:color w:val="auto"/>
              </w:rPr>
            </w:pPr>
          </w:p>
        </w:tc>
        <w:tc>
          <w:tcPr>
            <w:tcW w:w="188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060606"/>
              </w:rPr>
              <w:t>2025</w:t>
            </w:r>
          </w:p>
        </w:tc>
        <w:tc>
          <w:tcPr>
            <w:tcW w:w="0" w:type="dxa"/>
            <w:vAlign w:val="bottom"/>
          </w:tcPr>
          <w:p>
            <w:pPr>
              <w:spacing w:after="0"/>
              <w:rPr>
                <w:sz w:val="1"/>
                <w:szCs w:val="1"/>
                <w:color w:val="auto"/>
              </w:rPr>
            </w:pPr>
          </w:p>
        </w:tc>
      </w:tr>
      <w:tr>
        <w:trPr>
          <w:trHeight w:val="241"/>
        </w:trPr>
        <w:tc>
          <w:tcPr>
            <w:tcW w:w="7360" w:type="dxa"/>
            <w:vAlign w:val="bottom"/>
          </w:tcPr>
          <w:p>
            <w:pPr>
              <w:spacing w:after="0"/>
              <w:rPr>
                <w:sz w:val="20"/>
                <w:szCs w:val="20"/>
                <w:color w:val="auto"/>
              </w:rPr>
            </w:pPr>
            <w:r>
              <w:rPr>
                <w:rFonts w:ascii="Arial" w:cs="Arial" w:eastAsia="Arial" w:hAnsi="Arial"/>
                <w:sz w:val="18"/>
                <w:szCs w:val="18"/>
                <w:color w:val="060606"/>
              </w:rPr>
              <w:t>Net revenue</w:t>
            </w:r>
          </w:p>
        </w:tc>
        <w:tc>
          <w:tcPr>
            <w:tcW w:w="1880" w:type="dxa"/>
            <w:vAlign w:val="bottom"/>
          </w:tcPr>
          <w:p>
            <w:pPr>
              <w:jc w:val="right"/>
              <w:spacing w:after="0"/>
              <w:rPr>
                <w:sz w:val="20"/>
                <w:szCs w:val="20"/>
                <w:color w:val="auto"/>
              </w:rPr>
            </w:pPr>
            <w:r>
              <w:rPr>
                <w:rFonts w:ascii="Arial" w:cs="Arial" w:eastAsia="Arial" w:hAnsi="Arial"/>
                <w:sz w:val="18"/>
                <w:szCs w:val="18"/>
                <w:color w:val="060606"/>
              </w:rPr>
              <w:t>$1,146.0</w:t>
            </w:r>
          </w:p>
        </w:tc>
        <w:tc>
          <w:tcPr>
            <w:tcW w:w="10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060606"/>
              </w:rPr>
              <w:t>$1,027.1</w:t>
            </w:r>
          </w:p>
        </w:tc>
        <w:tc>
          <w:tcPr>
            <w:tcW w:w="0" w:type="dxa"/>
            <w:vAlign w:val="bottom"/>
          </w:tcPr>
          <w:p>
            <w:pPr>
              <w:spacing w:after="0"/>
              <w:rPr>
                <w:sz w:val="1"/>
                <w:szCs w:val="1"/>
                <w:color w:val="auto"/>
              </w:rPr>
            </w:pPr>
          </w:p>
        </w:tc>
      </w:tr>
      <w:tr>
        <w:trPr>
          <w:trHeight w:val="239"/>
        </w:trPr>
        <w:tc>
          <w:tcPr>
            <w:tcW w:w="7360" w:type="dxa"/>
            <w:vAlign w:val="bottom"/>
          </w:tcPr>
          <w:p>
            <w:pPr>
              <w:spacing w:after="0"/>
              <w:rPr>
                <w:sz w:val="20"/>
                <w:szCs w:val="20"/>
                <w:color w:val="auto"/>
              </w:rPr>
            </w:pPr>
            <w:r>
              <w:rPr>
                <w:rFonts w:ascii="Arial" w:cs="Arial" w:eastAsia="Arial" w:hAnsi="Arial"/>
                <w:sz w:val="18"/>
                <w:szCs w:val="18"/>
                <w:color w:val="060606"/>
              </w:rPr>
              <w:t>Cost of sales</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60606"/>
              </w:rPr>
              <w:t>363.5</w:t>
            </w:r>
          </w:p>
        </w:tc>
        <w:tc>
          <w:tcPr>
            <w:tcW w:w="100" w:type="dxa"/>
            <w:vAlign w:val="bottom"/>
          </w:tcPr>
          <w:p>
            <w:pPr>
              <w:spacing w:after="0"/>
              <w:rPr>
                <w:sz w:val="20"/>
                <w:szCs w:val="20"/>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60606"/>
              </w:rPr>
              <w:t>327.0</w:t>
            </w:r>
          </w:p>
        </w:tc>
        <w:tc>
          <w:tcPr>
            <w:tcW w:w="0" w:type="dxa"/>
            <w:vAlign w:val="bottom"/>
          </w:tcPr>
          <w:p>
            <w:pPr>
              <w:spacing w:after="0"/>
              <w:rPr>
                <w:sz w:val="1"/>
                <w:szCs w:val="1"/>
                <w:color w:val="auto"/>
              </w:rPr>
            </w:pPr>
          </w:p>
        </w:tc>
      </w:tr>
      <w:tr>
        <w:trPr>
          <w:trHeight w:val="237"/>
        </w:trPr>
        <w:tc>
          <w:tcPr>
            <w:tcW w:w="7360" w:type="dxa"/>
            <w:vAlign w:val="bottom"/>
          </w:tcPr>
          <w:p>
            <w:pPr>
              <w:spacing w:after="0"/>
              <w:rPr>
                <w:sz w:val="20"/>
                <w:szCs w:val="20"/>
                <w:color w:val="auto"/>
              </w:rPr>
            </w:pPr>
            <w:r>
              <w:rPr>
                <w:rFonts w:ascii="Arial" w:cs="Arial" w:eastAsia="Arial" w:hAnsi="Arial"/>
                <w:sz w:val="18"/>
                <w:szCs w:val="18"/>
                <w:color w:val="060606"/>
              </w:rPr>
              <w:t>Gross profit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60606"/>
              </w:rPr>
              <w:t>782.5</w:t>
            </w:r>
          </w:p>
        </w:tc>
        <w:tc>
          <w:tcPr>
            <w:tcW w:w="100" w:type="dxa"/>
            <w:vAlign w:val="bottom"/>
          </w:tcPr>
          <w:p>
            <w:pPr>
              <w:spacing w:after="0"/>
              <w:rPr>
                <w:sz w:val="20"/>
                <w:szCs w:val="20"/>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60606"/>
              </w:rPr>
              <w:t>700.1</w:t>
            </w:r>
          </w:p>
        </w:tc>
        <w:tc>
          <w:tcPr>
            <w:tcW w:w="0" w:type="dxa"/>
            <w:vAlign w:val="bottom"/>
          </w:tcPr>
          <w:p>
            <w:pPr>
              <w:spacing w:after="0"/>
              <w:rPr>
                <w:sz w:val="1"/>
                <w:szCs w:val="1"/>
                <w:color w:val="auto"/>
              </w:rPr>
            </w:pPr>
          </w:p>
        </w:tc>
      </w:tr>
      <w:tr>
        <w:trPr>
          <w:trHeight w:val="227"/>
        </w:trPr>
        <w:tc>
          <w:tcPr>
            <w:tcW w:w="7360" w:type="dxa"/>
            <w:vAlign w:val="bottom"/>
          </w:tcPr>
          <w:p>
            <w:pPr>
              <w:spacing w:after="0"/>
              <w:rPr>
                <w:sz w:val="20"/>
                <w:szCs w:val="20"/>
                <w:color w:val="auto"/>
              </w:rPr>
            </w:pPr>
            <w:r>
              <w:rPr>
                <w:rFonts w:ascii="Arial" w:cs="Arial" w:eastAsia="Arial" w:hAnsi="Arial"/>
                <w:sz w:val="18"/>
                <w:szCs w:val="18"/>
                <w:color w:val="060606"/>
              </w:rPr>
              <w:t>Operating expenses:</w:t>
            </w:r>
          </w:p>
        </w:tc>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360" w:type="dxa"/>
            <w:vAlign w:val="bottom"/>
          </w:tcPr>
          <w:p>
            <w:pPr>
              <w:ind w:left="120"/>
              <w:spacing w:after="0"/>
              <w:rPr>
                <w:sz w:val="20"/>
                <w:szCs w:val="20"/>
                <w:color w:val="auto"/>
              </w:rPr>
            </w:pPr>
            <w:r>
              <w:rPr>
                <w:rFonts w:ascii="Arial" w:cs="Arial" w:eastAsia="Arial" w:hAnsi="Arial"/>
                <w:sz w:val="18"/>
                <w:szCs w:val="18"/>
                <w:color w:val="060606"/>
              </w:rPr>
              <w:t>Selling, general, and administrative</w:t>
            </w:r>
          </w:p>
        </w:tc>
        <w:tc>
          <w:tcPr>
            <w:tcW w:w="1880" w:type="dxa"/>
            <w:vAlign w:val="bottom"/>
          </w:tcPr>
          <w:p>
            <w:pPr>
              <w:jc w:val="right"/>
              <w:spacing w:after="0"/>
              <w:rPr>
                <w:sz w:val="20"/>
                <w:szCs w:val="20"/>
                <w:color w:val="auto"/>
              </w:rPr>
            </w:pPr>
            <w:r>
              <w:rPr>
                <w:rFonts w:ascii="Arial" w:cs="Arial" w:eastAsia="Arial" w:hAnsi="Arial"/>
                <w:sz w:val="18"/>
                <w:szCs w:val="18"/>
                <w:color w:val="060606"/>
              </w:rPr>
              <w:t>456.6</w:t>
            </w:r>
          </w:p>
        </w:tc>
        <w:tc>
          <w:tcPr>
            <w:tcW w:w="10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060606"/>
              </w:rPr>
              <w:t>405.4</w:t>
            </w:r>
          </w:p>
        </w:tc>
        <w:tc>
          <w:tcPr>
            <w:tcW w:w="0" w:type="dxa"/>
            <w:vAlign w:val="bottom"/>
          </w:tcPr>
          <w:p>
            <w:pPr>
              <w:spacing w:after="0"/>
              <w:rPr>
                <w:sz w:val="1"/>
                <w:szCs w:val="1"/>
                <w:color w:val="auto"/>
              </w:rPr>
            </w:pPr>
          </w:p>
        </w:tc>
      </w:tr>
      <w:tr>
        <w:trPr>
          <w:trHeight w:val="243"/>
        </w:trPr>
        <w:tc>
          <w:tcPr>
            <w:tcW w:w="7360" w:type="dxa"/>
            <w:vAlign w:val="bottom"/>
          </w:tcPr>
          <w:p>
            <w:pPr>
              <w:ind w:left="120"/>
              <w:spacing w:after="0"/>
              <w:rPr>
                <w:sz w:val="20"/>
                <w:szCs w:val="20"/>
                <w:color w:val="auto"/>
              </w:rPr>
            </w:pPr>
            <w:r>
              <w:rPr>
                <w:rFonts w:ascii="Arial" w:cs="Arial" w:eastAsia="Arial" w:hAnsi="Arial"/>
                <w:sz w:val="18"/>
                <w:szCs w:val="18"/>
                <w:color w:val="060606"/>
              </w:rPr>
              <w:t>Research and development</w:t>
            </w:r>
          </w:p>
        </w:tc>
        <w:tc>
          <w:tcPr>
            <w:tcW w:w="1880" w:type="dxa"/>
            <w:vAlign w:val="bottom"/>
          </w:tcPr>
          <w:p>
            <w:pPr>
              <w:jc w:val="right"/>
              <w:spacing w:after="0"/>
              <w:rPr>
                <w:sz w:val="20"/>
                <w:szCs w:val="20"/>
                <w:color w:val="auto"/>
              </w:rPr>
            </w:pPr>
            <w:r>
              <w:rPr>
                <w:rFonts w:ascii="Arial" w:cs="Arial" w:eastAsia="Arial" w:hAnsi="Arial"/>
                <w:sz w:val="18"/>
                <w:szCs w:val="18"/>
                <w:color w:val="060606"/>
              </w:rPr>
              <w:t>160.0</w:t>
            </w:r>
          </w:p>
        </w:tc>
        <w:tc>
          <w:tcPr>
            <w:tcW w:w="10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060606"/>
              </w:rPr>
              <w:t>133.6</w:t>
            </w:r>
          </w:p>
        </w:tc>
        <w:tc>
          <w:tcPr>
            <w:tcW w:w="0" w:type="dxa"/>
            <w:vAlign w:val="bottom"/>
          </w:tcPr>
          <w:p>
            <w:pPr>
              <w:spacing w:after="0"/>
              <w:rPr>
                <w:sz w:val="1"/>
                <w:szCs w:val="1"/>
                <w:color w:val="auto"/>
              </w:rPr>
            </w:pPr>
          </w:p>
        </w:tc>
      </w:tr>
      <w:tr>
        <w:trPr>
          <w:trHeight w:val="239"/>
        </w:trPr>
        <w:tc>
          <w:tcPr>
            <w:tcW w:w="7360" w:type="dxa"/>
            <w:vAlign w:val="bottom"/>
          </w:tcPr>
          <w:p>
            <w:pPr>
              <w:ind w:left="120"/>
              <w:spacing w:after="0"/>
              <w:rPr>
                <w:sz w:val="20"/>
                <w:szCs w:val="20"/>
                <w:color w:val="auto"/>
              </w:rPr>
            </w:pPr>
            <w:r>
              <w:rPr>
                <w:rFonts w:ascii="Arial" w:cs="Arial" w:eastAsia="Arial" w:hAnsi="Arial"/>
                <w:sz w:val="18"/>
                <w:szCs w:val="18"/>
                <w:color w:val="060606"/>
              </w:rPr>
              <w:t>Other operating expense</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60606"/>
              </w:rPr>
              <w:t>46.4</w:t>
            </w:r>
          </w:p>
        </w:tc>
        <w:tc>
          <w:tcPr>
            <w:tcW w:w="100" w:type="dxa"/>
            <w:vAlign w:val="bottom"/>
          </w:tcPr>
          <w:p>
            <w:pPr>
              <w:spacing w:after="0"/>
              <w:rPr>
                <w:sz w:val="20"/>
                <w:szCs w:val="20"/>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60606"/>
              </w:rPr>
              <w:t>4.2</w:t>
            </w:r>
          </w:p>
        </w:tc>
        <w:tc>
          <w:tcPr>
            <w:tcW w:w="0" w:type="dxa"/>
            <w:vAlign w:val="bottom"/>
          </w:tcPr>
          <w:p>
            <w:pPr>
              <w:spacing w:after="0"/>
              <w:rPr>
                <w:sz w:val="1"/>
                <w:szCs w:val="1"/>
                <w:color w:val="auto"/>
              </w:rPr>
            </w:pPr>
          </w:p>
        </w:tc>
      </w:tr>
      <w:tr>
        <w:trPr>
          <w:trHeight w:val="237"/>
        </w:trPr>
        <w:tc>
          <w:tcPr>
            <w:tcW w:w="7360" w:type="dxa"/>
            <w:vAlign w:val="bottom"/>
          </w:tcPr>
          <w:p>
            <w:pPr>
              <w:spacing w:after="0"/>
              <w:rPr>
                <w:sz w:val="20"/>
                <w:szCs w:val="20"/>
                <w:color w:val="auto"/>
              </w:rPr>
            </w:pPr>
            <w:r>
              <w:rPr>
                <w:rFonts w:ascii="Arial" w:cs="Arial" w:eastAsia="Arial" w:hAnsi="Arial"/>
                <w:sz w:val="18"/>
                <w:szCs w:val="18"/>
                <w:color w:val="auto"/>
              </w:rPr>
              <w:t>Operating income</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60606"/>
              </w:rPr>
              <w:t>119.4</w:t>
            </w:r>
          </w:p>
        </w:tc>
        <w:tc>
          <w:tcPr>
            <w:tcW w:w="100" w:type="dxa"/>
            <w:vAlign w:val="bottom"/>
          </w:tcPr>
          <w:p>
            <w:pPr>
              <w:spacing w:after="0"/>
              <w:rPr>
                <w:sz w:val="20"/>
                <w:szCs w:val="20"/>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60606"/>
              </w:rPr>
              <w:t>156.8</w:t>
            </w:r>
          </w:p>
        </w:tc>
        <w:tc>
          <w:tcPr>
            <w:tcW w:w="0" w:type="dxa"/>
            <w:vAlign w:val="bottom"/>
          </w:tcPr>
          <w:p>
            <w:pPr>
              <w:spacing w:after="0"/>
              <w:rPr>
                <w:sz w:val="1"/>
                <w:szCs w:val="1"/>
                <w:color w:val="auto"/>
              </w:rPr>
            </w:pPr>
          </w:p>
        </w:tc>
      </w:tr>
      <w:tr>
        <w:trPr>
          <w:trHeight w:val="241"/>
        </w:trPr>
        <w:tc>
          <w:tcPr>
            <w:tcW w:w="7360" w:type="dxa"/>
            <w:vAlign w:val="bottom"/>
          </w:tcPr>
          <w:p>
            <w:pPr>
              <w:spacing w:after="0"/>
              <w:rPr>
                <w:sz w:val="20"/>
                <w:szCs w:val="20"/>
                <w:color w:val="auto"/>
              </w:rPr>
            </w:pPr>
            <w:r>
              <w:rPr>
                <w:rFonts w:ascii="Arial" w:cs="Arial" w:eastAsia="Arial" w:hAnsi="Arial"/>
                <w:sz w:val="18"/>
                <w:szCs w:val="18"/>
                <w:color w:val="060606"/>
              </w:rPr>
              <w:t>SNIA environmental liability expense</w:t>
            </w:r>
          </w:p>
        </w:tc>
        <w:tc>
          <w:tcPr>
            <w:tcW w:w="1980" w:type="dxa"/>
            <w:vAlign w:val="bottom"/>
            <w:gridSpan w:val="2"/>
          </w:tcPr>
          <w:p>
            <w:pPr>
              <w:jc w:val="right"/>
              <w:ind w:right="180"/>
              <w:spacing w:after="0"/>
              <w:rPr>
                <w:sz w:val="20"/>
                <w:szCs w:val="20"/>
                <w:color w:val="auto"/>
              </w:rPr>
            </w:pPr>
            <w:r>
              <w:rPr>
                <w:rFonts w:ascii="Arial" w:cs="Arial" w:eastAsia="Arial" w:hAnsi="Arial"/>
                <w:sz w:val="18"/>
                <w:szCs w:val="18"/>
                <w:color w:val="060606"/>
              </w:rPr>
              <w:t>—</w:t>
            </w:r>
          </w:p>
        </w:tc>
        <w:tc>
          <w:tcPr>
            <w:tcW w:w="1880" w:type="dxa"/>
            <w:vAlign w:val="bottom"/>
          </w:tcPr>
          <w:p>
            <w:pPr>
              <w:jc w:val="right"/>
              <w:spacing w:after="0"/>
              <w:rPr>
                <w:sz w:val="20"/>
                <w:szCs w:val="20"/>
                <w:color w:val="auto"/>
              </w:rPr>
            </w:pPr>
            <w:r>
              <w:rPr>
                <w:rFonts w:ascii="Arial" w:cs="Arial" w:eastAsia="Arial" w:hAnsi="Arial"/>
                <w:sz w:val="18"/>
                <w:szCs w:val="18"/>
                <w:color w:val="060606"/>
              </w:rPr>
              <w:t>(363.8)</w:t>
            </w:r>
          </w:p>
        </w:tc>
        <w:tc>
          <w:tcPr>
            <w:tcW w:w="0" w:type="dxa"/>
            <w:vAlign w:val="bottom"/>
          </w:tcPr>
          <w:p>
            <w:pPr>
              <w:spacing w:after="0"/>
              <w:rPr>
                <w:sz w:val="1"/>
                <w:szCs w:val="1"/>
                <w:color w:val="auto"/>
              </w:rPr>
            </w:pPr>
          </w:p>
        </w:tc>
      </w:tr>
      <w:tr>
        <w:trPr>
          <w:trHeight w:val="243"/>
        </w:trPr>
        <w:tc>
          <w:tcPr>
            <w:tcW w:w="7360" w:type="dxa"/>
            <w:vAlign w:val="bottom"/>
          </w:tcPr>
          <w:p>
            <w:pPr>
              <w:spacing w:after="0"/>
              <w:rPr>
                <w:sz w:val="20"/>
                <w:szCs w:val="20"/>
                <w:color w:val="auto"/>
              </w:rPr>
            </w:pPr>
            <w:r>
              <w:rPr>
                <w:rFonts w:ascii="Arial" w:cs="Arial" w:eastAsia="Arial" w:hAnsi="Arial"/>
                <w:sz w:val="18"/>
                <w:szCs w:val="18"/>
                <w:color w:val="060606"/>
              </w:rPr>
              <w:t>Interest expense</w:t>
            </w:r>
          </w:p>
        </w:tc>
        <w:tc>
          <w:tcPr>
            <w:tcW w:w="1880" w:type="dxa"/>
            <w:vAlign w:val="bottom"/>
          </w:tcPr>
          <w:p>
            <w:pPr>
              <w:jc w:val="right"/>
              <w:spacing w:after="0"/>
              <w:rPr>
                <w:sz w:val="20"/>
                <w:szCs w:val="20"/>
                <w:color w:val="auto"/>
              </w:rPr>
            </w:pPr>
            <w:r>
              <w:rPr>
                <w:rFonts w:ascii="Arial" w:cs="Arial" w:eastAsia="Arial" w:hAnsi="Arial"/>
                <w:sz w:val="18"/>
                <w:szCs w:val="18"/>
                <w:color w:val="060606"/>
              </w:rPr>
              <w:t>(23.4)</w:t>
            </w:r>
          </w:p>
        </w:tc>
        <w:tc>
          <w:tcPr>
            <w:tcW w:w="10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060606"/>
              </w:rPr>
              <w:t>(41.1)</w:t>
            </w:r>
          </w:p>
        </w:tc>
        <w:tc>
          <w:tcPr>
            <w:tcW w:w="0" w:type="dxa"/>
            <w:vAlign w:val="bottom"/>
          </w:tcPr>
          <w:p>
            <w:pPr>
              <w:spacing w:after="0"/>
              <w:rPr>
                <w:sz w:val="1"/>
                <w:szCs w:val="1"/>
                <w:color w:val="auto"/>
              </w:rPr>
            </w:pPr>
          </w:p>
        </w:tc>
      </w:tr>
      <w:tr>
        <w:trPr>
          <w:trHeight w:val="239"/>
        </w:trPr>
        <w:tc>
          <w:tcPr>
            <w:tcW w:w="7360" w:type="dxa"/>
            <w:vAlign w:val="bottom"/>
          </w:tcPr>
          <w:p>
            <w:pPr>
              <w:spacing w:after="0"/>
              <w:rPr>
                <w:sz w:val="20"/>
                <w:szCs w:val="20"/>
                <w:color w:val="auto"/>
              </w:rPr>
            </w:pPr>
            <w:r>
              <w:rPr>
                <w:rFonts w:ascii="Arial" w:cs="Arial" w:eastAsia="Arial" w:hAnsi="Arial"/>
                <w:sz w:val="18"/>
                <w:szCs w:val="18"/>
                <w:color w:val="060606"/>
              </w:rPr>
              <w:t>Foreign exchange and other income/(expense)</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60606"/>
              </w:rPr>
              <w:t>(3.2)</w:t>
            </w:r>
          </w:p>
        </w:tc>
        <w:tc>
          <w:tcPr>
            <w:tcW w:w="100" w:type="dxa"/>
            <w:vAlign w:val="bottom"/>
          </w:tcPr>
          <w:p>
            <w:pPr>
              <w:spacing w:after="0"/>
              <w:rPr>
                <w:sz w:val="20"/>
                <w:szCs w:val="20"/>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60606"/>
              </w:rPr>
              <w:t>(0.3)</w:t>
            </w:r>
          </w:p>
        </w:tc>
        <w:tc>
          <w:tcPr>
            <w:tcW w:w="0" w:type="dxa"/>
            <w:vAlign w:val="bottom"/>
          </w:tcPr>
          <w:p>
            <w:pPr>
              <w:spacing w:after="0"/>
              <w:rPr>
                <w:sz w:val="1"/>
                <w:szCs w:val="1"/>
                <w:color w:val="auto"/>
              </w:rPr>
            </w:pPr>
          </w:p>
        </w:tc>
      </w:tr>
      <w:tr>
        <w:trPr>
          <w:trHeight w:val="237"/>
        </w:trPr>
        <w:tc>
          <w:tcPr>
            <w:tcW w:w="7360" w:type="dxa"/>
            <w:vAlign w:val="bottom"/>
          </w:tcPr>
          <w:p>
            <w:pPr>
              <w:spacing w:after="0"/>
              <w:rPr>
                <w:sz w:val="20"/>
                <w:szCs w:val="20"/>
                <w:color w:val="auto"/>
              </w:rPr>
            </w:pPr>
            <w:r>
              <w:rPr>
                <w:rFonts w:ascii="Arial" w:cs="Arial" w:eastAsia="Arial" w:hAnsi="Arial"/>
                <w:sz w:val="18"/>
                <w:szCs w:val="18"/>
                <w:color w:val="auto"/>
              </w:rPr>
              <w:t>Income (loss) before income tax</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60606"/>
              </w:rPr>
              <w:t>92.7</w:t>
            </w:r>
          </w:p>
        </w:tc>
        <w:tc>
          <w:tcPr>
            <w:tcW w:w="100" w:type="dxa"/>
            <w:vAlign w:val="bottom"/>
          </w:tcPr>
          <w:p>
            <w:pPr>
              <w:spacing w:after="0"/>
              <w:rPr>
                <w:sz w:val="20"/>
                <w:szCs w:val="20"/>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60606"/>
              </w:rPr>
              <w:t>(248.4)</w:t>
            </w:r>
          </w:p>
        </w:tc>
        <w:tc>
          <w:tcPr>
            <w:tcW w:w="0" w:type="dxa"/>
            <w:vAlign w:val="bottom"/>
          </w:tcPr>
          <w:p>
            <w:pPr>
              <w:spacing w:after="0"/>
              <w:rPr>
                <w:sz w:val="1"/>
                <w:szCs w:val="1"/>
                <w:color w:val="auto"/>
              </w:rPr>
            </w:pPr>
          </w:p>
        </w:tc>
      </w:tr>
      <w:tr>
        <w:trPr>
          <w:trHeight w:val="240"/>
        </w:trPr>
        <w:tc>
          <w:tcPr>
            <w:tcW w:w="7360" w:type="dxa"/>
            <w:vAlign w:val="bottom"/>
          </w:tcPr>
          <w:p>
            <w:pPr>
              <w:spacing w:after="0"/>
              <w:rPr>
                <w:sz w:val="20"/>
                <w:szCs w:val="20"/>
                <w:color w:val="auto"/>
              </w:rPr>
            </w:pPr>
            <w:r>
              <w:rPr>
                <w:rFonts w:ascii="Arial" w:cs="Arial" w:eastAsia="Arial" w:hAnsi="Arial"/>
                <w:sz w:val="18"/>
                <w:szCs w:val="18"/>
                <w:color w:val="auto"/>
              </w:rPr>
              <w:t>Income tax (benefit) expense</w:t>
            </w:r>
          </w:p>
        </w:tc>
        <w:tc>
          <w:tcPr>
            <w:tcW w:w="1880" w:type="dxa"/>
            <w:vAlign w:val="bottom"/>
          </w:tcPr>
          <w:p>
            <w:pPr>
              <w:jc w:val="right"/>
              <w:spacing w:after="0"/>
              <w:rPr>
                <w:sz w:val="20"/>
                <w:szCs w:val="20"/>
                <w:color w:val="auto"/>
              </w:rPr>
            </w:pPr>
            <w:r>
              <w:rPr>
                <w:rFonts w:ascii="Arial" w:cs="Arial" w:eastAsia="Arial" w:hAnsi="Arial"/>
                <w:sz w:val="18"/>
                <w:szCs w:val="18"/>
                <w:color w:val="060606"/>
              </w:rPr>
              <w:t>(73.5)</w:t>
            </w:r>
          </w:p>
        </w:tc>
        <w:tc>
          <w:tcPr>
            <w:tcW w:w="10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060606"/>
              </w:rPr>
              <w:t>24.9</w:t>
            </w:r>
          </w:p>
        </w:tc>
        <w:tc>
          <w:tcPr>
            <w:tcW w:w="0" w:type="dxa"/>
            <w:vAlign w:val="bottom"/>
          </w:tcPr>
          <w:p>
            <w:pPr>
              <w:spacing w:after="0"/>
              <w:rPr>
                <w:sz w:val="1"/>
                <w:szCs w:val="1"/>
                <w:color w:val="auto"/>
              </w:rPr>
            </w:pPr>
          </w:p>
        </w:tc>
      </w:tr>
      <w:tr>
        <w:trPr>
          <w:trHeight w:val="239"/>
        </w:trPr>
        <w:tc>
          <w:tcPr>
            <w:tcW w:w="7360" w:type="dxa"/>
            <w:vAlign w:val="bottom"/>
          </w:tcPr>
          <w:p>
            <w:pPr>
              <w:spacing w:after="0"/>
              <w:rPr>
                <w:sz w:val="20"/>
                <w:szCs w:val="20"/>
                <w:color w:val="auto"/>
              </w:rPr>
            </w:pPr>
            <w:r>
              <w:rPr>
                <w:rFonts w:ascii="Arial" w:cs="Arial" w:eastAsia="Arial" w:hAnsi="Arial"/>
                <w:sz w:val="18"/>
                <w:szCs w:val="18"/>
                <w:color w:val="060606"/>
              </w:rPr>
              <w:t>Loss from equity method investments</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60606"/>
              </w:rPr>
              <w:t>(1.0)</w:t>
            </w:r>
          </w:p>
        </w:tc>
        <w:tc>
          <w:tcPr>
            <w:tcW w:w="100" w:type="dxa"/>
            <w:vAlign w:val="bottom"/>
          </w:tcPr>
          <w:p>
            <w:pPr>
              <w:spacing w:after="0"/>
              <w:rPr>
                <w:sz w:val="20"/>
                <w:szCs w:val="20"/>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60606"/>
              </w:rPr>
              <w:t>—</w:t>
            </w:r>
          </w:p>
        </w:tc>
        <w:tc>
          <w:tcPr>
            <w:tcW w:w="0" w:type="dxa"/>
            <w:vAlign w:val="bottom"/>
          </w:tcPr>
          <w:p>
            <w:pPr>
              <w:spacing w:after="0"/>
              <w:rPr>
                <w:sz w:val="1"/>
                <w:szCs w:val="1"/>
                <w:color w:val="auto"/>
              </w:rPr>
            </w:pPr>
          </w:p>
        </w:tc>
      </w:tr>
      <w:tr>
        <w:trPr>
          <w:trHeight w:val="236"/>
        </w:trPr>
        <w:tc>
          <w:tcPr>
            <w:tcW w:w="7360" w:type="dxa"/>
            <w:vAlign w:val="bottom"/>
          </w:tcPr>
          <w:p>
            <w:pPr>
              <w:spacing w:after="0"/>
              <w:rPr>
                <w:sz w:val="20"/>
                <w:szCs w:val="20"/>
                <w:color w:val="auto"/>
              </w:rPr>
            </w:pPr>
            <w:r>
              <w:rPr>
                <w:rFonts w:ascii="Arial" w:cs="Arial" w:eastAsia="Arial" w:hAnsi="Arial"/>
                <w:sz w:val="18"/>
                <w:szCs w:val="18"/>
                <w:color w:val="060606"/>
              </w:rPr>
              <w:t>Net income (loss)</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60606"/>
              </w:rPr>
              <w:t>$165.2</w:t>
            </w:r>
          </w:p>
        </w:tc>
        <w:tc>
          <w:tcPr>
            <w:tcW w:w="100" w:type="dxa"/>
            <w:vAlign w:val="bottom"/>
          </w:tcPr>
          <w:p>
            <w:pPr>
              <w:spacing w:after="0"/>
              <w:rPr>
                <w:sz w:val="20"/>
                <w:szCs w:val="20"/>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60606"/>
              </w:rPr>
              <w:t>($273.4)</w:t>
            </w:r>
          </w:p>
        </w:tc>
        <w:tc>
          <w:tcPr>
            <w:tcW w:w="0" w:type="dxa"/>
            <w:vAlign w:val="bottom"/>
          </w:tcPr>
          <w:p>
            <w:pPr>
              <w:spacing w:after="0"/>
              <w:rPr>
                <w:sz w:val="1"/>
                <w:szCs w:val="1"/>
                <w:color w:val="auto"/>
              </w:rPr>
            </w:pPr>
          </w:p>
        </w:tc>
      </w:tr>
      <w:tr>
        <w:trPr>
          <w:trHeight w:val="20"/>
        </w:trPr>
        <w:tc>
          <w:tcPr>
            <w:tcW w:w="7360" w:type="dxa"/>
            <w:vAlign w:val="bottom"/>
            <w:vMerge w:val="restart"/>
          </w:tcPr>
          <w:p>
            <w:pPr>
              <w:spacing w:after="0"/>
              <w:rPr>
                <w:sz w:val="20"/>
                <w:szCs w:val="20"/>
                <w:color w:val="auto"/>
              </w:rPr>
            </w:pPr>
            <w:r>
              <w:rPr>
                <w:rFonts w:ascii="Arial" w:cs="Arial" w:eastAsia="Arial" w:hAnsi="Arial"/>
                <w:sz w:val="18"/>
                <w:szCs w:val="18"/>
                <w:color w:val="060606"/>
              </w:rPr>
              <w:t xml:space="preserve">Earnings (loss) per share: </w:t>
            </w:r>
            <w:r>
              <w:rPr>
                <w:rFonts w:ascii="Arial" w:cs="Arial" w:eastAsia="Arial" w:hAnsi="Arial"/>
                <w:sz w:val="23"/>
                <w:szCs w:val="23"/>
                <w:color w:val="060606"/>
                <w:vertAlign w:val="superscript"/>
              </w:rPr>
              <w:t>(1)</w:t>
            </w: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8"/>
        </w:trPr>
        <w:tc>
          <w:tcPr>
            <w:tcW w:w="7360" w:type="dxa"/>
            <w:vAlign w:val="bottom"/>
            <w:vMerge w:val="continue"/>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7360" w:type="dxa"/>
            <w:vAlign w:val="bottom"/>
          </w:tcPr>
          <w:p>
            <w:pPr>
              <w:ind w:left="120"/>
              <w:spacing w:after="0"/>
              <w:rPr>
                <w:sz w:val="20"/>
                <w:szCs w:val="20"/>
                <w:color w:val="auto"/>
              </w:rPr>
            </w:pPr>
            <w:r>
              <w:rPr>
                <w:rFonts w:ascii="Arial" w:cs="Arial" w:eastAsia="Arial" w:hAnsi="Arial"/>
                <w:sz w:val="18"/>
                <w:szCs w:val="18"/>
                <w:color w:val="060606"/>
              </w:rPr>
              <w:t>Basic</w:t>
            </w:r>
          </w:p>
        </w:tc>
        <w:tc>
          <w:tcPr>
            <w:tcW w:w="1880" w:type="dxa"/>
            <w:vAlign w:val="bottom"/>
          </w:tcPr>
          <w:p>
            <w:pPr>
              <w:jc w:val="right"/>
              <w:spacing w:after="0"/>
              <w:rPr>
                <w:sz w:val="20"/>
                <w:szCs w:val="20"/>
                <w:color w:val="auto"/>
              </w:rPr>
            </w:pPr>
            <w:r>
              <w:rPr>
                <w:rFonts w:ascii="Arial" w:cs="Arial" w:eastAsia="Arial" w:hAnsi="Arial"/>
                <w:sz w:val="18"/>
                <w:szCs w:val="18"/>
                <w:color w:val="060606"/>
              </w:rPr>
              <w:t>$3.01</w:t>
            </w:r>
          </w:p>
        </w:tc>
        <w:tc>
          <w:tcPr>
            <w:tcW w:w="10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060606"/>
              </w:rPr>
              <w:t>($5.01)</w:t>
            </w:r>
          </w:p>
        </w:tc>
        <w:tc>
          <w:tcPr>
            <w:tcW w:w="0" w:type="dxa"/>
            <w:vAlign w:val="bottom"/>
          </w:tcPr>
          <w:p>
            <w:pPr>
              <w:spacing w:after="0"/>
              <w:rPr>
                <w:sz w:val="1"/>
                <w:szCs w:val="1"/>
                <w:color w:val="auto"/>
              </w:rPr>
            </w:pPr>
          </w:p>
        </w:tc>
      </w:tr>
      <w:tr>
        <w:trPr>
          <w:trHeight w:val="243"/>
        </w:trPr>
        <w:tc>
          <w:tcPr>
            <w:tcW w:w="7360" w:type="dxa"/>
            <w:vAlign w:val="bottom"/>
          </w:tcPr>
          <w:p>
            <w:pPr>
              <w:ind w:left="120"/>
              <w:spacing w:after="0"/>
              <w:rPr>
                <w:sz w:val="20"/>
                <w:szCs w:val="20"/>
                <w:color w:val="auto"/>
              </w:rPr>
            </w:pPr>
            <w:r>
              <w:rPr>
                <w:rFonts w:ascii="Arial" w:cs="Arial" w:eastAsia="Arial" w:hAnsi="Arial"/>
                <w:sz w:val="18"/>
                <w:szCs w:val="18"/>
                <w:color w:val="060606"/>
              </w:rPr>
              <w:t>Diluted</w:t>
            </w:r>
          </w:p>
        </w:tc>
        <w:tc>
          <w:tcPr>
            <w:tcW w:w="1880" w:type="dxa"/>
            <w:vAlign w:val="bottom"/>
          </w:tcPr>
          <w:p>
            <w:pPr>
              <w:jc w:val="right"/>
              <w:spacing w:after="0"/>
              <w:rPr>
                <w:sz w:val="20"/>
                <w:szCs w:val="20"/>
                <w:color w:val="auto"/>
              </w:rPr>
            </w:pPr>
            <w:r>
              <w:rPr>
                <w:rFonts w:ascii="Arial" w:cs="Arial" w:eastAsia="Arial" w:hAnsi="Arial"/>
                <w:sz w:val="18"/>
                <w:szCs w:val="18"/>
                <w:color w:val="060606"/>
              </w:rPr>
              <w:t>$2.93</w:t>
            </w:r>
          </w:p>
        </w:tc>
        <w:tc>
          <w:tcPr>
            <w:tcW w:w="10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060606"/>
              </w:rPr>
              <w:t>($5.01)</w:t>
            </w:r>
          </w:p>
        </w:tc>
        <w:tc>
          <w:tcPr>
            <w:tcW w:w="0" w:type="dxa"/>
            <w:vAlign w:val="bottom"/>
          </w:tcPr>
          <w:p>
            <w:pPr>
              <w:spacing w:after="0"/>
              <w:rPr>
                <w:sz w:val="1"/>
                <w:szCs w:val="1"/>
                <w:color w:val="auto"/>
              </w:rPr>
            </w:pPr>
          </w:p>
        </w:tc>
      </w:tr>
      <w:tr>
        <w:trPr>
          <w:trHeight w:val="513"/>
        </w:trPr>
        <w:tc>
          <w:tcPr>
            <w:tcW w:w="7360" w:type="dxa"/>
            <w:vAlign w:val="bottom"/>
          </w:tcPr>
          <w:p>
            <w:pPr>
              <w:spacing w:after="0"/>
              <w:rPr>
                <w:sz w:val="20"/>
                <w:szCs w:val="20"/>
                <w:color w:val="auto"/>
              </w:rPr>
            </w:pPr>
            <w:r>
              <w:rPr>
                <w:rFonts w:ascii="Arial" w:cs="Arial" w:eastAsia="Arial" w:hAnsi="Arial"/>
                <w:sz w:val="18"/>
                <w:szCs w:val="18"/>
                <w:color w:val="060606"/>
              </w:rPr>
              <w:t>Weighted average shares outstanding:</w:t>
            </w: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360" w:type="dxa"/>
            <w:vAlign w:val="bottom"/>
          </w:tcPr>
          <w:p>
            <w:pPr>
              <w:ind w:left="120"/>
              <w:spacing w:after="0"/>
              <w:rPr>
                <w:sz w:val="20"/>
                <w:szCs w:val="20"/>
                <w:color w:val="auto"/>
              </w:rPr>
            </w:pPr>
            <w:r>
              <w:rPr>
                <w:rFonts w:ascii="Arial" w:cs="Arial" w:eastAsia="Arial" w:hAnsi="Arial"/>
                <w:sz w:val="18"/>
                <w:szCs w:val="18"/>
                <w:color w:val="060606"/>
              </w:rPr>
              <w:t>Basic</w:t>
            </w:r>
          </w:p>
        </w:tc>
        <w:tc>
          <w:tcPr>
            <w:tcW w:w="1880" w:type="dxa"/>
            <w:vAlign w:val="bottom"/>
          </w:tcPr>
          <w:p>
            <w:pPr>
              <w:jc w:val="right"/>
              <w:spacing w:after="0"/>
              <w:rPr>
                <w:sz w:val="20"/>
                <w:szCs w:val="20"/>
                <w:color w:val="auto"/>
              </w:rPr>
            </w:pPr>
            <w:r>
              <w:rPr>
                <w:rFonts w:ascii="Arial" w:cs="Arial" w:eastAsia="Arial" w:hAnsi="Arial"/>
                <w:sz w:val="18"/>
                <w:szCs w:val="18"/>
                <w:color w:val="060606"/>
              </w:rPr>
              <w:t>54.9</w:t>
            </w:r>
          </w:p>
        </w:tc>
        <w:tc>
          <w:tcPr>
            <w:tcW w:w="10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060606"/>
              </w:rPr>
              <w:t>54.5</w:t>
            </w:r>
          </w:p>
        </w:tc>
        <w:tc>
          <w:tcPr>
            <w:tcW w:w="0" w:type="dxa"/>
            <w:vAlign w:val="bottom"/>
          </w:tcPr>
          <w:p>
            <w:pPr>
              <w:spacing w:after="0"/>
              <w:rPr>
                <w:sz w:val="1"/>
                <w:szCs w:val="1"/>
                <w:color w:val="auto"/>
              </w:rPr>
            </w:pPr>
          </w:p>
        </w:tc>
      </w:tr>
      <w:tr>
        <w:trPr>
          <w:trHeight w:val="243"/>
        </w:trPr>
        <w:tc>
          <w:tcPr>
            <w:tcW w:w="7360" w:type="dxa"/>
            <w:vAlign w:val="bottom"/>
          </w:tcPr>
          <w:p>
            <w:pPr>
              <w:ind w:left="120"/>
              <w:spacing w:after="0"/>
              <w:rPr>
                <w:sz w:val="20"/>
                <w:szCs w:val="20"/>
                <w:color w:val="auto"/>
              </w:rPr>
            </w:pPr>
            <w:r>
              <w:rPr>
                <w:rFonts w:ascii="Arial" w:cs="Arial" w:eastAsia="Arial" w:hAnsi="Arial"/>
                <w:sz w:val="18"/>
                <w:szCs w:val="18"/>
                <w:color w:val="060606"/>
              </w:rPr>
              <w:t>Diluted</w:t>
            </w:r>
          </w:p>
        </w:tc>
        <w:tc>
          <w:tcPr>
            <w:tcW w:w="1880" w:type="dxa"/>
            <w:vAlign w:val="bottom"/>
          </w:tcPr>
          <w:p>
            <w:pPr>
              <w:jc w:val="right"/>
              <w:spacing w:after="0"/>
              <w:rPr>
                <w:sz w:val="20"/>
                <w:szCs w:val="20"/>
                <w:color w:val="auto"/>
              </w:rPr>
            </w:pPr>
            <w:r>
              <w:rPr>
                <w:rFonts w:ascii="Arial" w:cs="Arial" w:eastAsia="Arial" w:hAnsi="Arial"/>
                <w:sz w:val="18"/>
                <w:szCs w:val="18"/>
                <w:color w:val="060606"/>
              </w:rPr>
              <w:t>56.3</w:t>
            </w:r>
          </w:p>
        </w:tc>
        <w:tc>
          <w:tcPr>
            <w:tcW w:w="10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060606"/>
              </w:rPr>
              <w:t>54.5</w:t>
            </w: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320" w:hanging="312"/>
        <w:spacing w:after="0"/>
        <w:tabs>
          <w:tab w:leader="none" w:pos="320" w:val="left"/>
        </w:tabs>
        <w:numPr>
          <w:ilvl w:val="0"/>
          <w:numId w:val="12"/>
        </w:numPr>
        <w:rPr>
          <w:rFonts w:ascii="Arial" w:cs="Arial" w:eastAsia="Arial" w:hAnsi="Arial"/>
          <w:sz w:val="21"/>
          <w:szCs w:val="21"/>
          <w:color w:val="060606"/>
          <w:vertAlign w:val="superscript"/>
        </w:rPr>
      </w:pPr>
      <w:r>
        <w:rPr>
          <w:rFonts w:ascii="Arial" w:cs="Arial" w:eastAsia="Arial" w:hAnsi="Arial"/>
          <w:sz w:val="16"/>
          <w:szCs w:val="16"/>
          <w:color w:val="060606"/>
        </w:rPr>
        <w:t>For additional details, refer to the computation of basic and diluted earnings (loss) per share further in this news release.</w:t>
      </w:r>
    </w:p>
    <w:p>
      <w:pPr>
        <w:spacing w:after="0" w:line="3" w:lineRule="exact"/>
        <w:rPr>
          <w:rFonts w:ascii="Arial" w:cs="Arial" w:eastAsia="Arial" w:hAnsi="Arial"/>
          <w:sz w:val="21"/>
          <w:szCs w:val="21"/>
          <w:color w:val="060606"/>
          <w:vertAlign w:val="superscript"/>
        </w:rPr>
      </w:pPr>
    </w:p>
    <w:p>
      <w:pPr>
        <w:spacing w:after="0"/>
        <w:rPr>
          <w:rFonts w:ascii="Arial" w:cs="Arial" w:eastAsia="Arial" w:hAnsi="Arial"/>
          <w:sz w:val="21"/>
          <w:szCs w:val="21"/>
          <w:color w:val="060606"/>
          <w:vertAlign w:val="superscript"/>
        </w:rPr>
      </w:pPr>
      <w:r>
        <w:rPr>
          <w:rFonts w:ascii="Arial" w:cs="Arial" w:eastAsia="Arial" w:hAnsi="Arial"/>
          <w:sz w:val="16"/>
          <w:szCs w:val="16"/>
          <w:color w:val="060606"/>
        </w:rPr>
        <w:t>•   Numbers may not add precisely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22"/>
          <w:szCs w:val="22"/>
          <w:color w:val="060606"/>
        </w:rPr>
        <w:t>12</w:t>
      </w:r>
    </w:p>
    <w:p>
      <w:pPr>
        <w:sectPr>
          <w:pgSz w:w="11900" w:h="16838" w:orient="portrait"/>
          <w:cols w:equalWidth="0" w:num="1">
            <w:col w:w="11240"/>
          </w:cols>
          <w:pgMar w:left="320" w:top="1440" w:right="339" w:bottom="1440" w:gutter="0" w:footer="0" w:header="0"/>
        </w:sectPr>
      </w:pPr>
    </w:p>
    <w:bookmarkStart w:id="15" w:name="page16"/>
    <w:bookmarkEnd w:id="15"/>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400" w:type="dxa"/>
            <w:vAlign w:val="bottom"/>
          </w:tcPr>
          <w:p>
            <w:pPr>
              <w:spacing w:after="0"/>
              <w:rPr>
                <w:sz w:val="20"/>
                <w:szCs w:val="20"/>
                <w:color w:val="auto"/>
              </w:rPr>
            </w:pPr>
            <w:r>
              <w:rPr>
                <w:rFonts w:ascii="Arial" w:cs="Arial" w:eastAsia="Arial" w:hAnsi="Arial"/>
                <w:sz w:val="18"/>
                <w:szCs w:val="18"/>
                <w:color w:val="060606"/>
              </w:rPr>
              <w:t>Adjusted Financial Measures (in millions, except for per share amounts) - Unaudited</w:t>
            </w:r>
          </w:p>
        </w:tc>
        <w:tc>
          <w:tcPr>
            <w:tcW w:w="1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36"/>
        </w:trPr>
        <w:tc>
          <w:tcPr>
            <w:tcW w:w="7400" w:type="dxa"/>
            <w:vAlign w:val="bottom"/>
          </w:tcPr>
          <w:p>
            <w:pPr>
              <w:spacing w:after="0"/>
              <w:rPr>
                <w:sz w:val="24"/>
                <w:szCs w:val="24"/>
                <w:color w:val="auto"/>
              </w:rPr>
            </w:pPr>
          </w:p>
        </w:tc>
        <w:tc>
          <w:tcPr>
            <w:tcW w:w="2700" w:type="dxa"/>
            <w:vAlign w:val="bottom"/>
            <w:gridSpan w:val="3"/>
          </w:tcPr>
          <w:p>
            <w:pPr>
              <w:jc w:val="center"/>
              <w:ind w:left="990"/>
              <w:spacing w:after="0"/>
              <w:rPr>
                <w:sz w:val="20"/>
                <w:szCs w:val="20"/>
                <w:color w:val="auto"/>
              </w:rPr>
            </w:pPr>
            <w:r>
              <w:rPr>
                <w:rFonts w:ascii="Arial" w:cs="Arial" w:eastAsia="Arial" w:hAnsi="Arial"/>
                <w:sz w:val="18"/>
                <w:szCs w:val="18"/>
                <w:color w:val="060606"/>
                <w:w w:val="99"/>
              </w:rPr>
              <w:t>Nine Months Ended</w:t>
            </w:r>
          </w:p>
        </w:tc>
        <w:tc>
          <w:tcPr>
            <w:tcW w:w="1140" w:type="dxa"/>
            <w:vAlign w:val="bottom"/>
          </w:tcPr>
          <w:p>
            <w:pPr>
              <w:spacing w:after="0"/>
              <w:rPr>
                <w:sz w:val="24"/>
                <w:szCs w:val="24"/>
                <w:color w:val="auto"/>
              </w:rPr>
            </w:pPr>
          </w:p>
        </w:tc>
      </w:tr>
      <w:tr>
        <w:trPr>
          <w:trHeight w:val="235"/>
        </w:trPr>
        <w:tc>
          <w:tcPr>
            <w:tcW w:w="7400" w:type="dxa"/>
            <w:vAlign w:val="bottom"/>
          </w:tcPr>
          <w:p>
            <w:pPr>
              <w:spacing w:after="0"/>
              <w:rPr>
                <w:sz w:val="20"/>
                <w:szCs w:val="20"/>
                <w:color w:val="auto"/>
              </w:rPr>
            </w:pPr>
          </w:p>
        </w:tc>
        <w:tc>
          <w:tcPr>
            <w:tcW w:w="2700" w:type="dxa"/>
            <w:vAlign w:val="bottom"/>
            <w:tcBorders>
              <w:bottom w:val="single" w:sz="8" w:color="auto"/>
            </w:tcBorders>
            <w:gridSpan w:val="3"/>
          </w:tcPr>
          <w:p>
            <w:pPr>
              <w:jc w:val="center"/>
              <w:ind w:left="1030"/>
              <w:spacing w:after="0"/>
              <w:rPr>
                <w:sz w:val="20"/>
                <w:szCs w:val="20"/>
                <w:color w:val="auto"/>
              </w:rPr>
            </w:pPr>
            <w:r>
              <w:rPr>
                <w:rFonts w:ascii="Arial" w:cs="Arial" w:eastAsia="Arial" w:hAnsi="Arial"/>
                <w:sz w:val="18"/>
                <w:szCs w:val="18"/>
                <w:color w:val="060606"/>
                <w:w w:val="99"/>
              </w:rPr>
              <w:t>September 30,</w:t>
            </w:r>
          </w:p>
        </w:tc>
        <w:tc>
          <w:tcPr>
            <w:tcW w:w="1140" w:type="dxa"/>
            <w:vAlign w:val="bottom"/>
            <w:tcBorders>
              <w:bottom w:val="single" w:sz="8" w:color="auto"/>
            </w:tcBorders>
          </w:tcPr>
          <w:p>
            <w:pPr>
              <w:spacing w:after="0"/>
              <w:rPr>
                <w:sz w:val="20"/>
                <w:szCs w:val="20"/>
                <w:color w:val="auto"/>
              </w:rPr>
            </w:pPr>
          </w:p>
        </w:tc>
      </w:tr>
      <w:tr>
        <w:trPr>
          <w:trHeight w:val="237"/>
        </w:trPr>
        <w:tc>
          <w:tcPr>
            <w:tcW w:w="7400" w:type="dxa"/>
            <w:vAlign w:val="bottom"/>
          </w:tcPr>
          <w:p>
            <w:pPr>
              <w:spacing w:after="0"/>
              <w:rPr>
                <w:sz w:val="20"/>
                <w:szCs w:val="20"/>
                <w:color w:val="auto"/>
              </w:rPr>
            </w:pPr>
          </w:p>
        </w:tc>
        <w:tc>
          <w:tcPr>
            <w:tcW w:w="186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060606"/>
              </w:rPr>
              <w:t>2026</w:t>
            </w:r>
          </w:p>
        </w:tc>
        <w:tc>
          <w:tcPr>
            <w:tcW w:w="10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060606"/>
                <w:w w:val="94"/>
              </w:rPr>
              <w:t>2025</w:t>
            </w:r>
          </w:p>
        </w:tc>
      </w:tr>
      <w:tr>
        <w:trPr>
          <w:trHeight w:val="241"/>
        </w:trPr>
        <w:tc>
          <w:tcPr>
            <w:tcW w:w="7400" w:type="dxa"/>
            <w:vAlign w:val="bottom"/>
          </w:tcPr>
          <w:p>
            <w:pPr>
              <w:ind w:left="20"/>
              <w:spacing w:after="0"/>
              <w:rPr>
                <w:sz w:val="20"/>
                <w:szCs w:val="20"/>
                <w:color w:val="auto"/>
              </w:rPr>
            </w:pPr>
            <w:r>
              <w:rPr>
                <w:rFonts w:ascii="Arial" w:cs="Arial" w:eastAsia="Arial" w:hAnsi="Arial"/>
                <w:sz w:val="18"/>
                <w:szCs w:val="18"/>
                <w:color w:val="060606"/>
              </w:rPr>
              <w:t>Adjusted SG&amp;A</w:t>
            </w:r>
          </w:p>
        </w:tc>
        <w:tc>
          <w:tcPr>
            <w:tcW w:w="1860" w:type="dxa"/>
            <w:vAlign w:val="bottom"/>
          </w:tcPr>
          <w:p>
            <w:pPr>
              <w:jc w:val="right"/>
              <w:spacing w:after="0"/>
              <w:rPr>
                <w:sz w:val="20"/>
                <w:szCs w:val="20"/>
                <w:color w:val="auto"/>
              </w:rPr>
            </w:pPr>
            <w:r>
              <w:rPr>
                <w:rFonts w:ascii="Arial" w:cs="Arial" w:eastAsia="Arial" w:hAnsi="Arial"/>
                <w:sz w:val="18"/>
                <w:szCs w:val="18"/>
                <w:color w:val="060606"/>
              </w:rPr>
              <w:t>$401.3</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060606"/>
              </w:rPr>
              <w:t>$359.9</w:t>
            </w:r>
          </w:p>
        </w:tc>
      </w:tr>
      <w:tr>
        <w:trPr>
          <w:trHeight w:val="243"/>
        </w:trPr>
        <w:tc>
          <w:tcPr>
            <w:tcW w:w="7400" w:type="dxa"/>
            <w:vAlign w:val="bottom"/>
          </w:tcPr>
          <w:p>
            <w:pPr>
              <w:ind w:left="20"/>
              <w:spacing w:after="0"/>
              <w:rPr>
                <w:sz w:val="20"/>
                <w:szCs w:val="20"/>
                <w:color w:val="auto"/>
              </w:rPr>
            </w:pPr>
            <w:r>
              <w:rPr>
                <w:rFonts w:ascii="Arial" w:cs="Arial" w:eastAsia="Arial" w:hAnsi="Arial"/>
                <w:sz w:val="18"/>
                <w:szCs w:val="18"/>
                <w:color w:val="060606"/>
              </w:rPr>
              <w:t>Adjusted R&amp;D</w:t>
            </w:r>
          </w:p>
        </w:tc>
        <w:tc>
          <w:tcPr>
            <w:tcW w:w="1860" w:type="dxa"/>
            <w:vAlign w:val="bottom"/>
          </w:tcPr>
          <w:p>
            <w:pPr>
              <w:jc w:val="right"/>
              <w:spacing w:after="0"/>
              <w:rPr>
                <w:sz w:val="20"/>
                <w:szCs w:val="20"/>
                <w:color w:val="auto"/>
              </w:rPr>
            </w:pPr>
            <w:r>
              <w:rPr>
                <w:rFonts w:ascii="Arial" w:cs="Arial" w:eastAsia="Arial" w:hAnsi="Arial"/>
                <w:sz w:val="18"/>
                <w:szCs w:val="18"/>
                <w:color w:val="060606"/>
              </w:rPr>
              <w:t>141.8</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060606"/>
              </w:rPr>
              <w:t>127.2</w:t>
            </w:r>
          </w:p>
        </w:tc>
      </w:tr>
      <w:tr>
        <w:trPr>
          <w:trHeight w:val="243"/>
        </w:trPr>
        <w:tc>
          <w:tcPr>
            <w:tcW w:w="7400" w:type="dxa"/>
            <w:vAlign w:val="bottom"/>
          </w:tcPr>
          <w:p>
            <w:pPr>
              <w:ind w:left="20"/>
              <w:spacing w:after="0"/>
              <w:rPr>
                <w:sz w:val="20"/>
                <w:szCs w:val="20"/>
                <w:color w:val="auto"/>
              </w:rPr>
            </w:pPr>
            <w:r>
              <w:rPr>
                <w:rFonts w:ascii="Arial" w:cs="Arial" w:eastAsia="Arial" w:hAnsi="Arial"/>
                <w:sz w:val="18"/>
                <w:szCs w:val="18"/>
                <w:color w:val="060606"/>
              </w:rPr>
              <w:t>Adjusted operating income</w:t>
            </w:r>
          </w:p>
        </w:tc>
        <w:tc>
          <w:tcPr>
            <w:tcW w:w="1860" w:type="dxa"/>
            <w:vAlign w:val="bottom"/>
          </w:tcPr>
          <w:p>
            <w:pPr>
              <w:jc w:val="right"/>
              <w:spacing w:after="0"/>
              <w:rPr>
                <w:sz w:val="20"/>
                <w:szCs w:val="20"/>
                <w:color w:val="auto"/>
              </w:rPr>
            </w:pPr>
            <w:r>
              <w:rPr>
                <w:rFonts w:ascii="Arial" w:cs="Arial" w:eastAsia="Arial" w:hAnsi="Arial"/>
                <w:sz w:val="18"/>
                <w:szCs w:val="18"/>
                <w:color w:val="060606"/>
              </w:rPr>
              <w:t>254.1</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060606"/>
              </w:rPr>
              <w:t>222.3</w:t>
            </w:r>
          </w:p>
        </w:tc>
      </w:tr>
      <w:tr>
        <w:trPr>
          <w:trHeight w:val="243"/>
        </w:trPr>
        <w:tc>
          <w:tcPr>
            <w:tcW w:w="7400" w:type="dxa"/>
            <w:vAlign w:val="bottom"/>
          </w:tcPr>
          <w:p>
            <w:pPr>
              <w:ind w:left="20"/>
              <w:spacing w:after="0"/>
              <w:rPr>
                <w:sz w:val="20"/>
                <w:szCs w:val="20"/>
                <w:color w:val="auto"/>
              </w:rPr>
            </w:pPr>
            <w:r>
              <w:rPr>
                <w:rFonts w:ascii="Arial" w:cs="Arial" w:eastAsia="Arial" w:hAnsi="Arial"/>
                <w:sz w:val="18"/>
                <w:szCs w:val="18"/>
                <w:color w:val="060606"/>
              </w:rPr>
              <w:t>Adjusted net income</w:t>
            </w:r>
          </w:p>
        </w:tc>
        <w:tc>
          <w:tcPr>
            <w:tcW w:w="1860" w:type="dxa"/>
            <w:vAlign w:val="bottom"/>
          </w:tcPr>
          <w:p>
            <w:pPr>
              <w:jc w:val="right"/>
              <w:spacing w:after="0"/>
              <w:rPr>
                <w:sz w:val="20"/>
                <w:szCs w:val="20"/>
                <w:color w:val="auto"/>
              </w:rPr>
            </w:pPr>
            <w:r>
              <w:rPr>
                <w:rFonts w:ascii="Arial" w:cs="Arial" w:eastAsia="Arial" w:hAnsi="Arial"/>
                <w:sz w:val="18"/>
                <w:szCs w:val="18"/>
                <w:color w:val="060606"/>
              </w:rPr>
              <w:t>196.2</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060606"/>
              </w:rPr>
              <w:t>166.9</w:t>
            </w:r>
          </w:p>
        </w:tc>
      </w:tr>
      <w:tr>
        <w:trPr>
          <w:trHeight w:val="243"/>
        </w:trPr>
        <w:tc>
          <w:tcPr>
            <w:tcW w:w="7400" w:type="dxa"/>
            <w:vAlign w:val="bottom"/>
          </w:tcPr>
          <w:p>
            <w:pPr>
              <w:ind w:left="20"/>
              <w:spacing w:after="0"/>
              <w:rPr>
                <w:sz w:val="20"/>
                <w:szCs w:val="20"/>
                <w:color w:val="auto"/>
              </w:rPr>
            </w:pPr>
            <w:r>
              <w:rPr>
                <w:rFonts w:ascii="Arial" w:cs="Arial" w:eastAsia="Arial" w:hAnsi="Arial"/>
                <w:sz w:val="18"/>
                <w:szCs w:val="18"/>
                <w:color w:val="060606"/>
              </w:rPr>
              <w:t>Adjusted diluted earnings per share</w:t>
            </w:r>
          </w:p>
        </w:tc>
        <w:tc>
          <w:tcPr>
            <w:tcW w:w="1860" w:type="dxa"/>
            <w:vAlign w:val="bottom"/>
          </w:tcPr>
          <w:p>
            <w:pPr>
              <w:jc w:val="right"/>
              <w:spacing w:after="0"/>
              <w:rPr>
                <w:sz w:val="20"/>
                <w:szCs w:val="20"/>
                <w:color w:val="auto"/>
              </w:rPr>
            </w:pPr>
            <w:r>
              <w:rPr>
                <w:rFonts w:ascii="Arial" w:cs="Arial" w:eastAsia="Arial" w:hAnsi="Arial"/>
                <w:sz w:val="18"/>
                <w:szCs w:val="18"/>
                <w:color w:val="060606"/>
              </w:rPr>
              <w:t>$3.48</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060606"/>
              </w:rPr>
              <w:t>$3.04</w:t>
            </w:r>
          </w:p>
        </w:tc>
      </w:tr>
    </w:tbl>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920" w:type="dxa"/>
            <w:vAlign w:val="bottom"/>
            <w:gridSpan w:val="4"/>
          </w:tcPr>
          <w:p>
            <w:pPr>
              <w:spacing w:after="0"/>
              <w:rPr>
                <w:sz w:val="20"/>
                <w:szCs w:val="20"/>
                <w:color w:val="auto"/>
              </w:rPr>
            </w:pPr>
            <w:r>
              <w:rPr>
                <w:rFonts w:ascii="Arial" w:cs="Arial" w:eastAsia="Arial" w:hAnsi="Arial"/>
                <w:sz w:val="18"/>
                <w:szCs w:val="18"/>
                <w:color w:val="060606"/>
              </w:rPr>
              <w:t>Statistics (as a % of net revenue, except for income tax rate) - Unaudited</w:t>
            </w: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428"/>
        </w:trPr>
        <w:tc>
          <w:tcPr>
            <w:tcW w:w="3260" w:type="dxa"/>
            <w:vAlign w:val="bottom"/>
          </w:tcPr>
          <w:p>
            <w:pPr>
              <w:spacing w:after="0"/>
              <w:rPr>
                <w:sz w:val="24"/>
                <w:szCs w:val="24"/>
                <w:color w:val="auto"/>
              </w:rPr>
            </w:pPr>
          </w:p>
        </w:tc>
        <w:tc>
          <w:tcPr>
            <w:tcW w:w="4040" w:type="dxa"/>
            <w:vAlign w:val="bottom"/>
            <w:gridSpan w:val="5"/>
          </w:tcPr>
          <w:p>
            <w:pPr>
              <w:jc w:val="center"/>
              <w:ind w:right="100"/>
              <w:spacing w:after="0"/>
              <w:rPr>
                <w:sz w:val="20"/>
                <w:szCs w:val="20"/>
                <w:color w:val="auto"/>
              </w:rPr>
            </w:pPr>
            <w:r>
              <w:rPr>
                <w:rFonts w:ascii="Arial" w:cs="Arial" w:eastAsia="Arial" w:hAnsi="Arial"/>
                <w:sz w:val="18"/>
                <w:szCs w:val="18"/>
                <w:color w:val="060606"/>
              </w:rPr>
              <w:t>GAAP Nine Months Ended</w:t>
            </w:r>
          </w:p>
        </w:tc>
        <w:tc>
          <w:tcPr>
            <w:tcW w:w="3940" w:type="dxa"/>
            <w:vAlign w:val="bottom"/>
            <w:gridSpan w:val="4"/>
          </w:tcPr>
          <w:p>
            <w:pPr>
              <w:jc w:val="center"/>
              <w:spacing w:after="0"/>
              <w:rPr>
                <w:sz w:val="20"/>
                <w:szCs w:val="20"/>
                <w:color w:val="auto"/>
              </w:rPr>
            </w:pPr>
            <w:r>
              <w:rPr>
                <w:rFonts w:ascii="Arial" w:cs="Arial" w:eastAsia="Arial" w:hAnsi="Arial"/>
                <w:sz w:val="18"/>
                <w:szCs w:val="18"/>
                <w:color w:val="060606"/>
              </w:rPr>
              <w:t>Adjusted Nine Months Ended</w:t>
            </w:r>
          </w:p>
        </w:tc>
      </w:tr>
      <w:tr>
        <w:trPr>
          <w:trHeight w:val="241"/>
        </w:trPr>
        <w:tc>
          <w:tcPr>
            <w:tcW w:w="3260" w:type="dxa"/>
            <w:vAlign w:val="bottom"/>
          </w:tcPr>
          <w:p>
            <w:pPr>
              <w:spacing w:after="0"/>
              <w:rPr>
                <w:sz w:val="20"/>
                <w:szCs w:val="20"/>
                <w:color w:val="auto"/>
              </w:rPr>
            </w:pPr>
          </w:p>
        </w:tc>
        <w:tc>
          <w:tcPr>
            <w:tcW w:w="2660" w:type="dxa"/>
            <w:vAlign w:val="bottom"/>
            <w:tcBorders>
              <w:bottom w:val="single" w:sz="8" w:color="auto"/>
            </w:tcBorders>
            <w:gridSpan w:val="3"/>
          </w:tcPr>
          <w:p>
            <w:pPr>
              <w:jc w:val="center"/>
              <w:ind w:left="1190"/>
              <w:spacing w:after="0"/>
              <w:rPr>
                <w:sz w:val="20"/>
                <w:szCs w:val="20"/>
                <w:color w:val="auto"/>
              </w:rPr>
            </w:pPr>
            <w:r>
              <w:rPr>
                <w:rFonts w:ascii="Arial" w:cs="Arial" w:eastAsia="Arial" w:hAnsi="Arial"/>
                <w:sz w:val="18"/>
                <w:szCs w:val="18"/>
                <w:color w:val="060606"/>
                <w:w w:val="99"/>
              </w:rPr>
              <w:t>September 30,</w:t>
            </w:r>
          </w:p>
        </w:tc>
        <w:tc>
          <w:tcPr>
            <w:tcW w:w="12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80" w:type="dxa"/>
            <w:vAlign w:val="bottom"/>
            <w:tcBorders>
              <w:bottom w:val="single" w:sz="8" w:color="auto"/>
            </w:tcBorders>
            <w:gridSpan w:val="3"/>
          </w:tcPr>
          <w:p>
            <w:pPr>
              <w:jc w:val="center"/>
              <w:ind w:left="1170"/>
              <w:spacing w:after="0"/>
              <w:rPr>
                <w:sz w:val="20"/>
                <w:szCs w:val="20"/>
                <w:color w:val="auto"/>
              </w:rPr>
            </w:pPr>
            <w:r>
              <w:rPr>
                <w:rFonts w:ascii="Arial" w:cs="Arial" w:eastAsia="Arial" w:hAnsi="Arial"/>
                <w:sz w:val="18"/>
                <w:szCs w:val="18"/>
                <w:color w:val="060606"/>
                <w:w w:val="99"/>
              </w:rPr>
              <w:t>September 30,</w:t>
            </w:r>
          </w:p>
        </w:tc>
        <w:tc>
          <w:tcPr>
            <w:tcW w:w="1260" w:type="dxa"/>
            <w:vAlign w:val="bottom"/>
            <w:tcBorders>
              <w:bottom w:val="single" w:sz="8" w:color="auto"/>
            </w:tcBorders>
          </w:tcPr>
          <w:p>
            <w:pPr>
              <w:spacing w:after="0"/>
              <w:rPr>
                <w:sz w:val="20"/>
                <w:szCs w:val="20"/>
                <w:color w:val="auto"/>
              </w:rPr>
            </w:pPr>
          </w:p>
        </w:tc>
      </w:tr>
      <w:tr>
        <w:trPr>
          <w:trHeight w:val="239"/>
        </w:trPr>
        <w:tc>
          <w:tcPr>
            <w:tcW w:w="3260" w:type="dxa"/>
            <w:vAlign w:val="bottom"/>
          </w:tcPr>
          <w:p>
            <w:pPr>
              <w:spacing w:after="0"/>
              <w:rPr>
                <w:sz w:val="20"/>
                <w:szCs w:val="20"/>
                <w:color w:val="auto"/>
              </w:rPr>
            </w:pPr>
          </w:p>
        </w:tc>
        <w:tc>
          <w:tcPr>
            <w:tcW w:w="190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060606"/>
              </w:rPr>
              <w:t>2026</w:t>
            </w:r>
          </w:p>
        </w:tc>
        <w:tc>
          <w:tcPr>
            <w:tcW w:w="12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060606"/>
              </w:rPr>
              <w:t>2025</w:t>
            </w:r>
          </w:p>
        </w:tc>
        <w:tc>
          <w:tcPr>
            <w:tcW w:w="120" w:type="dxa"/>
            <w:vAlign w:val="bottom"/>
          </w:tcPr>
          <w:p>
            <w:pPr>
              <w:spacing w:after="0"/>
              <w:rPr>
                <w:sz w:val="20"/>
                <w:szCs w:val="20"/>
                <w:color w:val="auto"/>
              </w:rPr>
            </w:pPr>
          </w:p>
        </w:tc>
        <w:tc>
          <w:tcPr>
            <w:tcW w:w="192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060606"/>
              </w:rPr>
              <w:t>2026</w:t>
            </w:r>
          </w:p>
        </w:tc>
        <w:tc>
          <w:tcPr>
            <w:tcW w:w="10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060606"/>
              </w:rPr>
              <w:t>2025</w:t>
            </w:r>
          </w:p>
        </w:tc>
      </w:tr>
      <w:tr>
        <w:trPr>
          <w:trHeight w:val="241"/>
        </w:trPr>
        <w:tc>
          <w:tcPr>
            <w:tcW w:w="3260" w:type="dxa"/>
            <w:vAlign w:val="bottom"/>
          </w:tcPr>
          <w:p>
            <w:pPr>
              <w:ind w:left="20"/>
              <w:spacing w:after="0"/>
              <w:rPr>
                <w:sz w:val="20"/>
                <w:szCs w:val="20"/>
                <w:color w:val="auto"/>
              </w:rPr>
            </w:pPr>
            <w:r>
              <w:rPr>
                <w:rFonts w:ascii="Arial" w:cs="Arial" w:eastAsia="Arial" w:hAnsi="Arial"/>
                <w:sz w:val="18"/>
                <w:szCs w:val="18"/>
                <w:color w:val="060606"/>
              </w:rPr>
              <w:t>Gross profit</w:t>
            </w:r>
          </w:p>
        </w:tc>
        <w:tc>
          <w:tcPr>
            <w:tcW w:w="1900" w:type="dxa"/>
            <w:vAlign w:val="bottom"/>
          </w:tcPr>
          <w:p>
            <w:pPr>
              <w:jc w:val="right"/>
              <w:spacing w:after="0"/>
              <w:rPr>
                <w:sz w:val="20"/>
                <w:szCs w:val="20"/>
                <w:color w:val="auto"/>
              </w:rPr>
            </w:pPr>
            <w:r>
              <w:rPr>
                <w:rFonts w:ascii="Arial" w:cs="Arial" w:eastAsia="Arial" w:hAnsi="Arial"/>
                <w:sz w:val="18"/>
                <w:szCs w:val="18"/>
                <w:color w:val="060606"/>
              </w:rPr>
              <w:t>68.3 %</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060606"/>
              </w:rPr>
              <w:t>68.2 %</w:t>
            </w:r>
          </w:p>
        </w:tc>
        <w:tc>
          <w:tcPr>
            <w:tcW w:w="12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060606"/>
              </w:rPr>
              <w:t>69.6 %</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060606"/>
              </w:rPr>
              <w:t>69.1 %</w:t>
            </w:r>
          </w:p>
        </w:tc>
      </w:tr>
      <w:tr>
        <w:trPr>
          <w:trHeight w:val="243"/>
        </w:trPr>
        <w:tc>
          <w:tcPr>
            <w:tcW w:w="3260" w:type="dxa"/>
            <w:vAlign w:val="bottom"/>
          </w:tcPr>
          <w:p>
            <w:pPr>
              <w:ind w:left="20"/>
              <w:spacing w:after="0"/>
              <w:rPr>
                <w:sz w:val="20"/>
                <w:szCs w:val="20"/>
                <w:color w:val="auto"/>
              </w:rPr>
            </w:pPr>
            <w:r>
              <w:rPr>
                <w:rFonts w:ascii="Arial" w:cs="Arial" w:eastAsia="Arial" w:hAnsi="Arial"/>
                <w:sz w:val="18"/>
                <w:szCs w:val="18"/>
                <w:color w:val="060606"/>
              </w:rPr>
              <w:t>SG&amp;A</w:t>
            </w:r>
          </w:p>
        </w:tc>
        <w:tc>
          <w:tcPr>
            <w:tcW w:w="1900" w:type="dxa"/>
            <w:vAlign w:val="bottom"/>
          </w:tcPr>
          <w:p>
            <w:pPr>
              <w:jc w:val="right"/>
              <w:spacing w:after="0"/>
              <w:rPr>
                <w:sz w:val="20"/>
                <w:szCs w:val="20"/>
                <w:color w:val="auto"/>
              </w:rPr>
            </w:pPr>
            <w:r>
              <w:rPr>
                <w:rFonts w:ascii="Arial" w:cs="Arial" w:eastAsia="Arial" w:hAnsi="Arial"/>
                <w:sz w:val="18"/>
                <w:szCs w:val="18"/>
                <w:color w:val="060606"/>
              </w:rPr>
              <w:t>39.8 %</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060606"/>
              </w:rPr>
              <w:t>39.5 %</w:t>
            </w:r>
          </w:p>
        </w:tc>
        <w:tc>
          <w:tcPr>
            <w:tcW w:w="12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060606"/>
              </w:rPr>
              <w:t>35.0 %</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060606"/>
              </w:rPr>
              <w:t>35.0 %</w:t>
            </w:r>
          </w:p>
        </w:tc>
      </w:tr>
      <w:tr>
        <w:trPr>
          <w:trHeight w:val="243"/>
        </w:trPr>
        <w:tc>
          <w:tcPr>
            <w:tcW w:w="3260" w:type="dxa"/>
            <w:vAlign w:val="bottom"/>
          </w:tcPr>
          <w:p>
            <w:pPr>
              <w:ind w:left="20"/>
              <w:spacing w:after="0"/>
              <w:rPr>
                <w:sz w:val="20"/>
                <w:szCs w:val="20"/>
                <w:color w:val="auto"/>
              </w:rPr>
            </w:pPr>
            <w:r>
              <w:rPr>
                <w:rFonts w:ascii="Arial" w:cs="Arial" w:eastAsia="Arial" w:hAnsi="Arial"/>
                <w:sz w:val="18"/>
                <w:szCs w:val="18"/>
                <w:color w:val="060606"/>
              </w:rPr>
              <w:t>R&amp;D</w:t>
            </w:r>
          </w:p>
        </w:tc>
        <w:tc>
          <w:tcPr>
            <w:tcW w:w="1900" w:type="dxa"/>
            <w:vAlign w:val="bottom"/>
          </w:tcPr>
          <w:p>
            <w:pPr>
              <w:jc w:val="right"/>
              <w:spacing w:after="0"/>
              <w:rPr>
                <w:sz w:val="20"/>
                <w:szCs w:val="20"/>
                <w:color w:val="auto"/>
              </w:rPr>
            </w:pPr>
            <w:r>
              <w:rPr>
                <w:rFonts w:ascii="Arial" w:cs="Arial" w:eastAsia="Arial" w:hAnsi="Arial"/>
                <w:sz w:val="18"/>
                <w:szCs w:val="18"/>
                <w:color w:val="060606"/>
              </w:rPr>
              <w:t>14.0 %</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060606"/>
              </w:rPr>
              <w:t>13.0 %</w:t>
            </w:r>
          </w:p>
        </w:tc>
        <w:tc>
          <w:tcPr>
            <w:tcW w:w="12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060606"/>
              </w:rPr>
              <w:t>12.4 %</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060606"/>
              </w:rPr>
              <w:t>12.4 %</w:t>
            </w:r>
          </w:p>
        </w:tc>
      </w:tr>
      <w:tr>
        <w:trPr>
          <w:trHeight w:val="243"/>
        </w:trPr>
        <w:tc>
          <w:tcPr>
            <w:tcW w:w="326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1900" w:type="dxa"/>
            <w:vAlign w:val="bottom"/>
          </w:tcPr>
          <w:p>
            <w:pPr>
              <w:jc w:val="right"/>
              <w:spacing w:after="0"/>
              <w:rPr>
                <w:sz w:val="20"/>
                <w:szCs w:val="20"/>
                <w:color w:val="auto"/>
              </w:rPr>
            </w:pPr>
            <w:r>
              <w:rPr>
                <w:rFonts w:ascii="Arial" w:cs="Arial" w:eastAsia="Arial" w:hAnsi="Arial"/>
                <w:sz w:val="18"/>
                <w:szCs w:val="18"/>
                <w:color w:val="060606"/>
              </w:rPr>
              <w:t>10.4 %</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060606"/>
              </w:rPr>
              <w:t>15.3 %</w:t>
            </w:r>
          </w:p>
        </w:tc>
        <w:tc>
          <w:tcPr>
            <w:tcW w:w="12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060606"/>
              </w:rPr>
              <w:t>22.2 %</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060606"/>
              </w:rPr>
              <w:t>21.6 %</w:t>
            </w:r>
          </w:p>
        </w:tc>
      </w:tr>
      <w:tr>
        <w:trPr>
          <w:trHeight w:val="243"/>
        </w:trPr>
        <w:tc>
          <w:tcPr>
            <w:tcW w:w="326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1900" w:type="dxa"/>
            <w:vAlign w:val="bottom"/>
          </w:tcPr>
          <w:p>
            <w:pPr>
              <w:jc w:val="right"/>
              <w:spacing w:after="0"/>
              <w:rPr>
                <w:sz w:val="20"/>
                <w:szCs w:val="20"/>
                <w:color w:val="auto"/>
              </w:rPr>
            </w:pPr>
            <w:r>
              <w:rPr>
                <w:rFonts w:ascii="Arial" w:cs="Arial" w:eastAsia="Arial" w:hAnsi="Arial"/>
                <w:sz w:val="18"/>
                <w:szCs w:val="18"/>
                <w:color w:val="060606"/>
              </w:rPr>
              <w:t>14.4 %</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060606"/>
              </w:rPr>
              <w:t>(26.6)%</w:t>
            </w:r>
          </w:p>
        </w:tc>
        <w:tc>
          <w:tcPr>
            <w:tcW w:w="12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060606"/>
              </w:rPr>
              <w:t>17.1 %</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060606"/>
              </w:rPr>
              <w:t>16.3 %</w:t>
            </w:r>
          </w:p>
        </w:tc>
      </w:tr>
      <w:tr>
        <w:trPr>
          <w:trHeight w:val="243"/>
        </w:trPr>
        <w:tc>
          <w:tcPr>
            <w:tcW w:w="3260" w:type="dxa"/>
            <w:vAlign w:val="bottom"/>
          </w:tcPr>
          <w:p>
            <w:pPr>
              <w:ind w:left="20"/>
              <w:spacing w:after="0"/>
              <w:rPr>
                <w:sz w:val="20"/>
                <w:szCs w:val="20"/>
                <w:color w:val="auto"/>
              </w:rPr>
            </w:pPr>
            <w:r>
              <w:rPr>
                <w:rFonts w:ascii="Arial" w:cs="Arial" w:eastAsia="Arial" w:hAnsi="Arial"/>
                <w:sz w:val="18"/>
                <w:szCs w:val="18"/>
                <w:color w:val="060606"/>
              </w:rPr>
              <w:t>Income tax rate</w:t>
            </w:r>
          </w:p>
        </w:tc>
        <w:tc>
          <w:tcPr>
            <w:tcW w:w="1900" w:type="dxa"/>
            <w:vAlign w:val="bottom"/>
          </w:tcPr>
          <w:p>
            <w:pPr>
              <w:jc w:val="right"/>
              <w:spacing w:after="0"/>
              <w:rPr>
                <w:sz w:val="20"/>
                <w:szCs w:val="20"/>
                <w:color w:val="auto"/>
              </w:rPr>
            </w:pPr>
            <w:r>
              <w:rPr>
                <w:rFonts w:ascii="Arial" w:cs="Arial" w:eastAsia="Arial" w:hAnsi="Arial"/>
                <w:sz w:val="18"/>
                <w:szCs w:val="18"/>
                <w:color w:val="060606"/>
              </w:rPr>
              <w:t>(79.2)%</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060606"/>
              </w:rPr>
              <w:t>(10.0)%</w:t>
            </w:r>
          </w:p>
        </w:tc>
        <w:tc>
          <w:tcPr>
            <w:tcW w:w="12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060606"/>
              </w:rPr>
              <w:t>22.7 %</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060606"/>
              </w:rPr>
              <w:t>22.7 %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22"/>
          <w:szCs w:val="22"/>
          <w:color w:val="060606"/>
        </w:rPr>
        <w:t>13</w:t>
      </w:r>
    </w:p>
    <w:p>
      <w:pPr>
        <w:sectPr>
          <w:pgSz w:w="11900" w:h="16838" w:orient="portrait"/>
          <w:cols w:equalWidth="0" w:num="1">
            <w:col w:w="11240"/>
          </w:cols>
          <w:pgMar w:left="320" w:top="1440" w:right="339" w:bottom="1440" w:gutter="0" w:footer="0" w:header="0"/>
        </w:sectPr>
      </w:pPr>
    </w:p>
    <w:bookmarkStart w:id="16" w:name="page17"/>
    <w:bookmarkEnd w:id="16"/>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RECONCILIATION OF GAAP TO NON-GAAP FINANCIAL MEASURES - UNAUDITED</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 millions, except for per share amounts)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68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spacing w:after="0"/>
              <w:rPr>
                <w:sz w:val="16"/>
                <w:szCs w:val="16"/>
                <w:color w:val="auto"/>
              </w:rPr>
            </w:pPr>
          </w:p>
        </w:tc>
        <w:tc>
          <w:tcPr>
            <w:tcW w:w="1960" w:type="dxa"/>
            <w:vAlign w:val="bottom"/>
            <w:tcBorders>
              <w:top w:val="single" w:sz="8" w:color="auto"/>
              <w:bottom w:val="single" w:sz="8" w:color="auto"/>
            </w:tcBorders>
            <w:gridSpan w:val="3"/>
          </w:tcPr>
          <w:p>
            <w:pPr>
              <w:jc w:val="right"/>
              <w:ind w:right="151"/>
              <w:spacing w:after="0"/>
              <w:rPr>
                <w:sz w:val="20"/>
                <w:szCs w:val="20"/>
                <w:color w:val="auto"/>
              </w:rPr>
            </w:pPr>
            <w:r>
              <w:rPr>
                <w:rFonts w:ascii="Arial" w:cs="Arial" w:eastAsia="Arial" w:hAnsi="Arial"/>
                <w:sz w:val="14"/>
                <w:szCs w:val="14"/>
                <w:color w:val="auto"/>
              </w:rPr>
              <w:t>Non-GAAP Adjustments</w:t>
            </w:r>
          </w:p>
        </w:tc>
        <w:tc>
          <w:tcPr>
            <w:tcW w:w="98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3680" w:type="dxa"/>
            <w:vAlign w:val="bottom"/>
          </w:tcPr>
          <w:p>
            <w:pPr>
              <w:spacing w:after="0"/>
              <w:rPr>
                <w:sz w:val="12"/>
                <w:szCs w:val="12"/>
                <w:color w:val="auto"/>
              </w:rPr>
            </w:pPr>
          </w:p>
        </w:tc>
        <w:tc>
          <w:tcPr>
            <w:tcW w:w="860" w:type="dxa"/>
            <w:vAlign w:val="bottom"/>
            <w:vMerge w:val="restart"/>
          </w:tcPr>
          <w:p>
            <w:pPr>
              <w:jc w:val="center"/>
              <w:ind w:right="11"/>
              <w:spacing w:after="0"/>
              <w:rPr>
                <w:sz w:val="20"/>
                <w:szCs w:val="20"/>
                <w:color w:val="auto"/>
              </w:rPr>
            </w:pPr>
            <w:r>
              <w:rPr>
                <w:rFonts w:ascii="Arial" w:cs="Arial" w:eastAsia="Arial" w:hAnsi="Arial"/>
                <w:sz w:val="13"/>
                <w:szCs w:val="13"/>
                <w:color w:val="auto"/>
                <w:w w:val="93"/>
              </w:rPr>
              <w:t>GAAP</w:t>
            </w:r>
          </w:p>
        </w:tc>
        <w:tc>
          <w:tcPr>
            <w:tcW w:w="1000" w:type="dxa"/>
            <w:vAlign w:val="bottom"/>
          </w:tcPr>
          <w:p>
            <w:pPr>
              <w:jc w:val="center"/>
              <w:spacing w:after="0" w:line="141" w:lineRule="exact"/>
              <w:rPr>
                <w:sz w:val="20"/>
                <w:szCs w:val="20"/>
                <w:color w:val="auto"/>
              </w:rPr>
            </w:pPr>
            <w:r>
              <w:rPr>
                <w:rFonts w:ascii="Arial" w:cs="Arial" w:eastAsia="Arial" w:hAnsi="Arial"/>
                <w:sz w:val="13"/>
                <w:szCs w:val="13"/>
                <w:color w:val="auto"/>
                <w:w w:val="98"/>
              </w:rPr>
              <w:t>Depreciation</w:t>
            </w:r>
          </w:p>
        </w:tc>
        <w:tc>
          <w:tcPr>
            <w:tcW w:w="9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vMerge w:val="restart"/>
          </w:tcPr>
          <w:p>
            <w:pPr>
              <w:jc w:val="center"/>
              <w:spacing w:after="0"/>
              <w:rPr>
                <w:sz w:val="20"/>
                <w:szCs w:val="20"/>
                <w:color w:val="auto"/>
              </w:rPr>
            </w:pPr>
            <w:r>
              <w:rPr>
                <w:rFonts w:ascii="Arial" w:cs="Arial" w:eastAsia="Arial" w:hAnsi="Arial"/>
                <w:sz w:val="13"/>
                <w:szCs w:val="13"/>
                <w:color w:val="auto"/>
                <w:w w:val="95"/>
              </w:rPr>
              <w:t>Certain Legal &amp;</w:t>
            </w:r>
          </w:p>
        </w:tc>
        <w:tc>
          <w:tcPr>
            <w:tcW w:w="980" w:type="dxa"/>
            <w:vAlign w:val="bottom"/>
            <w:vMerge w:val="restart"/>
          </w:tcPr>
          <w:p>
            <w:pPr>
              <w:jc w:val="center"/>
              <w:spacing w:after="0"/>
              <w:rPr>
                <w:sz w:val="20"/>
                <w:szCs w:val="20"/>
                <w:color w:val="auto"/>
              </w:rPr>
            </w:pPr>
            <w:r>
              <w:rPr>
                <w:rFonts w:ascii="Arial" w:cs="Arial" w:eastAsia="Arial" w:hAnsi="Arial"/>
                <w:sz w:val="13"/>
                <w:szCs w:val="13"/>
                <w:color w:val="auto"/>
                <w:w w:val="96"/>
              </w:rPr>
              <w:t>Share-based</w:t>
            </w: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vMerge w:val="restart"/>
          </w:tcPr>
          <w:p>
            <w:pPr>
              <w:jc w:val="center"/>
              <w:spacing w:after="0"/>
              <w:rPr>
                <w:sz w:val="20"/>
                <w:szCs w:val="20"/>
                <w:color w:val="auto"/>
              </w:rPr>
            </w:pPr>
            <w:r>
              <w:rPr>
                <w:rFonts w:ascii="Arial" w:cs="Arial" w:eastAsia="Arial" w:hAnsi="Arial"/>
                <w:sz w:val="13"/>
                <w:szCs w:val="13"/>
                <w:color w:val="auto"/>
                <w:w w:val="98"/>
              </w:rPr>
              <w:t>Adjusted</w:t>
            </w:r>
          </w:p>
        </w:tc>
        <w:tc>
          <w:tcPr>
            <w:tcW w:w="0" w:type="dxa"/>
            <w:vAlign w:val="bottom"/>
          </w:tcPr>
          <w:p>
            <w:pPr>
              <w:spacing w:after="0"/>
              <w:rPr>
                <w:sz w:val="1"/>
                <w:szCs w:val="1"/>
                <w:color w:val="auto"/>
              </w:rPr>
            </w:pPr>
          </w:p>
        </w:tc>
      </w:tr>
      <w:tr>
        <w:trPr>
          <w:trHeight w:val="153"/>
        </w:trPr>
        <w:tc>
          <w:tcPr>
            <w:tcW w:w="3680" w:type="dxa"/>
            <w:vAlign w:val="bottom"/>
            <w:vMerge w:val="restart"/>
          </w:tcPr>
          <w:p>
            <w:pPr>
              <w:ind w:left="20"/>
              <w:spacing w:after="0"/>
              <w:rPr>
                <w:sz w:val="20"/>
                <w:szCs w:val="20"/>
                <w:color w:val="auto"/>
              </w:rPr>
            </w:pPr>
            <w:r>
              <w:rPr>
                <w:rFonts w:ascii="Arial" w:cs="Arial" w:eastAsia="Arial" w:hAnsi="Arial"/>
                <w:sz w:val="14"/>
                <w:szCs w:val="14"/>
                <w:color w:val="auto"/>
              </w:rPr>
              <w:t>Three Months Ended</w:t>
            </w:r>
          </w:p>
        </w:tc>
        <w:tc>
          <w:tcPr>
            <w:tcW w:w="860" w:type="dxa"/>
            <w:vAlign w:val="bottom"/>
            <w:vMerge w:val="continue"/>
          </w:tcPr>
          <w:p>
            <w:pPr>
              <w:spacing w:after="0"/>
              <w:rPr>
                <w:sz w:val="13"/>
                <w:szCs w:val="13"/>
                <w:color w:val="auto"/>
              </w:rPr>
            </w:pPr>
          </w:p>
        </w:tc>
        <w:tc>
          <w:tcPr>
            <w:tcW w:w="1000" w:type="dxa"/>
            <w:vAlign w:val="bottom"/>
          </w:tcPr>
          <w:p>
            <w:pPr>
              <w:jc w:val="center"/>
              <w:spacing w:after="0"/>
              <w:rPr>
                <w:sz w:val="20"/>
                <w:szCs w:val="20"/>
                <w:color w:val="auto"/>
              </w:rPr>
            </w:pPr>
            <w:r>
              <w:rPr>
                <w:rFonts w:ascii="Arial" w:cs="Arial" w:eastAsia="Arial" w:hAnsi="Arial"/>
                <w:sz w:val="13"/>
                <w:szCs w:val="13"/>
                <w:color w:val="auto"/>
                <w:w w:val="92"/>
              </w:rPr>
              <w:t>and</w:t>
            </w:r>
          </w:p>
        </w:tc>
        <w:tc>
          <w:tcPr>
            <w:tcW w:w="920" w:type="dxa"/>
            <w:vAlign w:val="bottom"/>
          </w:tcPr>
          <w:p>
            <w:pPr>
              <w:ind w:left="160"/>
              <w:spacing w:after="0"/>
              <w:rPr>
                <w:sz w:val="20"/>
                <w:szCs w:val="20"/>
                <w:color w:val="auto"/>
              </w:rPr>
            </w:pPr>
            <w:r>
              <w:rPr>
                <w:rFonts w:ascii="Arial" w:cs="Arial" w:eastAsia="Arial" w:hAnsi="Arial"/>
                <w:sz w:val="13"/>
                <w:szCs w:val="13"/>
                <w:color w:val="auto"/>
              </w:rPr>
              <w:t>Financing</w:t>
            </w: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Contingent</w:t>
            </w:r>
          </w:p>
        </w:tc>
        <w:tc>
          <w:tcPr>
            <w:tcW w:w="14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980" w:type="dxa"/>
            <w:vAlign w:val="bottom"/>
            <w:vMerge w:val="continue"/>
          </w:tcPr>
          <w:p>
            <w:pPr>
              <w:spacing w:after="0"/>
              <w:rPr>
                <w:sz w:val="13"/>
                <w:szCs w:val="13"/>
                <w:color w:val="auto"/>
              </w:rPr>
            </w:pPr>
          </w:p>
        </w:tc>
        <w:tc>
          <w:tcPr>
            <w:tcW w:w="900" w:type="dxa"/>
            <w:vAlign w:val="bottom"/>
            <w:gridSpan w:val="2"/>
            <w:vMerge w:val="restart"/>
          </w:tcPr>
          <w:p>
            <w:pPr>
              <w:ind w:left="120"/>
              <w:spacing w:after="0"/>
              <w:rPr>
                <w:sz w:val="20"/>
                <w:szCs w:val="20"/>
                <w:color w:val="auto"/>
              </w:rPr>
            </w:pPr>
            <w:r>
              <w:rPr>
                <w:rFonts w:ascii="Arial" w:cs="Arial" w:eastAsia="Arial" w:hAnsi="Arial"/>
                <w:sz w:val="13"/>
                <w:szCs w:val="13"/>
                <w:color w:val="auto"/>
              </w:rPr>
              <w:t>Certain Tax</w:t>
            </w:r>
          </w:p>
        </w:tc>
        <w:tc>
          <w:tcPr>
            <w:tcW w:w="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4"/>
        </w:trPr>
        <w:tc>
          <w:tcPr>
            <w:tcW w:w="3680" w:type="dxa"/>
            <w:vAlign w:val="bottom"/>
            <w:vMerge w:val="continue"/>
          </w:tcPr>
          <w:p>
            <w:pPr>
              <w:spacing w:after="0"/>
              <w:rPr>
                <w:sz w:val="8"/>
                <w:szCs w:val="8"/>
                <w:color w:val="auto"/>
              </w:rPr>
            </w:pPr>
          </w:p>
        </w:tc>
        <w:tc>
          <w:tcPr>
            <w:tcW w:w="860" w:type="dxa"/>
            <w:vAlign w:val="bottom"/>
          </w:tcPr>
          <w:p>
            <w:pPr>
              <w:jc w:val="center"/>
              <w:ind w:right="11"/>
              <w:spacing w:after="0" w:line="95" w:lineRule="exact"/>
              <w:rPr>
                <w:sz w:val="20"/>
                <w:szCs w:val="20"/>
                <w:color w:val="auto"/>
              </w:rPr>
            </w:pPr>
            <w:r>
              <w:rPr>
                <w:rFonts w:ascii="Arial" w:cs="Arial" w:eastAsia="Arial" w:hAnsi="Arial"/>
                <w:sz w:val="10"/>
                <w:szCs w:val="10"/>
                <w:color w:val="auto"/>
              </w:rPr>
              <w:t>Financial</w:t>
            </w:r>
          </w:p>
        </w:tc>
        <w:tc>
          <w:tcPr>
            <w:tcW w:w="1000" w:type="dxa"/>
            <w:vAlign w:val="bottom"/>
          </w:tcPr>
          <w:p>
            <w:pPr>
              <w:jc w:val="center"/>
              <w:spacing w:after="0" w:line="95" w:lineRule="exact"/>
              <w:rPr>
                <w:sz w:val="20"/>
                <w:szCs w:val="20"/>
                <w:color w:val="auto"/>
              </w:rPr>
            </w:pPr>
            <w:r>
              <w:rPr>
                <w:rFonts w:ascii="Arial" w:cs="Arial" w:eastAsia="Arial" w:hAnsi="Arial"/>
                <w:sz w:val="10"/>
                <w:szCs w:val="10"/>
                <w:color w:val="auto"/>
              </w:rPr>
              <w:t>Amortization</w:t>
            </w:r>
          </w:p>
        </w:tc>
        <w:tc>
          <w:tcPr>
            <w:tcW w:w="920" w:type="dxa"/>
            <w:vAlign w:val="bottom"/>
            <w:vMerge w:val="restart"/>
          </w:tcPr>
          <w:p>
            <w:pPr>
              <w:ind w:left="40"/>
              <w:spacing w:after="0" w:line="135" w:lineRule="exact"/>
              <w:rPr>
                <w:sz w:val="20"/>
                <w:szCs w:val="20"/>
                <w:color w:val="auto"/>
              </w:rPr>
            </w:pPr>
            <w:r>
              <w:rPr>
                <w:rFonts w:ascii="Arial" w:cs="Arial" w:eastAsia="Arial" w:hAnsi="Arial"/>
                <w:sz w:val="13"/>
                <w:szCs w:val="13"/>
                <w:color w:val="auto"/>
              </w:rPr>
              <w:t>Related Items</w:t>
            </w:r>
          </w:p>
        </w:tc>
        <w:tc>
          <w:tcPr>
            <w:tcW w:w="840" w:type="dxa"/>
            <w:vAlign w:val="bottom"/>
            <w:vMerge w:val="continue"/>
          </w:tcPr>
          <w:p>
            <w:pPr>
              <w:spacing w:after="0"/>
              <w:rPr>
                <w:sz w:val="8"/>
                <w:szCs w:val="8"/>
                <w:color w:val="auto"/>
              </w:rPr>
            </w:pPr>
          </w:p>
        </w:tc>
        <w:tc>
          <w:tcPr>
            <w:tcW w:w="140" w:type="dxa"/>
            <w:vAlign w:val="bottom"/>
            <w:vMerge w:val="restart"/>
          </w:tcPr>
          <w:p>
            <w:pPr>
              <w:jc w:val="right"/>
              <w:spacing w:after="0"/>
              <w:rPr>
                <w:sz w:val="20"/>
                <w:szCs w:val="20"/>
                <w:color w:val="auto"/>
              </w:rPr>
            </w:pPr>
            <w:r>
              <w:rPr>
                <w:rFonts w:ascii="Arial" w:cs="Arial" w:eastAsia="Arial" w:hAnsi="Arial"/>
                <w:sz w:val="8"/>
                <w:szCs w:val="8"/>
                <w:color w:val="auto"/>
                <w:w w:val="81"/>
              </w:rPr>
              <w:t>(3)</w:t>
            </w:r>
          </w:p>
        </w:tc>
        <w:tc>
          <w:tcPr>
            <w:tcW w:w="980" w:type="dxa"/>
            <w:vAlign w:val="bottom"/>
          </w:tcPr>
          <w:p>
            <w:pPr>
              <w:jc w:val="center"/>
              <w:spacing w:after="0" w:line="95" w:lineRule="exact"/>
              <w:rPr>
                <w:sz w:val="20"/>
                <w:szCs w:val="20"/>
                <w:color w:val="auto"/>
              </w:rPr>
            </w:pPr>
            <w:r>
              <w:rPr>
                <w:rFonts w:ascii="Arial" w:cs="Arial" w:eastAsia="Arial" w:hAnsi="Arial"/>
                <w:sz w:val="10"/>
                <w:szCs w:val="10"/>
                <w:color w:val="auto"/>
              </w:rPr>
              <w:t>Regulatory</w:t>
            </w:r>
          </w:p>
        </w:tc>
        <w:tc>
          <w:tcPr>
            <w:tcW w:w="980" w:type="dxa"/>
            <w:vAlign w:val="bottom"/>
          </w:tcPr>
          <w:p>
            <w:pPr>
              <w:jc w:val="center"/>
              <w:spacing w:after="0" w:line="95" w:lineRule="exact"/>
              <w:rPr>
                <w:sz w:val="20"/>
                <w:szCs w:val="20"/>
                <w:color w:val="auto"/>
              </w:rPr>
            </w:pPr>
            <w:r>
              <w:rPr>
                <w:rFonts w:ascii="Arial" w:cs="Arial" w:eastAsia="Arial" w:hAnsi="Arial"/>
                <w:sz w:val="10"/>
                <w:szCs w:val="10"/>
                <w:color w:val="auto"/>
              </w:rPr>
              <w:t>Compensation</w:t>
            </w:r>
          </w:p>
        </w:tc>
        <w:tc>
          <w:tcPr>
            <w:tcW w:w="900" w:type="dxa"/>
            <w:vAlign w:val="bottom"/>
            <w:gridSpan w:val="2"/>
            <w:vMerge w:val="continue"/>
          </w:tcPr>
          <w:p>
            <w:pPr>
              <w:spacing w:after="0"/>
              <w:rPr>
                <w:sz w:val="8"/>
                <w:szCs w:val="8"/>
                <w:color w:val="auto"/>
              </w:rPr>
            </w:pPr>
          </w:p>
        </w:tc>
        <w:tc>
          <w:tcPr>
            <w:tcW w:w="940" w:type="dxa"/>
            <w:vAlign w:val="bottom"/>
          </w:tcPr>
          <w:p>
            <w:pPr>
              <w:jc w:val="center"/>
              <w:spacing w:after="0" w:line="95" w:lineRule="exact"/>
              <w:rPr>
                <w:sz w:val="20"/>
                <w:szCs w:val="20"/>
                <w:color w:val="auto"/>
              </w:rPr>
            </w:pPr>
            <w:r>
              <w:rPr>
                <w:rFonts w:ascii="Arial" w:cs="Arial" w:eastAsia="Arial" w:hAnsi="Arial"/>
                <w:sz w:val="10"/>
                <w:szCs w:val="10"/>
                <w:color w:val="auto"/>
              </w:rPr>
              <w:t>Financial</w:t>
            </w:r>
          </w:p>
        </w:tc>
        <w:tc>
          <w:tcPr>
            <w:tcW w:w="0" w:type="dxa"/>
            <w:vAlign w:val="bottom"/>
          </w:tcPr>
          <w:p>
            <w:pPr>
              <w:spacing w:after="0"/>
              <w:rPr>
                <w:sz w:val="1"/>
                <w:szCs w:val="1"/>
                <w:color w:val="auto"/>
              </w:rPr>
            </w:pPr>
          </w:p>
        </w:tc>
      </w:tr>
      <w:tr>
        <w:trPr>
          <w:trHeight w:val="41"/>
        </w:trPr>
        <w:tc>
          <w:tcPr>
            <w:tcW w:w="3680" w:type="dxa"/>
            <w:vAlign w:val="bottom"/>
            <w:vMerge w:val="restart"/>
          </w:tcPr>
          <w:p>
            <w:pPr>
              <w:ind w:left="20"/>
              <w:spacing w:after="0"/>
              <w:rPr>
                <w:sz w:val="20"/>
                <w:szCs w:val="20"/>
                <w:color w:val="auto"/>
              </w:rPr>
            </w:pPr>
            <w:r>
              <w:rPr>
                <w:rFonts w:ascii="Arial" w:cs="Arial" w:eastAsia="Arial" w:hAnsi="Arial"/>
                <w:sz w:val="14"/>
                <w:szCs w:val="14"/>
                <w:color w:val="auto"/>
              </w:rPr>
              <w:t>September 30, 2026</w:t>
            </w:r>
          </w:p>
        </w:tc>
        <w:tc>
          <w:tcPr>
            <w:tcW w:w="860" w:type="dxa"/>
            <w:vAlign w:val="bottom"/>
            <w:vMerge w:val="restart"/>
          </w:tcPr>
          <w:p>
            <w:pPr>
              <w:jc w:val="center"/>
              <w:ind w:right="11"/>
              <w:spacing w:after="0"/>
              <w:rPr>
                <w:sz w:val="20"/>
                <w:szCs w:val="20"/>
                <w:color w:val="auto"/>
              </w:rPr>
            </w:pPr>
            <w:r>
              <w:rPr>
                <w:rFonts w:ascii="Arial" w:cs="Arial" w:eastAsia="Arial" w:hAnsi="Arial"/>
                <w:sz w:val="13"/>
                <w:szCs w:val="13"/>
                <w:color w:val="auto"/>
                <w:w w:val="94"/>
              </w:rPr>
              <w:t>Measures</w:t>
            </w:r>
          </w:p>
        </w:tc>
        <w:tc>
          <w:tcPr>
            <w:tcW w:w="1000" w:type="dxa"/>
            <w:vAlign w:val="bottom"/>
            <w:vMerge w:val="restart"/>
          </w:tcPr>
          <w:p>
            <w:pPr>
              <w:jc w:val="center"/>
              <w:spacing w:after="0" w:line="175" w:lineRule="exact"/>
              <w:rPr>
                <w:sz w:val="20"/>
                <w:szCs w:val="20"/>
                <w:color w:val="auto"/>
              </w:rPr>
            </w:pPr>
            <w:r>
              <w:rPr>
                <w:rFonts w:ascii="Arial" w:cs="Arial" w:eastAsia="Arial" w:hAnsi="Arial"/>
                <w:sz w:val="13"/>
                <w:szCs w:val="13"/>
                <w:color w:val="auto"/>
                <w:w w:val="92"/>
              </w:rPr>
              <w:t xml:space="preserve">Expense </w:t>
            </w:r>
            <w:r>
              <w:rPr>
                <w:rFonts w:ascii="Arial" w:cs="Arial" w:eastAsia="Arial" w:hAnsi="Arial"/>
                <w:sz w:val="16"/>
                <w:szCs w:val="16"/>
                <w:color w:val="auto"/>
                <w:w w:val="92"/>
                <w:vertAlign w:val="superscript"/>
              </w:rPr>
              <w:t>(1)</w:t>
            </w:r>
          </w:p>
        </w:tc>
        <w:tc>
          <w:tcPr>
            <w:tcW w:w="920" w:type="dxa"/>
            <w:vAlign w:val="bottom"/>
            <w:vMerge w:val="continue"/>
          </w:tcPr>
          <w:p>
            <w:pPr>
              <w:spacing w:after="0"/>
              <w:rPr>
                <w:sz w:val="3"/>
                <w:szCs w:val="3"/>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w w:val="97"/>
              </w:rPr>
              <w:t>Consideration</w:t>
            </w:r>
          </w:p>
        </w:tc>
        <w:tc>
          <w:tcPr>
            <w:tcW w:w="140" w:type="dxa"/>
            <w:vAlign w:val="bottom"/>
            <w:vMerge w:val="continue"/>
          </w:tcPr>
          <w:p>
            <w:pPr>
              <w:spacing w:after="0"/>
              <w:rPr>
                <w:sz w:val="3"/>
                <w:szCs w:val="3"/>
                <w:color w:val="auto"/>
              </w:rPr>
            </w:pPr>
          </w:p>
        </w:tc>
        <w:tc>
          <w:tcPr>
            <w:tcW w:w="980" w:type="dxa"/>
            <w:vAlign w:val="bottom"/>
            <w:vMerge w:val="restart"/>
          </w:tcPr>
          <w:p>
            <w:pPr>
              <w:jc w:val="center"/>
              <w:spacing w:after="0" w:line="175" w:lineRule="exact"/>
              <w:rPr>
                <w:sz w:val="20"/>
                <w:szCs w:val="20"/>
                <w:color w:val="auto"/>
              </w:rPr>
            </w:pPr>
            <w:r>
              <w:rPr>
                <w:rFonts w:ascii="Arial" w:cs="Arial" w:eastAsia="Arial" w:hAnsi="Arial"/>
                <w:sz w:val="13"/>
                <w:szCs w:val="13"/>
                <w:color w:val="auto"/>
                <w:w w:val="92"/>
              </w:rPr>
              <w:t xml:space="preserve">Costs </w:t>
            </w:r>
            <w:r>
              <w:rPr>
                <w:rFonts w:ascii="Arial" w:cs="Arial" w:eastAsia="Arial" w:hAnsi="Arial"/>
                <w:sz w:val="16"/>
                <w:szCs w:val="16"/>
                <w:color w:val="auto"/>
                <w:w w:val="92"/>
                <w:vertAlign w:val="superscript"/>
              </w:rPr>
              <w:t>(4)</w:t>
            </w:r>
          </w:p>
        </w:tc>
        <w:tc>
          <w:tcPr>
            <w:tcW w:w="980" w:type="dxa"/>
            <w:vAlign w:val="bottom"/>
            <w:vMerge w:val="restart"/>
          </w:tcPr>
          <w:p>
            <w:pPr>
              <w:jc w:val="center"/>
              <w:spacing w:after="0" w:line="175" w:lineRule="exact"/>
              <w:rPr>
                <w:sz w:val="20"/>
                <w:szCs w:val="20"/>
                <w:color w:val="auto"/>
              </w:rPr>
            </w:pPr>
            <w:r>
              <w:rPr>
                <w:rFonts w:ascii="Arial" w:cs="Arial" w:eastAsia="Arial" w:hAnsi="Arial"/>
                <w:sz w:val="13"/>
                <w:szCs w:val="13"/>
                <w:color w:val="auto"/>
                <w:w w:val="92"/>
              </w:rPr>
              <w:t xml:space="preserve">Costs </w:t>
            </w:r>
            <w:r>
              <w:rPr>
                <w:rFonts w:ascii="Arial" w:cs="Arial" w:eastAsia="Arial" w:hAnsi="Arial"/>
                <w:sz w:val="16"/>
                <w:szCs w:val="16"/>
                <w:color w:val="auto"/>
                <w:w w:val="92"/>
                <w:vertAlign w:val="superscript"/>
              </w:rPr>
              <w:t>(5)</w:t>
            </w: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w w:val="97"/>
              </w:rPr>
              <w:t>Adjustments</w:t>
            </w:r>
          </w:p>
        </w:tc>
        <w:tc>
          <w:tcPr>
            <w:tcW w:w="160" w:type="dxa"/>
            <w:vAlign w:val="bottom"/>
          </w:tcPr>
          <w:p>
            <w:pPr>
              <w:jc w:val="right"/>
              <w:ind w:right="20"/>
              <w:spacing w:after="0" w:line="41" w:lineRule="exact"/>
              <w:rPr>
                <w:sz w:val="20"/>
                <w:szCs w:val="20"/>
                <w:color w:val="auto"/>
              </w:rPr>
            </w:pPr>
            <w:r>
              <w:rPr>
                <w:rFonts w:ascii="Arial" w:cs="Arial" w:eastAsia="Arial" w:hAnsi="Arial"/>
                <w:sz w:val="4"/>
                <w:szCs w:val="4"/>
                <w:color w:val="auto"/>
              </w:rPr>
              <w:t>(6)</w:t>
            </w:r>
          </w:p>
        </w:tc>
        <w:tc>
          <w:tcPr>
            <w:tcW w:w="940" w:type="dxa"/>
            <w:vAlign w:val="bottom"/>
            <w:vMerge w:val="restart"/>
          </w:tcPr>
          <w:p>
            <w:pPr>
              <w:jc w:val="center"/>
              <w:spacing w:after="0"/>
              <w:rPr>
                <w:sz w:val="20"/>
                <w:szCs w:val="20"/>
                <w:color w:val="auto"/>
              </w:rPr>
            </w:pPr>
            <w:r>
              <w:rPr>
                <w:rFonts w:ascii="Arial" w:cs="Arial" w:eastAsia="Arial" w:hAnsi="Arial"/>
                <w:sz w:val="13"/>
                <w:szCs w:val="13"/>
                <w:color w:val="auto"/>
                <w:w w:val="98"/>
              </w:rPr>
              <w:t>Measures</w:t>
            </w:r>
          </w:p>
        </w:tc>
        <w:tc>
          <w:tcPr>
            <w:tcW w:w="0" w:type="dxa"/>
            <w:vAlign w:val="bottom"/>
          </w:tcPr>
          <w:p>
            <w:pPr>
              <w:spacing w:after="0"/>
              <w:rPr>
                <w:sz w:val="1"/>
                <w:szCs w:val="1"/>
                <w:color w:val="auto"/>
              </w:rPr>
            </w:pPr>
          </w:p>
        </w:tc>
      </w:tr>
      <w:tr>
        <w:trPr>
          <w:trHeight w:val="135"/>
        </w:trPr>
        <w:tc>
          <w:tcPr>
            <w:tcW w:w="3680" w:type="dxa"/>
            <w:vAlign w:val="bottom"/>
            <w:tcBorders>
              <w:bottom w:val="single" w:sz="8" w:color="auto"/>
            </w:tcBorders>
            <w:vMerge w:val="continue"/>
          </w:tcPr>
          <w:p>
            <w:pPr>
              <w:spacing w:after="0"/>
              <w:rPr>
                <w:sz w:val="11"/>
                <w:szCs w:val="11"/>
                <w:color w:val="auto"/>
              </w:rPr>
            </w:pPr>
          </w:p>
        </w:tc>
        <w:tc>
          <w:tcPr>
            <w:tcW w:w="860" w:type="dxa"/>
            <w:vAlign w:val="bottom"/>
            <w:tcBorders>
              <w:bottom w:val="single" w:sz="8" w:color="auto"/>
            </w:tcBorders>
            <w:vMerge w:val="continue"/>
          </w:tcPr>
          <w:p>
            <w:pPr>
              <w:spacing w:after="0"/>
              <w:rPr>
                <w:sz w:val="11"/>
                <w:szCs w:val="11"/>
                <w:color w:val="auto"/>
              </w:rPr>
            </w:pPr>
          </w:p>
        </w:tc>
        <w:tc>
          <w:tcPr>
            <w:tcW w:w="1000" w:type="dxa"/>
            <w:vAlign w:val="bottom"/>
            <w:tcBorders>
              <w:bottom w:val="single" w:sz="8" w:color="auto"/>
            </w:tcBorders>
            <w:vMerge w:val="continue"/>
          </w:tcPr>
          <w:p>
            <w:pPr>
              <w:spacing w:after="0"/>
              <w:rPr>
                <w:sz w:val="11"/>
                <w:szCs w:val="11"/>
                <w:color w:val="auto"/>
              </w:rPr>
            </w:pPr>
          </w:p>
        </w:tc>
        <w:tc>
          <w:tcPr>
            <w:tcW w:w="920" w:type="dxa"/>
            <w:vAlign w:val="bottom"/>
            <w:tcBorders>
              <w:bottom w:val="single" w:sz="8" w:color="auto"/>
            </w:tcBorders>
          </w:tcPr>
          <w:p>
            <w:pPr>
              <w:ind w:left="380"/>
              <w:spacing w:after="0"/>
              <w:rPr>
                <w:sz w:val="20"/>
                <w:szCs w:val="20"/>
                <w:color w:val="auto"/>
              </w:rPr>
            </w:pPr>
            <w:r>
              <w:rPr>
                <w:rFonts w:ascii="Arial" w:cs="Arial" w:eastAsia="Arial" w:hAnsi="Arial"/>
                <w:sz w:val="8"/>
                <w:szCs w:val="8"/>
                <w:color w:val="auto"/>
              </w:rPr>
              <w:t>(2)</w:t>
            </w:r>
          </w:p>
        </w:tc>
        <w:tc>
          <w:tcPr>
            <w:tcW w:w="840" w:type="dxa"/>
            <w:vAlign w:val="bottom"/>
            <w:tcBorders>
              <w:bottom w:val="single" w:sz="8" w:color="auto"/>
            </w:tcBorders>
            <w:vMerge w:val="continue"/>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vMerge w:val="continue"/>
          </w:tcPr>
          <w:p>
            <w:pPr>
              <w:spacing w:after="0"/>
              <w:rPr>
                <w:sz w:val="11"/>
                <w:szCs w:val="11"/>
                <w:color w:val="auto"/>
              </w:rPr>
            </w:pPr>
          </w:p>
        </w:tc>
        <w:tc>
          <w:tcPr>
            <w:tcW w:w="980" w:type="dxa"/>
            <w:vAlign w:val="bottom"/>
            <w:tcBorders>
              <w:bottom w:val="single" w:sz="8" w:color="auto"/>
            </w:tcBorders>
            <w:vMerge w:val="continue"/>
          </w:tcPr>
          <w:p>
            <w:pPr>
              <w:spacing w:after="0"/>
              <w:rPr>
                <w:sz w:val="11"/>
                <w:szCs w:val="11"/>
                <w:color w:val="auto"/>
              </w:rPr>
            </w:pPr>
          </w:p>
        </w:tc>
        <w:tc>
          <w:tcPr>
            <w:tcW w:w="740" w:type="dxa"/>
            <w:vAlign w:val="bottom"/>
            <w:tcBorders>
              <w:bottom w:val="single" w:sz="8" w:color="auto"/>
            </w:tcBorders>
            <w:vMerge w:val="continue"/>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1"/>
        </w:trPr>
        <w:tc>
          <w:tcPr>
            <w:tcW w:w="3680" w:type="dxa"/>
            <w:vAlign w:val="bottom"/>
          </w:tcPr>
          <w:p>
            <w:pPr>
              <w:ind w:left="20"/>
              <w:spacing w:after="0"/>
              <w:rPr>
                <w:sz w:val="20"/>
                <w:szCs w:val="20"/>
                <w:color w:val="auto"/>
              </w:rPr>
            </w:pPr>
            <w:r>
              <w:rPr>
                <w:rFonts w:ascii="Arial" w:cs="Arial" w:eastAsia="Arial" w:hAnsi="Arial"/>
                <w:sz w:val="14"/>
                <w:szCs w:val="14"/>
                <w:color w:val="auto"/>
              </w:rPr>
              <w:t>Cost of sales</w:t>
            </w:r>
          </w:p>
        </w:tc>
        <w:tc>
          <w:tcPr>
            <w:tcW w:w="860" w:type="dxa"/>
            <w:vAlign w:val="bottom"/>
          </w:tcPr>
          <w:p>
            <w:pPr>
              <w:jc w:val="right"/>
              <w:ind w:right="131"/>
              <w:spacing w:after="0"/>
              <w:rPr>
                <w:sz w:val="20"/>
                <w:szCs w:val="20"/>
                <w:color w:val="auto"/>
              </w:rPr>
            </w:pPr>
            <w:r>
              <w:rPr>
                <w:rFonts w:ascii="Arial" w:cs="Arial" w:eastAsia="Arial" w:hAnsi="Arial"/>
                <w:sz w:val="14"/>
                <w:szCs w:val="14"/>
                <w:color w:val="060606"/>
              </w:rPr>
              <w:t>$128.1</w:t>
            </w:r>
          </w:p>
        </w:tc>
        <w:tc>
          <w:tcPr>
            <w:tcW w:w="1000" w:type="dxa"/>
            <w:vAlign w:val="bottom"/>
          </w:tcPr>
          <w:p>
            <w:pPr>
              <w:jc w:val="right"/>
              <w:ind w:right="111"/>
              <w:spacing w:after="0"/>
              <w:rPr>
                <w:sz w:val="20"/>
                <w:szCs w:val="20"/>
                <w:color w:val="auto"/>
              </w:rPr>
            </w:pPr>
            <w:r>
              <w:rPr>
                <w:rFonts w:ascii="Arial" w:cs="Arial" w:eastAsia="Arial" w:hAnsi="Arial"/>
                <w:sz w:val="14"/>
                <w:szCs w:val="14"/>
                <w:color w:val="060606"/>
              </w:rPr>
              <w:t>($3.7)</w:t>
            </w:r>
          </w:p>
        </w:tc>
        <w:tc>
          <w:tcPr>
            <w:tcW w:w="920" w:type="dxa"/>
            <w:vAlign w:val="bottom"/>
          </w:tcPr>
          <w:p>
            <w:pPr>
              <w:jc w:val="right"/>
              <w:ind w:right="131"/>
              <w:spacing w:after="0"/>
              <w:rPr>
                <w:sz w:val="20"/>
                <w:szCs w:val="20"/>
                <w:color w:val="auto"/>
              </w:rPr>
            </w:pPr>
            <w:r>
              <w:rPr>
                <w:rFonts w:ascii="Arial" w:cs="Arial" w:eastAsia="Arial" w:hAnsi="Arial"/>
                <w:sz w:val="14"/>
                <w:szCs w:val="14"/>
                <w:color w:val="060606"/>
              </w:rPr>
              <w:t>$—</w:t>
            </w:r>
          </w:p>
        </w:tc>
        <w:tc>
          <w:tcPr>
            <w:tcW w:w="840" w:type="dxa"/>
            <w:vAlign w:val="bottom"/>
          </w:tcPr>
          <w:p>
            <w:pPr>
              <w:jc w:val="right"/>
              <w:spacing w:after="0"/>
              <w:rPr>
                <w:sz w:val="20"/>
                <w:szCs w:val="20"/>
                <w:color w:val="auto"/>
              </w:rPr>
            </w:pPr>
            <w:r>
              <w:rPr>
                <w:rFonts w:ascii="Arial" w:cs="Arial" w:eastAsia="Arial" w:hAnsi="Arial"/>
                <w:sz w:val="14"/>
                <w:szCs w:val="14"/>
                <w:color w:val="060606"/>
              </w:rPr>
              <w:t>($3.3)</w:t>
            </w:r>
          </w:p>
        </w:tc>
        <w:tc>
          <w:tcPr>
            <w:tcW w:w="140" w:type="dxa"/>
            <w:vAlign w:val="bottom"/>
          </w:tcPr>
          <w:p>
            <w:pPr>
              <w:spacing w:after="0"/>
              <w:rPr>
                <w:sz w:val="17"/>
                <w:szCs w:val="17"/>
                <w:color w:val="auto"/>
              </w:rPr>
            </w:pPr>
          </w:p>
        </w:tc>
        <w:tc>
          <w:tcPr>
            <w:tcW w:w="980" w:type="dxa"/>
            <w:vAlign w:val="bottom"/>
          </w:tcPr>
          <w:p>
            <w:pPr>
              <w:jc w:val="right"/>
              <w:ind w:right="151"/>
              <w:spacing w:after="0"/>
              <w:rPr>
                <w:sz w:val="20"/>
                <w:szCs w:val="20"/>
                <w:color w:val="auto"/>
              </w:rPr>
            </w:pPr>
            <w:r>
              <w:rPr>
                <w:rFonts w:ascii="Arial" w:cs="Arial" w:eastAsia="Arial" w:hAnsi="Arial"/>
                <w:sz w:val="14"/>
                <w:szCs w:val="14"/>
                <w:color w:val="060606"/>
              </w:rPr>
              <w:t>$—</w:t>
            </w:r>
          </w:p>
        </w:tc>
        <w:tc>
          <w:tcPr>
            <w:tcW w:w="980" w:type="dxa"/>
            <w:vAlign w:val="bottom"/>
          </w:tcPr>
          <w:p>
            <w:pPr>
              <w:jc w:val="right"/>
              <w:ind w:right="111"/>
              <w:spacing w:after="0"/>
              <w:rPr>
                <w:sz w:val="20"/>
                <w:szCs w:val="20"/>
                <w:color w:val="auto"/>
              </w:rPr>
            </w:pPr>
            <w:r>
              <w:rPr>
                <w:rFonts w:ascii="Arial" w:cs="Arial" w:eastAsia="Arial" w:hAnsi="Arial"/>
                <w:sz w:val="14"/>
                <w:szCs w:val="14"/>
                <w:color w:val="060606"/>
              </w:rPr>
              <w:t>($0.6)</w:t>
            </w:r>
          </w:p>
        </w:tc>
        <w:tc>
          <w:tcPr>
            <w:tcW w:w="740" w:type="dxa"/>
            <w:vAlign w:val="bottom"/>
          </w:tcPr>
          <w:p>
            <w:pPr>
              <w:jc w:val="right"/>
              <w:spacing w:after="0"/>
              <w:rPr>
                <w:sz w:val="20"/>
                <w:szCs w:val="20"/>
                <w:color w:val="auto"/>
              </w:rPr>
            </w:pPr>
            <w:r>
              <w:rPr>
                <w:rFonts w:ascii="Arial" w:cs="Arial" w:eastAsia="Arial" w:hAnsi="Arial"/>
                <w:sz w:val="14"/>
                <w:szCs w:val="14"/>
                <w:color w:val="060606"/>
              </w:rPr>
              <w:t>$—</w:t>
            </w:r>
          </w:p>
        </w:tc>
        <w:tc>
          <w:tcPr>
            <w:tcW w:w="160" w:type="dxa"/>
            <w:vAlign w:val="bottom"/>
          </w:tcPr>
          <w:p>
            <w:pPr>
              <w:spacing w:after="0"/>
              <w:rPr>
                <w:sz w:val="17"/>
                <w:szCs w:val="17"/>
                <w:color w:val="auto"/>
              </w:rPr>
            </w:pPr>
          </w:p>
        </w:tc>
        <w:tc>
          <w:tcPr>
            <w:tcW w:w="940" w:type="dxa"/>
            <w:vAlign w:val="bottom"/>
          </w:tcPr>
          <w:p>
            <w:pPr>
              <w:jc w:val="right"/>
              <w:ind w:right="111"/>
              <w:spacing w:after="0"/>
              <w:rPr>
                <w:sz w:val="20"/>
                <w:szCs w:val="20"/>
                <w:color w:val="auto"/>
              </w:rPr>
            </w:pPr>
            <w:r>
              <w:rPr>
                <w:rFonts w:ascii="Arial" w:cs="Arial" w:eastAsia="Arial" w:hAnsi="Arial"/>
                <w:sz w:val="14"/>
                <w:szCs w:val="14"/>
                <w:color w:val="060606"/>
              </w:rPr>
              <w:t>$120.5</w:t>
            </w:r>
          </w:p>
        </w:tc>
        <w:tc>
          <w:tcPr>
            <w:tcW w:w="0" w:type="dxa"/>
            <w:vAlign w:val="bottom"/>
          </w:tcPr>
          <w:p>
            <w:pPr>
              <w:spacing w:after="0"/>
              <w:rPr>
                <w:sz w:val="1"/>
                <w:szCs w:val="1"/>
                <w:color w:val="auto"/>
              </w:rPr>
            </w:pPr>
          </w:p>
        </w:tc>
      </w:tr>
      <w:tr>
        <w:trPr>
          <w:trHeight w:val="216"/>
        </w:trPr>
        <w:tc>
          <w:tcPr>
            <w:tcW w:w="3680" w:type="dxa"/>
            <w:vAlign w:val="bottom"/>
          </w:tcPr>
          <w:p>
            <w:pPr>
              <w:ind w:left="20"/>
              <w:spacing w:after="0"/>
              <w:rPr>
                <w:sz w:val="20"/>
                <w:szCs w:val="20"/>
                <w:color w:val="auto"/>
              </w:rPr>
            </w:pPr>
            <w:r>
              <w:rPr>
                <w:rFonts w:ascii="Arial" w:cs="Arial" w:eastAsia="Arial" w:hAnsi="Arial"/>
                <w:sz w:val="14"/>
                <w:szCs w:val="14"/>
                <w:color w:val="auto"/>
              </w:rPr>
              <w:t>Gross profit percent</w:t>
            </w:r>
          </w:p>
        </w:tc>
        <w:tc>
          <w:tcPr>
            <w:tcW w:w="860" w:type="dxa"/>
            <w:vAlign w:val="bottom"/>
          </w:tcPr>
          <w:p>
            <w:pPr>
              <w:jc w:val="right"/>
              <w:spacing w:after="0"/>
              <w:rPr>
                <w:sz w:val="20"/>
                <w:szCs w:val="20"/>
                <w:color w:val="auto"/>
              </w:rPr>
            </w:pPr>
            <w:r>
              <w:rPr>
                <w:rFonts w:ascii="Arial" w:cs="Arial" w:eastAsia="Arial" w:hAnsi="Arial"/>
                <w:sz w:val="14"/>
                <w:szCs w:val="14"/>
                <w:color w:val="auto"/>
              </w:rPr>
              <w:t>67.4 %</w:t>
            </w:r>
          </w:p>
        </w:tc>
        <w:tc>
          <w:tcPr>
            <w:tcW w:w="1000" w:type="dxa"/>
            <w:vAlign w:val="bottom"/>
          </w:tcPr>
          <w:p>
            <w:pPr>
              <w:jc w:val="right"/>
              <w:spacing w:after="0"/>
              <w:rPr>
                <w:sz w:val="20"/>
                <w:szCs w:val="20"/>
                <w:color w:val="auto"/>
              </w:rPr>
            </w:pPr>
            <w:r>
              <w:rPr>
                <w:rFonts w:ascii="Arial" w:cs="Arial" w:eastAsia="Arial" w:hAnsi="Arial"/>
                <w:sz w:val="14"/>
                <w:szCs w:val="14"/>
                <w:color w:val="auto"/>
              </w:rPr>
              <w:t>0.9 %</w:t>
            </w:r>
          </w:p>
        </w:tc>
        <w:tc>
          <w:tcPr>
            <w:tcW w:w="920" w:type="dxa"/>
            <w:vAlign w:val="bottom"/>
          </w:tcPr>
          <w:p>
            <w:pPr>
              <w:ind w:left="580"/>
              <w:spacing w:after="0"/>
              <w:rPr>
                <w:sz w:val="20"/>
                <w:szCs w:val="20"/>
                <w:color w:val="auto"/>
              </w:rPr>
            </w:pPr>
            <w:r>
              <w:rPr>
                <w:rFonts w:ascii="Arial" w:cs="Arial" w:eastAsia="Arial" w:hAnsi="Arial"/>
                <w:sz w:val="14"/>
                <w:szCs w:val="14"/>
                <w:color w:val="auto"/>
              </w:rPr>
              <w:t>— %</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0.8 %</w:t>
            </w:r>
          </w:p>
        </w:tc>
        <w:tc>
          <w:tcPr>
            <w:tcW w:w="980" w:type="dxa"/>
            <w:vAlign w:val="bottom"/>
          </w:tcPr>
          <w:p>
            <w:pPr>
              <w:jc w:val="right"/>
              <w:spacing w:after="0"/>
              <w:rPr>
                <w:sz w:val="20"/>
                <w:szCs w:val="20"/>
                <w:color w:val="auto"/>
              </w:rPr>
            </w:pPr>
            <w:r>
              <w:rPr>
                <w:rFonts w:ascii="Arial" w:cs="Arial" w:eastAsia="Arial" w:hAnsi="Arial"/>
                <w:sz w:val="14"/>
                <w:szCs w:val="14"/>
                <w:color w:val="auto"/>
              </w:rPr>
              <w:t>— %</w:t>
            </w:r>
          </w:p>
        </w:tc>
        <w:tc>
          <w:tcPr>
            <w:tcW w:w="980" w:type="dxa"/>
            <w:vAlign w:val="bottom"/>
          </w:tcPr>
          <w:p>
            <w:pPr>
              <w:jc w:val="right"/>
              <w:spacing w:after="0"/>
              <w:rPr>
                <w:sz w:val="20"/>
                <w:szCs w:val="20"/>
                <w:color w:val="auto"/>
              </w:rPr>
            </w:pPr>
            <w:r>
              <w:rPr>
                <w:rFonts w:ascii="Arial" w:cs="Arial" w:eastAsia="Arial" w:hAnsi="Arial"/>
                <w:sz w:val="14"/>
                <w:szCs w:val="14"/>
                <w:color w:val="auto"/>
              </w:rPr>
              <w:t>0.2 %</w:t>
            </w:r>
          </w:p>
        </w:tc>
        <w:tc>
          <w:tcPr>
            <w:tcW w:w="900" w:type="dxa"/>
            <w:vAlign w:val="bottom"/>
            <w:gridSpan w:val="2"/>
          </w:tcPr>
          <w:p>
            <w:pPr>
              <w:ind w:left="580"/>
              <w:spacing w:after="0"/>
              <w:rPr>
                <w:sz w:val="20"/>
                <w:szCs w:val="20"/>
                <w:color w:val="auto"/>
              </w:rPr>
            </w:pPr>
            <w:r>
              <w:rPr>
                <w:rFonts w:ascii="Arial" w:cs="Arial" w:eastAsia="Arial" w:hAnsi="Arial"/>
                <w:sz w:val="14"/>
                <w:szCs w:val="14"/>
                <w:color w:val="auto"/>
                <w:w w:val="98"/>
              </w:rPr>
              <w:t>— %</w:t>
            </w:r>
          </w:p>
        </w:tc>
        <w:tc>
          <w:tcPr>
            <w:tcW w:w="940" w:type="dxa"/>
            <w:vAlign w:val="bottom"/>
          </w:tcPr>
          <w:p>
            <w:pPr>
              <w:jc w:val="right"/>
              <w:spacing w:after="0"/>
              <w:rPr>
                <w:sz w:val="20"/>
                <w:szCs w:val="20"/>
                <w:color w:val="auto"/>
              </w:rPr>
            </w:pPr>
            <w:r>
              <w:rPr>
                <w:rFonts w:ascii="Arial" w:cs="Arial" w:eastAsia="Arial" w:hAnsi="Arial"/>
                <w:sz w:val="14"/>
                <w:szCs w:val="14"/>
                <w:color w:val="auto"/>
              </w:rPr>
              <w:t>69.3 %</w:t>
            </w:r>
          </w:p>
        </w:tc>
        <w:tc>
          <w:tcPr>
            <w:tcW w:w="0" w:type="dxa"/>
            <w:vAlign w:val="bottom"/>
          </w:tcPr>
          <w:p>
            <w:pPr>
              <w:spacing w:after="0"/>
              <w:rPr>
                <w:sz w:val="1"/>
                <w:szCs w:val="1"/>
                <w:color w:val="auto"/>
              </w:rPr>
            </w:pPr>
          </w:p>
        </w:tc>
      </w:tr>
      <w:tr>
        <w:trPr>
          <w:trHeight w:val="216"/>
        </w:trPr>
        <w:tc>
          <w:tcPr>
            <w:tcW w:w="3680" w:type="dxa"/>
            <w:vAlign w:val="bottom"/>
          </w:tcPr>
          <w:p>
            <w:pPr>
              <w:ind w:left="20"/>
              <w:spacing w:after="0"/>
              <w:rPr>
                <w:sz w:val="20"/>
                <w:szCs w:val="20"/>
                <w:color w:val="auto"/>
              </w:rPr>
            </w:pPr>
            <w:r>
              <w:rPr>
                <w:rFonts w:ascii="Arial" w:cs="Arial" w:eastAsia="Arial" w:hAnsi="Arial"/>
                <w:sz w:val="14"/>
                <w:szCs w:val="14"/>
                <w:color w:val="auto"/>
              </w:rPr>
              <w:t>Selling, general, and administrative</w:t>
            </w:r>
          </w:p>
        </w:tc>
        <w:tc>
          <w:tcPr>
            <w:tcW w:w="860" w:type="dxa"/>
            <w:vAlign w:val="bottom"/>
          </w:tcPr>
          <w:p>
            <w:pPr>
              <w:jc w:val="right"/>
              <w:ind w:right="131"/>
              <w:spacing w:after="0"/>
              <w:rPr>
                <w:sz w:val="20"/>
                <w:szCs w:val="20"/>
                <w:color w:val="auto"/>
              </w:rPr>
            </w:pPr>
            <w:r>
              <w:rPr>
                <w:rFonts w:ascii="Arial" w:cs="Arial" w:eastAsia="Arial" w:hAnsi="Arial"/>
                <w:sz w:val="14"/>
                <w:szCs w:val="14"/>
                <w:color w:val="auto"/>
              </w:rPr>
              <w:t>154.9</w:t>
            </w:r>
          </w:p>
        </w:tc>
        <w:tc>
          <w:tcPr>
            <w:tcW w:w="1000" w:type="dxa"/>
            <w:vAlign w:val="bottom"/>
          </w:tcPr>
          <w:p>
            <w:pPr>
              <w:jc w:val="right"/>
              <w:ind w:right="111"/>
              <w:spacing w:after="0"/>
              <w:rPr>
                <w:sz w:val="20"/>
                <w:szCs w:val="20"/>
                <w:color w:val="auto"/>
              </w:rPr>
            </w:pPr>
            <w:r>
              <w:rPr>
                <w:rFonts w:ascii="Arial" w:cs="Arial" w:eastAsia="Arial" w:hAnsi="Arial"/>
                <w:sz w:val="14"/>
                <w:szCs w:val="14"/>
                <w:color w:val="auto"/>
              </w:rPr>
              <w:t>(2.6)</w:t>
            </w:r>
          </w:p>
        </w:tc>
        <w:tc>
          <w:tcPr>
            <w:tcW w:w="920" w:type="dxa"/>
            <w:vAlign w:val="bottom"/>
          </w:tcPr>
          <w:p>
            <w:pPr>
              <w:ind w:left="58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980" w:type="dxa"/>
            <w:vAlign w:val="bottom"/>
          </w:tcPr>
          <w:p>
            <w:pPr>
              <w:jc w:val="right"/>
              <w:ind w:right="111"/>
              <w:spacing w:after="0"/>
              <w:rPr>
                <w:sz w:val="20"/>
                <w:szCs w:val="20"/>
                <w:color w:val="auto"/>
              </w:rPr>
            </w:pPr>
            <w:r>
              <w:rPr>
                <w:rFonts w:ascii="Arial" w:cs="Arial" w:eastAsia="Arial" w:hAnsi="Arial"/>
                <w:sz w:val="14"/>
                <w:szCs w:val="14"/>
                <w:color w:val="auto"/>
              </w:rPr>
              <w:t>(5.6)</w:t>
            </w:r>
          </w:p>
        </w:tc>
        <w:tc>
          <w:tcPr>
            <w:tcW w:w="980" w:type="dxa"/>
            <w:vAlign w:val="bottom"/>
          </w:tcPr>
          <w:p>
            <w:pPr>
              <w:jc w:val="right"/>
              <w:ind w:right="111"/>
              <w:spacing w:after="0"/>
              <w:rPr>
                <w:sz w:val="20"/>
                <w:szCs w:val="20"/>
                <w:color w:val="auto"/>
              </w:rPr>
            </w:pPr>
            <w:r>
              <w:rPr>
                <w:rFonts w:ascii="Arial" w:cs="Arial" w:eastAsia="Arial" w:hAnsi="Arial"/>
                <w:sz w:val="14"/>
                <w:szCs w:val="14"/>
                <w:color w:val="auto"/>
              </w:rPr>
              <w:t>(11.1)</w:t>
            </w:r>
          </w:p>
        </w:tc>
        <w:tc>
          <w:tcPr>
            <w:tcW w:w="740" w:type="dxa"/>
            <w:vAlign w:val="bottom"/>
          </w:tcPr>
          <w:p>
            <w:pPr>
              <w:ind w:left="580"/>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8"/>
                <w:szCs w:val="18"/>
                <w:color w:val="auto"/>
              </w:rPr>
            </w:pPr>
          </w:p>
        </w:tc>
        <w:tc>
          <w:tcPr>
            <w:tcW w:w="940" w:type="dxa"/>
            <w:vAlign w:val="bottom"/>
          </w:tcPr>
          <w:p>
            <w:pPr>
              <w:jc w:val="right"/>
              <w:ind w:right="111"/>
              <w:spacing w:after="0"/>
              <w:rPr>
                <w:sz w:val="20"/>
                <w:szCs w:val="20"/>
                <w:color w:val="auto"/>
              </w:rPr>
            </w:pPr>
            <w:r>
              <w:rPr>
                <w:rFonts w:ascii="Arial" w:cs="Arial" w:eastAsia="Arial" w:hAnsi="Arial"/>
                <w:sz w:val="14"/>
                <w:szCs w:val="14"/>
                <w:color w:val="auto"/>
              </w:rPr>
              <w:t>135.7</w:t>
            </w:r>
          </w:p>
        </w:tc>
        <w:tc>
          <w:tcPr>
            <w:tcW w:w="0" w:type="dxa"/>
            <w:vAlign w:val="bottom"/>
          </w:tcPr>
          <w:p>
            <w:pPr>
              <w:spacing w:after="0"/>
              <w:rPr>
                <w:sz w:val="1"/>
                <w:szCs w:val="1"/>
                <w:color w:val="auto"/>
              </w:rPr>
            </w:pPr>
          </w:p>
        </w:tc>
      </w:tr>
      <w:tr>
        <w:trPr>
          <w:trHeight w:val="174"/>
        </w:trPr>
        <w:tc>
          <w:tcPr>
            <w:tcW w:w="3680" w:type="dxa"/>
            <w:vAlign w:val="bottom"/>
          </w:tcPr>
          <w:p>
            <w:pPr>
              <w:ind w:left="20"/>
              <w:spacing w:after="0"/>
              <w:rPr>
                <w:sz w:val="20"/>
                <w:szCs w:val="20"/>
                <w:color w:val="auto"/>
              </w:rPr>
            </w:pPr>
            <w:r>
              <w:rPr>
                <w:rFonts w:ascii="Arial" w:cs="Arial" w:eastAsia="Arial" w:hAnsi="Arial"/>
                <w:sz w:val="14"/>
                <w:szCs w:val="14"/>
                <w:color w:val="auto"/>
              </w:rPr>
              <w:t>Selling, general, and administrative as a percent of net</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39.4 %</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(0.7)%</w:t>
            </w:r>
          </w:p>
        </w:tc>
        <w:tc>
          <w:tcPr>
            <w:tcW w:w="920" w:type="dxa"/>
            <w:vAlign w:val="bottom"/>
            <w:vMerge w:val="restart"/>
          </w:tcPr>
          <w:p>
            <w:pPr>
              <w:ind w:left="580"/>
              <w:spacing w:after="0"/>
              <w:rPr>
                <w:sz w:val="20"/>
                <w:szCs w:val="20"/>
                <w:color w:val="auto"/>
              </w:rPr>
            </w:pPr>
            <w:r>
              <w:rPr>
                <w:rFonts w:ascii="Arial" w:cs="Arial" w:eastAsia="Arial" w:hAnsi="Arial"/>
                <w:sz w:val="14"/>
                <w:szCs w:val="14"/>
                <w:color w:val="auto"/>
              </w:rPr>
              <w:t>— %</w:t>
            </w:r>
          </w:p>
        </w:tc>
        <w:tc>
          <w:tcPr>
            <w:tcW w:w="980" w:type="dxa"/>
            <w:vAlign w:val="bottom"/>
            <w:gridSpan w:val="2"/>
            <w:vMerge w:val="restart"/>
          </w:tcPr>
          <w:p>
            <w:pPr>
              <w:jc w:val="right"/>
              <w:spacing w:after="0"/>
              <w:rPr>
                <w:sz w:val="20"/>
                <w:szCs w:val="20"/>
                <w:color w:val="auto"/>
              </w:rPr>
            </w:pPr>
            <w:r>
              <w:rPr>
                <w:rFonts w:ascii="Arial" w:cs="Arial" w:eastAsia="Arial" w:hAnsi="Arial"/>
                <w:sz w:val="14"/>
                <w:szCs w:val="14"/>
                <w:color w:val="auto"/>
              </w:rPr>
              <w:t>— %</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(1.4)%</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(2.8)%</w:t>
            </w:r>
          </w:p>
        </w:tc>
        <w:tc>
          <w:tcPr>
            <w:tcW w:w="900" w:type="dxa"/>
            <w:vAlign w:val="bottom"/>
            <w:gridSpan w:val="2"/>
            <w:vMerge w:val="restart"/>
          </w:tcPr>
          <w:p>
            <w:pPr>
              <w:ind w:left="580"/>
              <w:spacing w:after="0"/>
              <w:rPr>
                <w:sz w:val="20"/>
                <w:szCs w:val="20"/>
                <w:color w:val="auto"/>
              </w:rPr>
            </w:pPr>
            <w:r>
              <w:rPr>
                <w:rFonts w:ascii="Arial" w:cs="Arial" w:eastAsia="Arial" w:hAnsi="Arial"/>
                <w:sz w:val="14"/>
                <w:szCs w:val="14"/>
                <w:color w:val="auto"/>
                <w:w w:val="98"/>
              </w:rPr>
              <w:t>— %</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34.5 %</w:t>
            </w:r>
          </w:p>
        </w:tc>
        <w:tc>
          <w:tcPr>
            <w:tcW w:w="0" w:type="dxa"/>
            <w:vAlign w:val="bottom"/>
          </w:tcPr>
          <w:p>
            <w:pPr>
              <w:spacing w:after="0"/>
              <w:rPr>
                <w:sz w:val="1"/>
                <w:szCs w:val="1"/>
                <w:color w:val="auto"/>
              </w:rPr>
            </w:pPr>
          </w:p>
        </w:tc>
      </w:tr>
      <w:tr>
        <w:trPr>
          <w:trHeight w:val="190"/>
        </w:trPr>
        <w:tc>
          <w:tcPr>
            <w:tcW w:w="3680" w:type="dxa"/>
            <w:vAlign w:val="bottom"/>
          </w:tcPr>
          <w:p>
            <w:pPr>
              <w:ind w:left="20"/>
              <w:spacing w:after="0"/>
              <w:rPr>
                <w:sz w:val="20"/>
                <w:szCs w:val="20"/>
                <w:color w:val="auto"/>
              </w:rPr>
            </w:pPr>
            <w:r>
              <w:rPr>
                <w:rFonts w:ascii="Arial" w:cs="Arial" w:eastAsia="Arial" w:hAnsi="Arial"/>
                <w:sz w:val="14"/>
                <w:szCs w:val="14"/>
                <w:color w:val="auto"/>
              </w:rPr>
              <w:t>revenue</w:t>
            </w:r>
          </w:p>
        </w:tc>
        <w:tc>
          <w:tcPr>
            <w:tcW w:w="860" w:type="dxa"/>
            <w:vAlign w:val="bottom"/>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680" w:type="dxa"/>
            <w:vAlign w:val="bottom"/>
          </w:tcPr>
          <w:p>
            <w:pPr>
              <w:ind w:left="20"/>
              <w:spacing w:after="0"/>
              <w:rPr>
                <w:sz w:val="20"/>
                <w:szCs w:val="20"/>
                <w:color w:val="auto"/>
              </w:rPr>
            </w:pPr>
            <w:r>
              <w:rPr>
                <w:rFonts w:ascii="Arial" w:cs="Arial" w:eastAsia="Arial" w:hAnsi="Arial"/>
                <w:sz w:val="14"/>
                <w:szCs w:val="14"/>
                <w:color w:val="auto"/>
              </w:rPr>
              <w:t>Research and development</w:t>
            </w:r>
          </w:p>
        </w:tc>
        <w:tc>
          <w:tcPr>
            <w:tcW w:w="860" w:type="dxa"/>
            <w:vAlign w:val="bottom"/>
          </w:tcPr>
          <w:p>
            <w:pPr>
              <w:jc w:val="right"/>
              <w:ind w:right="131"/>
              <w:spacing w:after="0"/>
              <w:rPr>
                <w:sz w:val="20"/>
                <w:szCs w:val="20"/>
                <w:color w:val="auto"/>
              </w:rPr>
            </w:pPr>
            <w:r>
              <w:rPr>
                <w:rFonts w:ascii="Arial" w:cs="Arial" w:eastAsia="Arial" w:hAnsi="Arial"/>
                <w:sz w:val="14"/>
                <w:szCs w:val="14"/>
                <w:color w:val="auto"/>
              </w:rPr>
              <w:t>47.7</w:t>
            </w:r>
          </w:p>
        </w:tc>
        <w:tc>
          <w:tcPr>
            <w:tcW w:w="1000" w:type="dxa"/>
            <w:vAlign w:val="bottom"/>
          </w:tcPr>
          <w:p>
            <w:pPr>
              <w:jc w:val="right"/>
              <w:ind w:right="151"/>
              <w:spacing w:after="0"/>
              <w:rPr>
                <w:sz w:val="20"/>
                <w:szCs w:val="20"/>
                <w:color w:val="auto"/>
              </w:rPr>
            </w:pPr>
            <w:r>
              <w:rPr>
                <w:rFonts w:ascii="Arial" w:cs="Arial" w:eastAsia="Arial" w:hAnsi="Arial"/>
                <w:sz w:val="14"/>
                <w:szCs w:val="14"/>
                <w:color w:val="auto"/>
              </w:rPr>
              <w:t>—</w:t>
            </w:r>
          </w:p>
        </w:tc>
        <w:tc>
          <w:tcPr>
            <w:tcW w:w="920" w:type="dxa"/>
            <w:vAlign w:val="bottom"/>
          </w:tcPr>
          <w:p>
            <w:pPr>
              <w:ind w:left="58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80" w:type="dxa"/>
            <w:vAlign w:val="bottom"/>
          </w:tcPr>
          <w:p>
            <w:pPr>
              <w:jc w:val="right"/>
              <w:ind w:right="111"/>
              <w:spacing w:after="0"/>
              <w:rPr>
                <w:sz w:val="20"/>
                <w:szCs w:val="20"/>
                <w:color w:val="auto"/>
              </w:rPr>
            </w:pPr>
            <w:r>
              <w:rPr>
                <w:rFonts w:ascii="Arial" w:cs="Arial" w:eastAsia="Arial" w:hAnsi="Arial"/>
                <w:sz w:val="14"/>
                <w:szCs w:val="14"/>
                <w:color w:val="auto"/>
              </w:rPr>
              <w:t>(0.2)</w:t>
            </w:r>
          </w:p>
        </w:tc>
        <w:tc>
          <w:tcPr>
            <w:tcW w:w="980" w:type="dxa"/>
            <w:vAlign w:val="bottom"/>
          </w:tcPr>
          <w:p>
            <w:pPr>
              <w:jc w:val="right"/>
              <w:ind w:right="111"/>
              <w:spacing w:after="0"/>
              <w:rPr>
                <w:sz w:val="20"/>
                <w:szCs w:val="20"/>
                <w:color w:val="auto"/>
              </w:rPr>
            </w:pPr>
            <w:r>
              <w:rPr>
                <w:rFonts w:ascii="Arial" w:cs="Arial" w:eastAsia="Arial" w:hAnsi="Arial"/>
                <w:sz w:val="14"/>
                <w:szCs w:val="14"/>
                <w:color w:val="auto"/>
              </w:rPr>
              <w:t>(2.9)</w:t>
            </w:r>
          </w:p>
        </w:tc>
        <w:tc>
          <w:tcPr>
            <w:tcW w:w="740" w:type="dxa"/>
            <w:vAlign w:val="bottom"/>
          </w:tcPr>
          <w:p>
            <w:pPr>
              <w:ind w:left="580"/>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7"/>
                <w:szCs w:val="17"/>
                <w:color w:val="auto"/>
              </w:rPr>
            </w:pPr>
          </w:p>
        </w:tc>
        <w:tc>
          <w:tcPr>
            <w:tcW w:w="940" w:type="dxa"/>
            <w:vAlign w:val="bottom"/>
          </w:tcPr>
          <w:p>
            <w:pPr>
              <w:jc w:val="right"/>
              <w:ind w:right="111"/>
              <w:spacing w:after="0"/>
              <w:rPr>
                <w:sz w:val="20"/>
                <w:szCs w:val="20"/>
                <w:color w:val="auto"/>
              </w:rPr>
            </w:pPr>
            <w:r>
              <w:rPr>
                <w:rFonts w:ascii="Arial" w:cs="Arial" w:eastAsia="Arial" w:hAnsi="Arial"/>
                <w:sz w:val="14"/>
                <w:szCs w:val="14"/>
                <w:color w:val="auto"/>
              </w:rPr>
              <w:t>44.7</w:t>
            </w:r>
          </w:p>
        </w:tc>
        <w:tc>
          <w:tcPr>
            <w:tcW w:w="0" w:type="dxa"/>
            <w:vAlign w:val="bottom"/>
          </w:tcPr>
          <w:p>
            <w:pPr>
              <w:spacing w:after="0"/>
              <w:rPr>
                <w:sz w:val="1"/>
                <w:szCs w:val="1"/>
                <w:color w:val="auto"/>
              </w:rPr>
            </w:pPr>
          </w:p>
        </w:tc>
      </w:tr>
      <w:tr>
        <w:trPr>
          <w:trHeight w:val="216"/>
        </w:trPr>
        <w:tc>
          <w:tcPr>
            <w:tcW w:w="3680" w:type="dxa"/>
            <w:vAlign w:val="bottom"/>
          </w:tcPr>
          <w:p>
            <w:pPr>
              <w:ind w:left="20"/>
              <w:spacing w:after="0"/>
              <w:rPr>
                <w:sz w:val="20"/>
                <w:szCs w:val="20"/>
                <w:color w:val="auto"/>
              </w:rPr>
            </w:pPr>
            <w:r>
              <w:rPr>
                <w:rFonts w:ascii="Arial" w:cs="Arial" w:eastAsia="Arial" w:hAnsi="Arial"/>
                <w:sz w:val="14"/>
                <w:szCs w:val="14"/>
                <w:color w:val="auto"/>
              </w:rPr>
              <w:t>Research and development as a percent of net revenue</w:t>
            </w:r>
          </w:p>
        </w:tc>
        <w:tc>
          <w:tcPr>
            <w:tcW w:w="860" w:type="dxa"/>
            <w:vAlign w:val="bottom"/>
          </w:tcPr>
          <w:p>
            <w:pPr>
              <w:jc w:val="right"/>
              <w:spacing w:after="0"/>
              <w:rPr>
                <w:sz w:val="20"/>
                <w:szCs w:val="20"/>
                <w:color w:val="auto"/>
              </w:rPr>
            </w:pPr>
            <w:r>
              <w:rPr>
                <w:rFonts w:ascii="Arial" w:cs="Arial" w:eastAsia="Arial" w:hAnsi="Arial"/>
                <w:sz w:val="14"/>
                <w:szCs w:val="14"/>
                <w:color w:val="auto"/>
              </w:rPr>
              <w:t>12.1 %</w:t>
            </w:r>
          </w:p>
        </w:tc>
        <w:tc>
          <w:tcPr>
            <w:tcW w:w="1000" w:type="dxa"/>
            <w:vAlign w:val="bottom"/>
          </w:tcPr>
          <w:p>
            <w:pPr>
              <w:jc w:val="right"/>
              <w:spacing w:after="0"/>
              <w:rPr>
                <w:sz w:val="20"/>
                <w:szCs w:val="20"/>
                <w:color w:val="auto"/>
              </w:rPr>
            </w:pPr>
            <w:r>
              <w:rPr>
                <w:rFonts w:ascii="Arial" w:cs="Arial" w:eastAsia="Arial" w:hAnsi="Arial"/>
                <w:sz w:val="14"/>
                <w:szCs w:val="14"/>
                <w:color w:val="auto"/>
              </w:rPr>
              <w:t>— %</w:t>
            </w:r>
          </w:p>
        </w:tc>
        <w:tc>
          <w:tcPr>
            <w:tcW w:w="920" w:type="dxa"/>
            <w:vAlign w:val="bottom"/>
          </w:tcPr>
          <w:p>
            <w:pPr>
              <w:ind w:left="580"/>
              <w:spacing w:after="0"/>
              <w:rPr>
                <w:sz w:val="20"/>
                <w:szCs w:val="20"/>
                <w:color w:val="auto"/>
              </w:rPr>
            </w:pPr>
            <w:r>
              <w:rPr>
                <w:rFonts w:ascii="Arial" w:cs="Arial" w:eastAsia="Arial" w:hAnsi="Arial"/>
                <w:sz w:val="14"/>
                <w:szCs w:val="14"/>
                <w:color w:val="auto"/>
              </w:rPr>
              <w:t>— %</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 %</w:t>
            </w:r>
          </w:p>
        </w:tc>
        <w:tc>
          <w:tcPr>
            <w:tcW w:w="980" w:type="dxa"/>
            <w:vAlign w:val="bottom"/>
          </w:tcPr>
          <w:p>
            <w:pPr>
              <w:jc w:val="right"/>
              <w:spacing w:after="0"/>
              <w:rPr>
                <w:sz w:val="20"/>
                <w:szCs w:val="20"/>
                <w:color w:val="auto"/>
              </w:rPr>
            </w:pPr>
            <w:r>
              <w:rPr>
                <w:rFonts w:ascii="Arial" w:cs="Arial" w:eastAsia="Arial" w:hAnsi="Arial"/>
                <w:sz w:val="14"/>
                <w:szCs w:val="14"/>
                <w:color w:val="auto"/>
              </w:rPr>
              <w:t>(0.1)%</w:t>
            </w:r>
          </w:p>
        </w:tc>
        <w:tc>
          <w:tcPr>
            <w:tcW w:w="980" w:type="dxa"/>
            <w:vAlign w:val="bottom"/>
          </w:tcPr>
          <w:p>
            <w:pPr>
              <w:jc w:val="right"/>
              <w:spacing w:after="0"/>
              <w:rPr>
                <w:sz w:val="20"/>
                <w:szCs w:val="20"/>
                <w:color w:val="auto"/>
              </w:rPr>
            </w:pPr>
            <w:r>
              <w:rPr>
                <w:rFonts w:ascii="Arial" w:cs="Arial" w:eastAsia="Arial" w:hAnsi="Arial"/>
                <w:sz w:val="14"/>
                <w:szCs w:val="14"/>
                <w:color w:val="auto"/>
              </w:rPr>
              <w:t>(0.7)%</w:t>
            </w:r>
          </w:p>
        </w:tc>
        <w:tc>
          <w:tcPr>
            <w:tcW w:w="900" w:type="dxa"/>
            <w:vAlign w:val="bottom"/>
            <w:gridSpan w:val="2"/>
          </w:tcPr>
          <w:p>
            <w:pPr>
              <w:ind w:left="580"/>
              <w:spacing w:after="0"/>
              <w:rPr>
                <w:sz w:val="20"/>
                <w:szCs w:val="20"/>
                <w:color w:val="auto"/>
              </w:rPr>
            </w:pPr>
            <w:r>
              <w:rPr>
                <w:rFonts w:ascii="Arial" w:cs="Arial" w:eastAsia="Arial" w:hAnsi="Arial"/>
                <w:sz w:val="14"/>
                <w:szCs w:val="14"/>
                <w:color w:val="auto"/>
                <w:w w:val="98"/>
              </w:rPr>
              <w:t>— %</w:t>
            </w:r>
          </w:p>
        </w:tc>
        <w:tc>
          <w:tcPr>
            <w:tcW w:w="940" w:type="dxa"/>
            <w:vAlign w:val="bottom"/>
          </w:tcPr>
          <w:p>
            <w:pPr>
              <w:jc w:val="right"/>
              <w:spacing w:after="0"/>
              <w:rPr>
                <w:sz w:val="20"/>
                <w:szCs w:val="20"/>
                <w:color w:val="auto"/>
              </w:rPr>
            </w:pPr>
            <w:r>
              <w:rPr>
                <w:rFonts w:ascii="Arial" w:cs="Arial" w:eastAsia="Arial" w:hAnsi="Arial"/>
                <w:sz w:val="14"/>
                <w:szCs w:val="14"/>
                <w:color w:val="auto"/>
              </w:rPr>
              <w:t>11.4 %</w:t>
            </w:r>
          </w:p>
        </w:tc>
        <w:tc>
          <w:tcPr>
            <w:tcW w:w="0" w:type="dxa"/>
            <w:vAlign w:val="bottom"/>
          </w:tcPr>
          <w:p>
            <w:pPr>
              <w:spacing w:after="0"/>
              <w:rPr>
                <w:sz w:val="1"/>
                <w:szCs w:val="1"/>
                <w:color w:val="auto"/>
              </w:rPr>
            </w:pPr>
          </w:p>
        </w:tc>
      </w:tr>
      <w:tr>
        <w:trPr>
          <w:trHeight w:val="216"/>
        </w:trPr>
        <w:tc>
          <w:tcPr>
            <w:tcW w:w="3680" w:type="dxa"/>
            <w:vAlign w:val="bottom"/>
          </w:tcPr>
          <w:p>
            <w:pPr>
              <w:ind w:left="20"/>
              <w:spacing w:after="0"/>
              <w:rPr>
                <w:sz w:val="20"/>
                <w:szCs w:val="20"/>
                <w:color w:val="auto"/>
              </w:rPr>
            </w:pPr>
            <w:r>
              <w:rPr>
                <w:rFonts w:ascii="Arial" w:cs="Arial" w:eastAsia="Arial" w:hAnsi="Arial"/>
                <w:sz w:val="14"/>
                <w:szCs w:val="14"/>
                <w:color w:val="auto"/>
              </w:rPr>
              <w:t>Other operating expense</w:t>
            </w:r>
          </w:p>
        </w:tc>
        <w:tc>
          <w:tcPr>
            <w:tcW w:w="860" w:type="dxa"/>
            <w:vAlign w:val="bottom"/>
          </w:tcPr>
          <w:p>
            <w:pPr>
              <w:jc w:val="right"/>
              <w:ind w:right="131"/>
              <w:spacing w:after="0"/>
              <w:rPr>
                <w:sz w:val="20"/>
                <w:szCs w:val="20"/>
                <w:color w:val="auto"/>
              </w:rPr>
            </w:pPr>
            <w:r>
              <w:rPr>
                <w:rFonts w:ascii="Arial" w:cs="Arial" w:eastAsia="Arial" w:hAnsi="Arial"/>
                <w:sz w:val="14"/>
                <w:szCs w:val="14"/>
                <w:color w:val="auto"/>
              </w:rPr>
              <w:t>34.0</w:t>
            </w:r>
          </w:p>
        </w:tc>
        <w:tc>
          <w:tcPr>
            <w:tcW w:w="1000" w:type="dxa"/>
            <w:vAlign w:val="bottom"/>
          </w:tcPr>
          <w:p>
            <w:pPr>
              <w:jc w:val="right"/>
              <w:ind w:right="151"/>
              <w:spacing w:after="0"/>
              <w:rPr>
                <w:sz w:val="20"/>
                <w:szCs w:val="20"/>
                <w:color w:val="auto"/>
              </w:rPr>
            </w:pPr>
            <w:r>
              <w:rPr>
                <w:rFonts w:ascii="Arial" w:cs="Arial" w:eastAsia="Arial" w:hAnsi="Arial"/>
                <w:sz w:val="14"/>
                <w:szCs w:val="14"/>
                <w:color w:val="auto"/>
              </w:rPr>
              <w:t>—</w:t>
            </w:r>
          </w:p>
        </w:tc>
        <w:tc>
          <w:tcPr>
            <w:tcW w:w="920" w:type="dxa"/>
            <w:vAlign w:val="bottom"/>
          </w:tcPr>
          <w:p>
            <w:pPr>
              <w:ind w:left="58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980" w:type="dxa"/>
            <w:vAlign w:val="bottom"/>
          </w:tcPr>
          <w:p>
            <w:pPr>
              <w:jc w:val="right"/>
              <w:ind w:right="111"/>
              <w:spacing w:after="0"/>
              <w:rPr>
                <w:sz w:val="20"/>
                <w:szCs w:val="20"/>
                <w:color w:val="auto"/>
              </w:rPr>
            </w:pPr>
            <w:r>
              <w:rPr>
                <w:rFonts w:ascii="Arial" w:cs="Arial" w:eastAsia="Arial" w:hAnsi="Arial"/>
                <w:sz w:val="14"/>
                <w:szCs w:val="14"/>
                <w:color w:val="auto"/>
              </w:rPr>
              <w:t>(34.0)</w:t>
            </w:r>
          </w:p>
        </w:tc>
        <w:tc>
          <w:tcPr>
            <w:tcW w:w="980" w:type="dxa"/>
            <w:vAlign w:val="bottom"/>
          </w:tcPr>
          <w:p>
            <w:pPr>
              <w:jc w:val="right"/>
              <w:ind w:right="151"/>
              <w:spacing w:after="0"/>
              <w:rPr>
                <w:sz w:val="20"/>
                <w:szCs w:val="20"/>
                <w:color w:val="auto"/>
              </w:rPr>
            </w:pPr>
            <w:r>
              <w:rPr>
                <w:rFonts w:ascii="Arial" w:cs="Arial" w:eastAsia="Arial" w:hAnsi="Arial"/>
                <w:sz w:val="14"/>
                <w:szCs w:val="14"/>
                <w:color w:val="auto"/>
              </w:rPr>
              <w:t>—</w:t>
            </w:r>
          </w:p>
        </w:tc>
        <w:tc>
          <w:tcPr>
            <w:tcW w:w="740" w:type="dxa"/>
            <w:vAlign w:val="bottom"/>
          </w:tcPr>
          <w:p>
            <w:pPr>
              <w:ind w:left="580"/>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8"/>
                <w:szCs w:val="18"/>
                <w:color w:val="auto"/>
              </w:rPr>
            </w:pPr>
          </w:p>
        </w:tc>
        <w:tc>
          <w:tcPr>
            <w:tcW w:w="94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3680" w:type="dxa"/>
            <w:vAlign w:val="bottom"/>
          </w:tcPr>
          <w:p>
            <w:pPr>
              <w:ind w:left="20"/>
              <w:spacing w:after="0"/>
              <w:rPr>
                <w:sz w:val="20"/>
                <w:szCs w:val="20"/>
                <w:color w:val="auto"/>
              </w:rPr>
            </w:pPr>
            <w:r>
              <w:rPr>
                <w:rFonts w:ascii="Arial" w:cs="Arial" w:eastAsia="Arial" w:hAnsi="Arial"/>
                <w:sz w:val="14"/>
                <w:szCs w:val="14"/>
                <w:color w:val="auto"/>
              </w:rPr>
              <w:t>Operating income</w:t>
            </w:r>
          </w:p>
        </w:tc>
        <w:tc>
          <w:tcPr>
            <w:tcW w:w="860" w:type="dxa"/>
            <w:vAlign w:val="bottom"/>
          </w:tcPr>
          <w:p>
            <w:pPr>
              <w:jc w:val="right"/>
              <w:ind w:right="131"/>
              <w:spacing w:after="0"/>
              <w:rPr>
                <w:sz w:val="20"/>
                <w:szCs w:val="20"/>
                <w:color w:val="auto"/>
              </w:rPr>
            </w:pPr>
            <w:r>
              <w:rPr>
                <w:rFonts w:ascii="Arial" w:cs="Arial" w:eastAsia="Arial" w:hAnsi="Arial"/>
                <w:sz w:val="14"/>
                <w:szCs w:val="14"/>
                <w:color w:val="auto"/>
              </w:rPr>
              <w:t>28.4</w:t>
            </w:r>
          </w:p>
        </w:tc>
        <w:tc>
          <w:tcPr>
            <w:tcW w:w="1000" w:type="dxa"/>
            <w:vAlign w:val="bottom"/>
          </w:tcPr>
          <w:p>
            <w:pPr>
              <w:jc w:val="right"/>
              <w:ind w:right="151"/>
              <w:spacing w:after="0"/>
              <w:rPr>
                <w:sz w:val="20"/>
                <w:szCs w:val="20"/>
                <w:color w:val="auto"/>
              </w:rPr>
            </w:pPr>
            <w:r>
              <w:rPr>
                <w:rFonts w:ascii="Arial" w:cs="Arial" w:eastAsia="Arial" w:hAnsi="Arial"/>
                <w:sz w:val="14"/>
                <w:szCs w:val="14"/>
                <w:color w:val="auto"/>
              </w:rPr>
              <w:t>6.2</w:t>
            </w:r>
          </w:p>
        </w:tc>
        <w:tc>
          <w:tcPr>
            <w:tcW w:w="920" w:type="dxa"/>
            <w:vAlign w:val="bottom"/>
          </w:tcPr>
          <w:p>
            <w:pPr>
              <w:ind w:left="58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3.3</w:t>
            </w:r>
          </w:p>
        </w:tc>
        <w:tc>
          <w:tcPr>
            <w:tcW w:w="140" w:type="dxa"/>
            <w:vAlign w:val="bottom"/>
          </w:tcPr>
          <w:p>
            <w:pPr>
              <w:spacing w:after="0"/>
              <w:rPr>
                <w:sz w:val="18"/>
                <w:szCs w:val="18"/>
                <w:color w:val="auto"/>
              </w:rPr>
            </w:pPr>
          </w:p>
        </w:tc>
        <w:tc>
          <w:tcPr>
            <w:tcW w:w="980" w:type="dxa"/>
            <w:vAlign w:val="bottom"/>
          </w:tcPr>
          <w:p>
            <w:pPr>
              <w:jc w:val="right"/>
              <w:ind w:right="151"/>
              <w:spacing w:after="0"/>
              <w:rPr>
                <w:sz w:val="20"/>
                <w:szCs w:val="20"/>
                <w:color w:val="auto"/>
              </w:rPr>
            </w:pPr>
            <w:r>
              <w:rPr>
                <w:rFonts w:ascii="Arial" w:cs="Arial" w:eastAsia="Arial" w:hAnsi="Arial"/>
                <w:sz w:val="14"/>
                <w:szCs w:val="14"/>
                <w:color w:val="auto"/>
              </w:rPr>
              <w:t>39.8</w:t>
            </w:r>
          </w:p>
        </w:tc>
        <w:tc>
          <w:tcPr>
            <w:tcW w:w="980" w:type="dxa"/>
            <w:vAlign w:val="bottom"/>
          </w:tcPr>
          <w:p>
            <w:pPr>
              <w:jc w:val="right"/>
              <w:ind w:right="151"/>
              <w:spacing w:after="0"/>
              <w:rPr>
                <w:sz w:val="20"/>
                <w:szCs w:val="20"/>
                <w:color w:val="auto"/>
              </w:rPr>
            </w:pPr>
            <w:r>
              <w:rPr>
                <w:rFonts w:ascii="Arial" w:cs="Arial" w:eastAsia="Arial" w:hAnsi="Arial"/>
                <w:sz w:val="14"/>
                <w:szCs w:val="14"/>
                <w:color w:val="auto"/>
              </w:rPr>
              <w:t>14.6</w:t>
            </w:r>
          </w:p>
        </w:tc>
        <w:tc>
          <w:tcPr>
            <w:tcW w:w="740" w:type="dxa"/>
            <w:vAlign w:val="bottom"/>
          </w:tcPr>
          <w:p>
            <w:pPr>
              <w:ind w:left="580"/>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8"/>
                <w:szCs w:val="18"/>
                <w:color w:val="auto"/>
              </w:rPr>
            </w:pPr>
          </w:p>
        </w:tc>
        <w:tc>
          <w:tcPr>
            <w:tcW w:w="940" w:type="dxa"/>
            <w:vAlign w:val="bottom"/>
          </w:tcPr>
          <w:p>
            <w:pPr>
              <w:jc w:val="right"/>
              <w:ind w:right="111"/>
              <w:spacing w:after="0"/>
              <w:rPr>
                <w:sz w:val="20"/>
                <w:szCs w:val="20"/>
                <w:color w:val="auto"/>
              </w:rPr>
            </w:pPr>
            <w:r>
              <w:rPr>
                <w:rFonts w:ascii="Arial" w:cs="Arial" w:eastAsia="Arial" w:hAnsi="Arial"/>
                <w:sz w:val="14"/>
                <w:szCs w:val="14"/>
                <w:color w:val="auto"/>
              </w:rPr>
              <w:t>92.3</w:t>
            </w:r>
          </w:p>
        </w:tc>
        <w:tc>
          <w:tcPr>
            <w:tcW w:w="0" w:type="dxa"/>
            <w:vAlign w:val="bottom"/>
          </w:tcPr>
          <w:p>
            <w:pPr>
              <w:spacing w:after="0"/>
              <w:rPr>
                <w:sz w:val="1"/>
                <w:szCs w:val="1"/>
                <w:color w:val="auto"/>
              </w:rPr>
            </w:pPr>
          </w:p>
        </w:tc>
      </w:tr>
      <w:tr>
        <w:trPr>
          <w:trHeight w:val="216"/>
        </w:trPr>
        <w:tc>
          <w:tcPr>
            <w:tcW w:w="3680" w:type="dxa"/>
            <w:vAlign w:val="bottom"/>
          </w:tcPr>
          <w:p>
            <w:pPr>
              <w:ind w:left="20"/>
              <w:spacing w:after="0"/>
              <w:rPr>
                <w:sz w:val="20"/>
                <w:szCs w:val="20"/>
                <w:color w:val="auto"/>
              </w:rPr>
            </w:pPr>
            <w:r>
              <w:rPr>
                <w:rFonts w:ascii="Arial" w:cs="Arial" w:eastAsia="Arial" w:hAnsi="Arial"/>
                <w:sz w:val="14"/>
                <w:szCs w:val="14"/>
                <w:color w:val="auto"/>
              </w:rPr>
              <w:t>Operating margin percent</w:t>
            </w:r>
          </w:p>
        </w:tc>
        <w:tc>
          <w:tcPr>
            <w:tcW w:w="860" w:type="dxa"/>
            <w:vAlign w:val="bottom"/>
          </w:tcPr>
          <w:p>
            <w:pPr>
              <w:jc w:val="right"/>
              <w:spacing w:after="0"/>
              <w:rPr>
                <w:sz w:val="20"/>
                <w:szCs w:val="20"/>
                <w:color w:val="auto"/>
              </w:rPr>
            </w:pPr>
            <w:r>
              <w:rPr>
                <w:rFonts w:ascii="Arial" w:cs="Arial" w:eastAsia="Arial" w:hAnsi="Arial"/>
                <w:sz w:val="14"/>
                <w:szCs w:val="14"/>
                <w:color w:val="auto"/>
              </w:rPr>
              <w:t>7.2 %</w:t>
            </w:r>
          </w:p>
        </w:tc>
        <w:tc>
          <w:tcPr>
            <w:tcW w:w="1000" w:type="dxa"/>
            <w:vAlign w:val="bottom"/>
          </w:tcPr>
          <w:p>
            <w:pPr>
              <w:jc w:val="right"/>
              <w:spacing w:after="0"/>
              <w:rPr>
                <w:sz w:val="20"/>
                <w:szCs w:val="20"/>
                <w:color w:val="auto"/>
              </w:rPr>
            </w:pPr>
            <w:r>
              <w:rPr>
                <w:rFonts w:ascii="Arial" w:cs="Arial" w:eastAsia="Arial" w:hAnsi="Arial"/>
                <w:sz w:val="14"/>
                <w:szCs w:val="14"/>
                <w:color w:val="auto"/>
              </w:rPr>
              <w:t>1.6 %</w:t>
            </w:r>
          </w:p>
        </w:tc>
        <w:tc>
          <w:tcPr>
            <w:tcW w:w="920" w:type="dxa"/>
            <w:vAlign w:val="bottom"/>
          </w:tcPr>
          <w:p>
            <w:pPr>
              <w:ind w:left="580"/>
              <w:spacing w:after="0"/>
              <w:rPr>
                <w:sz w:val="20"/>
                <w:szCs w:val="20"/>
                <w:color w:val="auto"/>
              </w:rPr>
            </w:pPr>
            <w:r>
              <w:rPr>
                <w:rFonts w:ascii="Arial" w:cs="Arial" w:eastAsia="Arial" w:hAnsi="Arial"/>
                <w:sz w:val="14"/>
                <w:szCs w:val="14"/>
                <w:color w:val="auto"/>
              </w:rPr>
              <w:t>— %</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0.8 %</w:t>
            </w:r>
          </w:p>
        </w:tc>
        <w:tc>
          <w:tcPr>
            <w:tcW w:w="980" w:type="dxa"/>
            <w:vAlign w:val="bottom"/>
          </w:tcPr>
          <w:p>
            <w:pPr>
              <w:jc w:val="right"/>
              <w:spacing w:after="0"/>
              <w:rPr>
                <w:sz w:val="20"/>
                <w:szCs w:val="20"/>
                <w:color w:val="auto"/>
              </w:rPr>
            </w:pPr>
            <w:r>
              <w:rPr>
                <w:rFonts w:ascii="Arial" w:cs="Arial" w:eastAsia="Arial" w:hAnsi="Arial"/>
                <w:sz w:val="14"/>
                <w:szCs w:val="14"/>
                <w:color w:val="auto"/>
              </w:rPr>
              <w:t>10.1 %</w:t>
            </w:r>
          </w:p>
        </w:tc>
        <w:tc>
          <w:tcPr>
            <w:tcW w:w="980" w:type="dxa"/>
            <w:vAlign w:val="bottom"/>
          </w:tcPr>
          <w:p>
            <w:pPr>
              <w:jc w:val="right"/>
              <w:spacing w:after="0"/>
              <w:rPr>
                <w:sz w:val="20"/>
                <w:szCs w:val="20"/>
                <w:color w:val="auto"/>
              </w:rPr>
            </w:pPr>
            <w:r>
              <w:rPr>
                <w:rFonts w:ascii="Arial" w:cs="Arial" w:eastAsia="Arial" w:hAnsi="Arial"/>
                <w:sz w:val="14"/>
                <w:szCs w:val="14"/>
                <w:color w:val="auto"/>
              </w:rPr>
              <w:t>3.7 %</w:t>
            </w:r>
          </w:p>
        </w:tc>
        <w:tc>
          <w:tcPr>
            <w:tcW w:w="900" w:type="dxa"/>
            <w:vAlign w:val="bottom"/>
            <w:gridSpan w:val="2"/>
          </w:tcPr>
          <w:p>
            <w:pPr>
              <w:ind w:left="580"/>
              <w:spacing w:after="0"/>
              <w:rPr>
                <w:sz w:val="20"/>
                <w:szCs w:val="20"/>
                <w:color w:val="auto"/>
              </w:rPr>
            </w:pPr>
            <w:r>
              <w:rPr>
                <w:rFonts w:ascii="Arial" w:cs="Arial" w:eastAsia="Arial" w:hAnsi="Arial"/>
                <w:sz w:val="14"/>
                <w:szCs w:val="14"/>
                <w:color w:val="auto"/>
                <w:w w:val="98"/>
              </w:rPr>
              <w:t>— %</w:t>
            </w:r>
          </w:p>
        </w:tc>
        <w:tc>
          <w:tcPr>
            <w:tcW w:w="940" w:type="dxa"/>
            <w:vAlign w:val="bottom"/>
          </w:tcPr>
          <w:p>
            <w:pPr>
              <w:jc w:val="right"/>
              <w:spacing w:after="0"/>
              <w:rPr>
                <w:sz w:val="20"/>
                <w:szCs w:val="20"/>
                <w:color w:val="auto"/>
              </w:rPr>
            </w:pPr>
            <w:r>
              <w:rPr>
                <w:rFonts w:ascii="Arial" w:cs="Arial" w:eastAsia="Arial" w:hAnsi="Arial"/>
                <w:sz w:val="14"/>
                <w:szCs w:val="14"/>
                <w:color w:val="auto"/>
              </w:rPr>
              <w:t>23.5 %</w:t>
            </w:r>
          </w:p>
        </w:tc>
        <w:tc>
          <w:tcPr>
            <w:tcW w:w="0" w:type="dxa"/>
            <w:vAlign w:val="bottom"/>
          </w:tcPr>
          <w:p>
            <w:pPr>
              <w:spacing w:after="0"/>
              <w:rPr>
                <w:sz w:val="1"/>
                <w:szCs w:val="1"/>
                <w:color w:val="auto"/>
              </w:rPr>
            </w:pPr>
          </w:p>
        </w:tc>
      </w:tr>
      <w:tr>
        <w:trPr>
          <w:trHeight w:val="216"/>
        </w:trPr>
        <w:tc>
          <w:tcPr>
            <w:tcW w:w="368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860" w:type="dxa"/>
            <w:vAlign w:val="bottom"/>
          </w:tcPr>
          <w:p>
            <w:pPr>
              <w:jc w:val="right"/>
              <w:ind w:right="131"/>
              <w:spacing w:after="0"/>
              <w:rPr>
                <w:sz w:val="20"/>
                <w:szCs w:val="20"/>
                <w:color w:val="auto"/>
              </w:rPr>
            </w:pPr>
            <w:r>
              <w:rPr>
                <w:rFonts w:ascii="Arial" w:cs="Arial" w:eastAsia="Arial" w:hAnsi="Arial"/>
                <w:sz w:val="14"/>
                <w:szCs w:val="14"/>
                <w:color w:val="auto"/>
              </w:rPr>
              <w:t>34.3</w:t>
            </w:r>
          </w:p>
        </w:tc>
        <w:tc>
          <w:tcPr>
            <w:tcW w:w="1000" w:type="dxa"/>
            <w:vAlign w:val="bottom"/>
          </w:tcPr>
          <w:p>
            <w:pPr>
              <w:jc w:val="right"/>
              <w:ind w:right="151"/>
              <w:spacing w:after="0"/>
              <w:rPr>
                <w:sz w:val="20"/>
                <w:szCs w:val="20"/>
                <w:color w:val="auto"/>
              </w:rPr>
            </w:pPr>
            <w:r>
              <w:rPr>
                <w:rFonts w:ascii="Arial" w:cs="Arial" w:eastAsia="Arial" w:hAnsi="Arial"/>
                <w:sz w:val="14"/>
                <w:szCs w:val="14"/>
                <w:color w:val="auto"/>
              </w:rPr>
              <w:t>6.2</w:t>
            </w:r>
          </w:p>
        </w:tc>
        <w:tc>
          <w:tcPr>
            <w:tcW w:w="920" w:type="dxa"/>
            <w:vAlign w:val="bottom"/>
          </w:tcPr>
          <w:p>
            <w:pPr>
              <w:ind w:left="380"/>
              <w:spacing w:after="0"/>
              <w:rPr>
                <w:sz w:val="20"/>
                <w:szCs w:val="20"/>
                <w:color w:val="auto"/>
              </w:rPr>
            </w:pPr>
            <w:r>
              <w:rPr>
                <w:rFonts w:ascii="Arial" w:cs="Arial" w:eastAsia="Arial" w:hAnsi="Arial"/>
                <w:sz w:val="14"/>
                <w:szCs w:val="14"/>
                <w:color w:val="auto"/>
              </w:rPr>
              <w:t>(18.3)</w:t>
            </w:r>
          </w:p>
        </w:tc>
        <w:tc>
          <w:tcPr>
            <w:tcW w:w="840" w:type="dxa"/>
            <w:vAlign w:val="bottom"/>
          </w:tcPr>
          <w:p>
            <w:pPr>
              <w:jc w:val="right"/>
              <w:spacing w:after="0"/>
              <w:rPr>
                <w:sz w:val="20"/>
                <w:szCs w:val="20"/>
                <w:color w:val="auto"/>
              </w:rPr>
            </w:pPr>
            <w:r>
              <w:rPr>
                <w:rFonts w:ascii="Arial" w:cs="Arial" w:eastAsia="Arial" w:hAnsi="Arial"/>
                <w:sz w:val="14"/>
                <w:szCs w:val="14"/>
                <w:color w:val="auto"/>
              </w:rPr>
              <w:t>3.3</w:t>
            </w:r>
          </w:p>
        </w:tc>
        <w:tc>
          <w:tcPr>
            <w:tcW w:w="140" w:type="dxa"/>
            <w:vAlign w:val="bottom"/>
          </w:tcPr>
          <w:p>
            <w:pPr>
              <w:spacing w:after="0"/>
              <w:rPr>
                <w:sz w:val="18"/>
                <w:szCs w:val="18"/>
                <w:color w:val="auto"/>
              </w:rPr>
            </w:pPr>
          </w:p>
        </w:tc>
        <w:tc>
          <w:tcPr>
            <w:tcW w:w="980" w:type="dxa"/>
            <w:vAlign w:val="bottom"/>
          </w:tcPr>
          <w:p>
            <w:pPr>
              <w:jc w:val="right"/>
              <w:ind w:right="151"/>
              <w:spacing w:after="0"/>
              <w:rPr>
                <w:sz w:val="20"/>
                <w:szCs w:val="20"/>
                <w:color w:val="auto"/>
              </w:rPr>
            </w:pPr>
            <w:r>
              <w:rPr>
                <w:rFonts w:ascii="Arial" w:cs="Arial" w:eastAsia="Arial" w:hAnsi="Arial"/>
                <w:sz w:val="14"/>
                <w:szCs w:val="14"/>
                <w:color w:val="auto"/>
              </w:rPr>
              <w:t>39.8</w:t>
            </w:r>
          </w:p>
        </w:tc>
        <w:tc>
          <w:tcPr>
            <w:tcW w:w="980" w:type="dxa"/>
            <w:vAlign w:val="bottom"/>
          </w:tcPr>
          <w:p>
            <w:pPr>
              <w:jc w:val="right"/>
              <w:ind w:right="151"/>
              <w:spacing w:after="0"/>
              <w:rPr>
                <w:sz w:val="20"/>
                <w:szCs w:val="20"/>
                <w:color w:val="auto"/>
              </w:rPr>
            </w:pPr>
            <w:r>
              <w:rPr>
                <w:rFonts w:ascii="Arial" w:cs="Arial" w:eastAsia="Arial" w:hAnsi="Arial"/>
                <w:sz w:val="14"/>
                <w:szCs w:val="14"/>
                <w:color w:val="auto"/>
              </w:rPr>
              <w:t>14.6</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(9.1)</w:t>
            </w:r>
          </w:p>
        </w:tc>
        <w:tc>
          <w:tcPr>
            <w:tcW w:w="940" w:type="dxa"/>
            <w:vAlign w:val="bottom"/>
          </w:tcPr>
          <w:p>
            <w:pPr>
              <w:jc w:val="right"/>
              <w:ind w:right="111"/>
              <w:spacing w:after="0"/>
              <w:rPr>
                <w:sz w:val="20"/>
                <w:szCs w:val="20"/>
                <w:color w:val="auto"/>
              </w:rPr>
            </w:pPr>
            <w:r>
              <w:rPr>
                <w:rFonts w:ascii="Arial" w:cs="Arial" w:eastAsia="Arial" w:hAnsi="Arial"/>
                <w:sz w:val="14"/>
                <w:szCs w:val="14"/>
                <w:color w:val="auto"/>
              </w:rPr>
              <w:t>70.7</w:t>
            </w:r>
          </w:p>
        </w:tc>
        <w:tc>
          <w:tcPr>
            <w:tcW w:w="0" w:type="dxa"/>
            <w:vAlign w:val="bottom"/>
          </w:tcPr>
          <w:p>
            <w:pPr>
              <w:spacing w:after="0"/>
              <w:rPr>
                <w:sz w:val="1"/>
                <w:szCs w:val="1"/>
                <w:color w:val="auto"/>
              </w:rPr>
            </w:pPr>
          </w:p>
        </w:tc>
      </w:tr>
      <w:tr>
        <w:trPr>
          <w:trHeight w:val="216"/>
        </w:trPr>
        <w:tc>
          <w:tcPr>
            <w:tcW w:w="3680" w:type="dxa"/>
            <w:vAlign w:val="bottom"/>
          </w:tcPr>
          <w:p>
            <w:pPr>
              <w:ind w:left="20"/>
              <w:spacing w:after="0"/>
              <w:rPr>
                <w:sz w:val="20"/>
                <w:szCs w:val="20"/>
                <w:color w:val="auto"/>
              </w:rPr>
            </w:pPr>
            <w:r>
              <w:rPr>
                <w:rFonts w:ascii="Arial" w:cs="Arial" w:eastAsia="Arial" w:hAnsi="Arial"/>
                <w:sz w:val="14"/>
                <w:szCs w:val="14"/>
                <w:color w:val="auto"/>
              </w:rPr>
              <w:t>Net income as a percent of net revenue</w:t>
            </w:r>
          </w:p>
        </w:tc>
        <w:tc>
          <w:tcPr>
            <w:tcW w:w="860" w:type="dxa"/>
            <w:vAlign w:val="bottom"/>
          </w:tcPr>
          <w:p>
            <w:pPr>
              <w:jc w:val="right"/>
              <w:spacing w:after="0"/>
              <w:rPr>
                <w:sz w:val="20"/>
                <w:szCs w:val="20"/>
                <w:color w:val="auto"/>
              </w:rPr>
            </w:pPr>
            <w:r>
              <w:rPr>
                <w:rFonts w:ascii="Arial" w:cs="Arial" w:eastAsia="Arial" w:hAnsi="Arial"/>
                <w:sz w:val="14"/>
                <w:szCs w:val="14"/>
                <w:color w:val="auto"/>
              </w:rPr>
              <w:t>8.7 %</w:t>
            </w:r>
          </w:p>
        </w:tc>
        <w:tc>
          <w:tcPr>
            <w:tcW w:w="1000" w:type="dxa"/>
            <w:vAlign w:val="bottom"/>
          </w:tcPr>
          <w:p>
            <w:pPr>
              <w:jc w:val="right"/>
              <w:spacing w:after="0"/>
              <w:rPr>
                <w:sz w:val="20"/>
                <w:szCs w:val="20"/>
                <w:color w:val="auto"/>
              </w:rPr>
            </w:pPr>
            <w:r>
              <w:rPr>
                <w:rFonts w:ascii="Arial" w:cs="Arial" w:eastAsia="Arial" w:hAnsi="Arial"/>
                <w:sz w:val="14"/>
                <w:szCs w:val="14"/>
                <w:color w:val="auto"/>
              </w:rPr>
              <w:t>1.6 %</w:t>
            </w:r>
          </w:p>
        </w:tc>
        <w:tc>
          <w:tcPr>
            <w:tcW w:w="920" w:type="dxa"/>
            <w:vAlign w:val="bottom"/>
          </w:tcPr>
          <w:p>
            <w:pPr>
              <w:ind w:left="460"/>
              <w:spacing w:after="0"/>
              <w:rPr>
                <w:sz w:val="20"/>
                <w:szCs w:val="20"/>
                <w:color w:val="auto"/>
              </w:rPr>
            </w:pPr>
            <w:r>
              <w:rPr>
                <w:rFonts w:ascii="Arial" w:cs="Arial" w:eastAsia="Arial" w:hAnsi="Arial"/>
                <w:sz w:val="14"/>
                <w:szCs w:val="14"/>
                <w:color w:val="auto"/>
              </w:rPr>
              <w:t>(4.7)%</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0.8 %</w:t>
            </w:r>
          </w:p>
        </w:tc>
        <w:tc>
          <w:tcPr>
            <w:tcW w:w="980" w:type="dxa"/>
            <w:vAlign w:val="bottom"/>
          </w:tcPr>
          <w:p>
            <w:pPr>
              <w:jc w:val="right"/>
              <w:spacing w:after="0"/>
              <w:rPr>
                <w:sz w:val="20"/>
                <w:szCs w:val="20"/>
                <w:color w:val="auto"/>
              </w:rPr>
            </w:pPr>
            <w:r>
              <w:rPr>
                <w:rFonts w:ascii="Arial" w:cs="Arial" w:eastAsia="Arial" w:hAnsi="Arial"/>
                <w:sz w:val="14"/>
                <w:szCs w:val="14"/>
                <w:color w:val="auto"/>
              </w:rPr>
              <w:t>10.1 %</w:t>
            </w:r>
          </w:p>
        </w:tc>
        <w:tc>
          <w:tcPr>
            <w:tcW w:w="980" w:type="dxa"/>
            <w:vAlign w:val="bottom"/>
          </w:tcPr>
          <w:p>
            <w:pPr>
              <w:jc w:val="right"/>
              <w:spacing w:after="0"/>
              <w:rPr>
                <w:sz w:val="20"/>
                <w:szCs w:val="20"/>
                <w:color w:val="auto"/>
              </w:rPr>
            </w:pPr>
            <w:r>
              <w:rPr>
                <w:rFonts w:ascii="Arial" w:cs="Arial" w:eastAsia="Arial" w:hAnsi="Arial"/>
                <w:sz w:val="14"/>
                <w:szCs w:val="14"/>
                <w:color w:val="auto"/>
              </w:rPr>
              <w:t>3.7 %</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(2.3)%</w:t>
            </w:r>
          </w:p>
        </w:tc>
        <w:tc>
          <w:tcPr>
            <w:tcW w:w="940" w:type="dxa"/>
            <w:vAlign w:val="bottom"/>
          </w:tcPr>
          <w:p>
            <w:pPr>
              <w:jc w:val="right"/>
              <w:spacing w:after="0"/>
              <w:rPr>
                <w:sz w:val="20"/>
                <w:szCs w:val="20"/>
                <w:color w:val="auto"/>
              </w:rPr>
            </w:pPr>
            <w:r>
              <w:rPr>
                <w:rFonts w:ascii="Arial" w:cs="Arial" w:eastAsia="Arial" w:hAnsi="Arial"/>
                <w:sz w:val="14"/>
                <w:szCs w:val="14"/>
                <w:color w:val="auto"/>
              </w:rPr>
              <w:t>18.0 %</w:t>
            </w:r>
          </w:p>
        </w:tc>
        <w:tc>
          <w:tcPr>
            <w:tcW w:w="0" w:type="dxa"/>
            <w:vAlign w:val="bottom"/>
          </w:tcPr>
          <w:p>
            <w:pPr>
              <w:spacing w:after="0"/>
              <w:rPr>
                <w:sz w:val="1"/>
                <w:szCs w:val="1"/>
                <w:color w:val="auto"/>
              </w:rPr>
            </w:pPr>
          </w:p>
        </w:tc>
      </w:tr>
      <w:tr>
        <w:trPr>
          <w:trHeight w:val="216"/>
        </w:trPr>
        <w:tc>
          <w:tcPr>
            <w:tcW w:w="3680" w:type="dxa"/>
            <w:vAlign w:val="bottom"/>
          </w:tcPr>
          <w:p>
            <w:pPr>
              <w:ind w:left="20"/>
              <w:spacing w:after="0"/>
              <w:rPr>
                <w:sz w:val="20"/>
                <w:szCs w:val="20"/>
                <w:color w:val="auto"/>
              </w:rPr>
            </w:pPr>
            <w:r>
              <w:rPr>
                <w:rFonts w:ascii="Arial" w:cs="Arial" w:eastAsia="Arial" w:hAnsi="Arial"/>
                <w:sz w:val="14"/>
                <w:szCs w:val="14"/>
                <w:color w:val="auto"/>
              </w:rPr>
              <w:t>Diluted earnings per share</w:t>
            </w:r>
          </w:p>
        </w:tc>
        <w:tc>
          <w:tcPr>
            <w:tcW w:w="860" w:type="dxa"/>
            <w:vAlign w:val="bottom"/>
          </w:tcPr>
          <w:p>
            <w:pPr>
              <w:jc w:val="right"/>
              <w:ind w:right="131"/>
              <w:spacing w:after="0"/>
              <w:rPr>
                <w:sz w:val="20"/>
                <w:szCs w:val="20"/>
                <w:color w:val="auto"/>
              </w:rPr>
            </w:pPr>
            <w:r>
              <w:rPr>
                <w:rFonts w:ascii="Arial" w:cs="Arial" w:eastAsia="Arial" w:hAnsi="Arial"/>
                <w:sz w:val="14"/>
                <w:szCs w:val="14"/>
                <w:color w:val="060606"/>
              </w:rPr>
              <w:t>$0.11</w:t>
            </w:r>
          </w:p>
        </w:tc>
        <w:tc>
          <w:tcPr>
            <w:tcW w:w="1000" w:type="dxa"/>
            <w:vAlign w:val="bottom"/>
          </w:tcPr>
          <w:p>
            <w:pPr>
              <w:jc w:val="right"/>
              <w:ind w:right="151"/>
              <w:spacing w:after="0"/>
              <w:rPr>
                <w:sz w:val="20"/>
                <w:szCs w:val="20"/>
                <w:color w:val="auto"/>
              </w:rPr>
            </w:pPr>
            <w:r>
              <w:rPr>
                <w:rFonts w:ascii="Arial" w:cs="Arial" w:eastAsia="Arial" w:hAnsi="Arial"/>
                <w:sz w:val="14"/>
                <w:szCs w:val="14"/>
                <w:color w:val="060606"/>
              </w:rPr>
              <w:t>$0.11</w:t>
            </w:r>
          </w:p>
        </w:tc>
        <w:tc>
          <w:tcPr>
            <w:tcW w:w="920" w:type="dxa"/>
            <w:vAlign w:val="bottom"/>
          </w:tcPr>
          <w:p>
            <w:pPr>
              <w:jc w:val="right"/>
              <w:ind w:right="131"/>
              <w:spacing w:after="0"/>
              <w:rPr>
                <w:sz w:val="20"/>
                <w:szCs w:val="20"/>
                <w:color w:val="auto"/>
              </w:rPr>
            </w:pPr>
            <w:r>
              <w:rPr>
                <w:rFonts w:ascii="Arial" w:cs="Arial" w:eastAsia="Arial" w:hAnsi="Arial"/>
                <w:sz w:val="14"/>
                <w:szCs w:val="14"/>
                <w:color w:val="060606"/>
              </w:rPr>
              <w:t>$0.17</w:t>
            </w:r>
          </w:p>
        </w:tc>
        <w:tc>
          <w:tcPr>
            <w:tcW w:w="840" w:type="dxa"/>
            <w:vAlign w:val="bottom"/>
          </w:tcPr>
          <w:p>
            <w:pPr>
              <w:jc w:val="right"/>
              <w:spacing w:after="0"/>
              <w:rPr>
                <w:sz w:val="20"/>
                <w:szCs w:val="20"/>
                <w:color w:val="auto"/>
              </w:rPr>
            </w:pPr>
            <w:r>
              <w:rPr>
                <w:rFonts w:ascii="Arial" w:cs="Arial" w:eastAsia="Arial" w:hAnsi="Arial"/>
                <w:sz w:val="14"/>
                <w:szCs w:val="14"/>
                <w:color w:val="060606"/>
              </w:rPr>
              <w:t>$0.06</w:t>
            </w:r>
          </w:p>
        </w:tc>
        <w:tc>
          <w:tcPr>
            <w:tcW w:w="140" w:type="dxa"/>
            <w:vAlign w:val="bottom"/>
          </w:tcPr>
          <w:p>
            <w:pPr>
              <w:spacing w:after="0"/>
              <w:rPr>
                <w:sz w:val="18"/>
                <w:szCs w:val="18"/>
                <w:color w:val="auto"/>
              </w:rPr>
            </w:pPr>
          </w:p>
        </w:tc>
        <w:tc>
          <w:tcPr>
            <w:tcW w:w="980" w:type="dxa"/>
            <w:vAlign w:val="bottom"/>
          </w:tcPr>
          <w:p>
            <w:pPr>
              <w:jc w:val="right"/>
              <w:ind w:right="151"/>
              <w:spacing w:after="0"/>
              <w:rPr>
                <w:sz w:val="20"/>
                <w:szCs w:val="20"/>
                <w:color w:val="auto"/>
              </w:rPr>
            </w:pPr>
            <w:r>
              <w:rPr>
                <w:rFonts w:ascii="Arial" w:cs="Arial" w:eastAsia="Arial" w:hAnsi="Arial"/>
                <w:sz w:val="14"/>
                <w:szCs w:val="14"/>
                <w:color w:val="060606"/>
              </w:rPr>
              <w:t>$0.69</w:t>
            </w:r>
          </w:p>
        </w:tc>
        <w:tc>
          <w:tcPr>
            <w:tcW w:w="980" w:type="dxa"/>
            <w:vAlign w:val="bottom"/>
          </w:tcPr>
          <w:p>
            <w:pPr>
              <w:jc w:val="right"/>
              <w:ind w:right="151"/>
              <w:spacing w:after="0"/>
              <w:rPr>
                <w:sz w:val="20"/>
                <w:szCs w:val="20"/>
                <w:color w:val="auto"/>
              </w:rPr>
            </w:pPr>
            <w:r>
              <w:rPr>
                <w:rFonts w:ascii="Arial" w:cs="Arial" w:eastAsia="Arial" w:hAnsi="Arial"/>
                <w:sz w:val="14"/>
                <w:szCs w:val="14"/>
                <w:color w:val="060606"/>
              </w:rPr>
              <w:t>$0.25</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060606"/>
              </w:rPr>
              <w:t>($0.16)</w:t>
            </w:r>
          </w:p>
        </w:tc>
        <w:tc>
          <w:tcPr>
            <w:tcW w:w="940" w:type="dxa"/>
            <w:vAlign w:val="bottom"/>
          </w:tcPr>
          <w:p>
            <w:pPr>
              <w:jc w:val="right"/>
              <w:ind w:right="111"/>
              <w:spacing w:after="0"/>
              <w:rPr>
                <w:sz w:val="20"/>
                <w:szCs w:val="20"/>
                <w:color w:val="auto"/>
              </w:rPr>
            </w:pPr>
            <w:r>
              <w:rPr>
                <w:rFonts w:ascii="Arial" w:cs="Arial" w:eastAsia="Arial" w:hAnsi="Arial"/>
                <w:sz w:val="14"/>
                <w:szCs w:val="14"/>
                <w:color w:val="060606"/>
              </w:rPr>
              <w:t>$1.23</w:t>
            </w:r>
          </w:p>
        </w:tc>
        <w:tc>
          <w:tcPr>
            <w:tcW w:w="0" w:type="dxa"/>
            <w:vAlign w:val="bottom"/>
          </w:tcPr>
          <w:p>
            <w:pPr>
              <w:spacing w:after="0"/>
              <w:rPr>
                <w:sz w:val="1"/>
                <w:szCs w:val="1"/>
                <w:color w:val="auto"/>
              </w:rPr>
            </w:pPr>
          </w:p>
        </w:tc>
      </w:tr>
    </w:tbl>
    <w:p>
      <w:pPr>
        <w:spacing w:after="0" w:line="304" w:lineRule="exact"/>
        <w:rPr>
          <w:sz w:val="20"/>
          <w:szCs w:val="20"/>
          <w:color w:val="auto"/>
        </w:rPr>
      </w:pPr>
    </w:p>
    <w:p>
      <w:pPr>
        <w:spacing w:after="0"/>
        <w:rPr>
          <w:sz w:val="20"/>
          <w:szCs w:val="20"/>
          <w:color w:val="auto"/>
        </w:rPr>
      </w:pPr>
      <w:r>
        <w:rPr>
          <w:rFonts w:ascii="Arial" w:cs="Arial" w:eastAsia="Arial" w:hAnsi="Arial"/>
          <w:sz w:val="16"/>
          <w:szCs w:val="16"/>
          <w:color w:val="060606"/>
        </w:rPr>
        <w:t>GAAP results for the three months ended September 30, 2026 include:</w:t>
      </w:r>
    </w:p>
    <w:p>
      <w:pPr>
        <w:ind w:left="320" w:hanging="312"/>
        <w:spacing w:after="0" w:line="231" w:lineRule="auto"/>
        <w:tabs>
          <w:tab w:leader="none" w:pos="320" w:val="left"/>
        </w:tabs>
        <w:numPr>
          <w:ilvl w:val="0"/>
          <w:numId w:val="13"/>
        </w:numPr>
        <w:rPr>
          <w:rFonts w:ascii="Arial" w:cs="Arial" w:eastAsia="Arial" w:hAnsi="Arial"/>
          <w:sz w:val="21"/>
          <w:szCs w:val="21"/>
          <w:color w:val="060606"/>
          <w:vertAlign w:val="superscript"/>
        </w:rPr>
      </w:pPr>
      <w:r>
        <w:rPr>
          <w:rFonts w:ascii="Arial" w:cs="Arial" w:eastAsia="Arial" w:hAnsi="Arial"/>
          <w:sz w:val="16"/>
          <w:szCs w:val="16"/>
          <w:color w:val="060606"/>
        </w:rPr>
        <w:t>Depreciation and amortization associated with purchase price accounting</w:t>
      </w:r>
    </w:p>
    <w:p>
      <w:pPr>
        <w:spacing w:after="0" w:line="4" w:lineRule="exact"/>
        <w:rPr>
          <w:rFonts w:ascii="Arial" w:cs="Arial" w:eastAsia="Arial" w:hAnsi="Arial"/>
          <w:sz w:val="21"/>
          <w:szCs w:val="21"/>
          <w:color w:val="060606"/>
          <w:vertAlign w:val="superscript"/>
        </w:rPr>
      </w:pPr>
    </w:p>
    <w:p>
      <w:pPr>
        <w:ind w:left="320" w:hanging="312"/>
        <w:spacing w:after="0" w:line="197" w:lineRule="auto"/>
        <w:tabs>
          <w:tab w:leader="none" w:pos="320" w:val="left"/>
        </w:tabs>
        <w:numPr>
          <w:ilvl w:val="0"/>
          <w:numId w:val="13"/>
        </w:numPr>
        <w:rPr>
          <w:rFonts w:ascii="Arial" w:cs="Arial" w:eastAsia="Arial" w:hAnsi="Arial"/>
          <w:sz w:val="21"/>
          <w:szCs w:val="21"/>
          <w:color w:val="060606"/>
          <w:vertAlign w:val="superscript"/>
        </w:rPr>
      </w:pPr>
      <w:r>
        <w:rPr>
          <w:rFonts w:ascii="Arial" w:cs="Arial" w:eastAsia="Arial" w:hAnsi="Arial"/>
          <w:sz w:val="16"/>
          <w:szCs w:val="16"/>
          <w:color w:val="060606"/>
        </w:rPr>
        <w:t>Mark-to-market adjustments for the 2029 Notes embedded and capped call derivatives, and non-cash interest expense</w:t>
      </w:r>
    </w:p>
    <w:p>
      <w:pPr>
        <w:spacing w:after="0" w:line="4" w:lineRule="exact"/>
        <w:rPr>
          <w:rFonts w:ascii="Arial" w:cs="Arial" w:eastAsia="Arial" w:hAnsi="Arial"/>
          <w:sz w:val="21"/>
          <w:szCs w:val="21"/>
          <w:color w:val="060606"/>
          <w:vertAlign w:val="superscript"/>
        </w:rPr>
      </w:pPr>
    </w:p>
    <w:p>
      <w:pPr>
        <w:ind w:left="320" w:hanging="312"/>
        <w:spacing w:after="0" w:line="197" w:lineRule="auto"/>
        <w:tabs>
          <w:tab w:leader="none" w:pos="320" w:val="left"/>
        </w:tabs>
        <w:numPr>
          <w:ilvl w:val="0"/>
          <w:numId w:val="13"/>
        </w:numPr>
        <w:rPr>
          <w:rFonts w:ascii="Arial" w:cs="Arial" w:eastAsia="Arial" w:hAnsi="Arial"/>
          <w:sz w:val="21"/>
          <w:szCs w:val="21"/>
          <w:color w:val="060606"/>
          <w:vertAlign w:val="superscript"/>
        </w:rPr>
      </w:pPr>
      <w:r>
        <w:rPr>
          <w:rFonts w:ascii="Arial" w:cs="Arial" w:eastAsia="Arial" w:hAnsi="Arial"/>
          <w:sz w:val="16"/>
          <w:szCs w:val="16"/>
          <w:color w:val="060606"/>
        </w:rPr>
        <w:t>Remeasurement of contingent consideration related to the ImThera acquisition</w:t>
      </w:r>
    </w:p>
    <w:p>
      <w:pPr>
        <w:spacing w:after="0" w:line="4" w:lineRule="exact"/>
        <w:rPr>
          <w:rFonts w:ascii="Arial" w:cs="Arial" w:eastAsia="Arial" w:hAnsi="Arial"/>
          <w:sz w:val="21"/>
          <w:szCs w:val="21"/>
          <w:color w:val="060606"/>
          <w:vertAlign w:val="superscript"/>
        </w:rPr>
      </w:pPr>
    </w:p>
    <w:p>
      <w:pPr>
        <w:ind w:left="320" w:hanging="312"/>
        <w:spacing w:after="0" w:line="197" w:lineRule="auto"/>
        <w:tabs>
          <w:tab w:leader="none" w:pos="320" w:val="left"/>
        </w:tabs>
        <w:numPr>
          <w:ilvl w:val="0"/>
          <w:numId w:val="13"/>
        </w:numPr>
        <w:rPr>
          <w:rFonts w:ascii="Arial" w:cs="Arial" w:eastAsia="Arial" w:hAnsi="Arial"/>
          <w:sz w:val="21"/>
          <w:szCs w:val="21"/>
          <w:color w:val="060606"/>
          <w:vertAlign w:val="superscript"/>
        </w:rPr>
      </w:pPr>
      <w:r>
        <w:rPr>
          <w:rFonts w:ascii="Arial" w:cs="Arial" w:eastAsia="Arial" w:hAnsi="Arial"/>
          <w:sz w:val="16"/>
          <w:szCs w:val="16"/>
          <w:color w:val="060606"/>
        </w:rPr>
        <w:t>3T Heater-Cooler litigation provision, and legal expenses primarily related to 3T Heater-Cooler defense</w:t>
      </w:r>
    </w:p>
    <w:p>
      <w:pPr>
        <w:spacing w:after="0" w:line="4" w:lineRule="exact"/>
        <w:rPr>
          <w:rFonts w:ascii="Arial" w:cs="Arial" w:eastAsia="Arial" w:hAnsi="Arial"/>
          <w:sz w:val="21"/>
          <w:szCs w:val="21"/>
          <w:color w:val="060606"/>
          <w:vertAlign w:val="superscript"/>
        </w:rPr>
      </w:pPr>
    </w:p>
    <w:p>
      <w:pPr>
        <w:ind w:left="320" w:hanging="312"/>
        <w:spacing w:after="0" w:line="197" w:lineRule="auto"/>
        <w:tabs>
          <w:tab w:leader="none" w:pos="320" w:val="left"/>
        </w:tabs>
        <w:numPr>
          <w:ilvl w:val="0"/>
          <w:numId w:val="13"/>
        </w:numPr>
        <w:rPr>
          <w:rFonts w:ascii="Arial" w:cs="Arial" w:eastAsia="Arial" w:hAnsi="Arial"/>
          <w:sz w:val="21"/>
          <w:szCs w:val="21"/>
          <w:color w:val="060606"/>
          <w:vertAlign w:val="superscript"/>
        </w:rPr>
      </w:pPr>
      <w:r>
        <w:rPr>
          <w:rFonts w:ascii="Arial" w:cs="Arial" w:eastAsia="Arial" w:hAnsi="Arial"/>
          <w:sz w:val="16"/>
          <w:szCs w:val="16"/>
          <w:color w:val="060606"/>
        </w:rPr>
        <w:t>Non-cash expenses associated with share-based compensation costs</w:t>
      </w:r>
    </w:p>
    <w:p>
      <w:pPr>
        <w:spacing w:after="0" w:line="4" w:lineRule="exact"/>
        <w:rPr>
          <w:rFonts w:ascii="Arial" w:cs="Arial" w:eastAsia="Arial" w:hAnsi="Arial"/>
          <w:sz w:val="21"/>
          <w:szCs w:val="21"/>
          <w:color w:val="060606"/>
          <w:vertAlign w:val="superscript"/>
        </w:rPr>
      </w:pPr>
    </w:p>
    <w:p>
      <w:pPr>
        <w:ind w:left="320" w:hanging="312"/>
        <w:spacing w:after="0" w:line="197" w:lineRule="auto"/>
        <w:tabs>
          <w:tab w:leader="none" w:pos="320" w:val="left"/>
        </w:tabs>
        <w:numPr>
          <w:ilvl w:val="0"/>
          <w:numId w:val="13"/>
        </w:numPr>
        <w:rPr>
          <w:rFonts w:ascii="Arial" w:cs="Arial" w:eastAsia="Arial" w:hAnsi="Arial"/>
          <w:sz w:val="21"/>
          <w:szCs w:val="21"/>
          <w:color w:val="060606"/>
          <w:vertAlign w:val="superscript"/>
        </w:rPr>
      </w:pPr>
      <w:r>
        <w:rPr>
          <w:rFonts w:ascii="Arial" w:cs="Arial" w:eastAsia="Arial" w:hAnsi="Arial"/>
          <w:sz w:val="16"/>
          <w:szCs w:val="16"/>
          <w:color w:val="060606"/>
        </w:rPr>
        <w:t>The impact of valuation allowances, discrete tax items, the tax impact of intercompany transactions, and the tax impact on non-GAAP adjustments</w:t>
      </w:r>
    </w:p>
    <w:p>
      <w:pPr>
        <w:spacing w:after="0" w:line="4" w:lineRule="exact"/>
        <w:rPr>
          <w:rFonts w:ascii="Arial" w:cs="Arial" w:eastAsia="Arial" w:hAnsi="Arial"/>
          <w:sz w:val="21"/>
          <w:szCs w:val="21"/>
          <w:color w:val="060606"/>
          <w:vertAlign w:val="superscript"/>
        </w:rPr>
      </w:pPr>
    </w:p>
    <w:p>
      <w:pPr>
        <w:spacing w:after="0"/>
        <w:rPr>
          <w:rFonts w:ascii="Arial" w:cs="Arial" w:eastAsia="Arial" w:hAnsi="Arial"/>
          <w:sz w:val="21"/>
          <w:szCs w:val="21"/>
          <w:color w:val="060606"/>
          <w:vertAlign w:val="superscript"/>
        </w:rPr>
      </w:pPr>
      <w:r>
        <w:rPr>
          <w:rFonts w:ascii="Arial" w:cs="Arial" w:eastAsia="Arial" w:hAnsi="Arial"/>
          <w:sz w:val="16"/>
          <w:szCs w:val="16"/>
          <w:color w:val="060606"/>
        </w:rPr>
        <w:t>• Numbers may not add precisely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2"/>
          <w:szCs w:val="22"/>
          <w:color w:val="060606"/>
        </w:rPr>
        <w:t>14</w:t>
      </w:r>
    </w:p>
    <w:p>
      <w:pPr>
        <w:sectPr>
          <w:pgSz w:w="11900" w:h="16838" w:orient="portrait"/>
          <w:cols w:equalWidth="0" w:num="1">
            <w:col w:w="11240"/>
          </w:cols>
          <w:pgMar w:left="320" w:top="1440" w:right="339" w:bottom="1440" w:gutter="0" w:footer="0" w:header="0"/>
        </w:sectPr>
      </w:pPr>
    </w:p>
    <w:bookmarkStart w:id="17" w:name="page18"/>
    <w:bookmarkEnd w:id="17"/>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20"/>
        <w:spacing w:after="0"/>
        <w:rPr>
          <w:sz w:val="20"/>
          <w:szCs w:val="20"/>
          <w:color w:val="auto"/>
        </w:rPr>
      </w:pPr>
      <w:r>
        <w:rPr>
          <w:rFonts w:ascii="Arial" w:cs="Arial" w:eastAsia="Arial" w:hAnsi="Arial"/>
          <w:sz w:val="14"/>
          <w:szCs w:val="14"/>
          <w:color w:val="060606"/>
        </w:rPr>
        <w:t>RECONCILIATION OF GAAP TO NON-GAAP FINANCIAL MEASURES - UNAUDITED</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4"/>
          <w:szCs w:val="14"/>
          <w:color w:val="060606"/>
        </w:rPr>
        <w:t>(In millions, except for per share amounts)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2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spacing w:after="0"/>
              <w:rPr>
                <w:sz w:val="16"/>
                <w:szCs w:val="16"/>
                <w:color w:val="auto"/>
              </w:rPr>
            </w:pPr>
          </w:p>
        </w:tc>
        <w:tc>
          <w:tcPr>
            <w:tcW w:w="2700" w:type="dxa"/>
            <w:vAlign w:val="bottom"/>
            <w:tcBorders>
              <w:top w:val="single" w:sz="8" w:color="auto"/>
              <w:bottom w:val="single" w:sz="8" w:color="auto"/>
            </w:tcBorders>
            <w:gridSpan w:val="4"/>
          </w:tcPr>
          <w:p>
            <w:pPr>
              <w:jc w:val="right"/>
              <w:ind w:right="491"/>
              <w:spacing w:after="0"/>
              <w:rPr>
                <w:sz w:val="20"/>
                <w:szCs w:val="20"/>
                <w:color w:val="auto"/>
              </w:rPr>
            </w:pPr>
            <w:r>
              <w:rPr>
                <w:rFonts w:ascii="Arial" w:cs="Arial" w:eastAsia="Arial" w:hAnsi="Arial"/>
                <w:sz w:val="14"/>
                <w:szCs w:val="14"/>
                <w:color w:val="060606"/>
              </w:rPr>
              <w:t>Non-GAAP Adjustments</w:t>
            </w:r>
          </w:p>
        </w:tc>
        <w:tc>
          <w:tcPr>
            <w:tcW w:w="94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3260" w:type="dxa"/>
            <w:vAlign w:val="bottom"/>
          </w:tcPr>
          <w:p>
            <w:pPr>
              <w:spacing w:after="0"/>
              <w:rPr>
                <w:sz w:val="12"/>
                <w:szCs w:val="12"/>
                <w:color w:val="auto"/>
              </w:rPr>
            </w:pPr>
          </w:p>
        </w:tc>
        <w:tc>
          <w:tcPr>
            <w:tcW w:w="840" w:type="dxa"/>
            <w:vAlign w:val="bottom"/>
            <w:vMerge w:val="restart"/>
          </w:tcPr>
          <w:p>
            <w:pPr>
              <w:jc w:val="center"/>
              <w:spacing w:after="0"/>
              <w:rPr>
                <w:sz w:val="20"/>
                <w:szCs w:val="20"/>
                <w:color w:val="auto"/>
              </w:rPr>
            </w:pPr>
            <w:r>
              <w:rPr>
                <w:rFonts w:ascii="Arial" w:cs="Arial" w:eastAsia="Arial" w:hAnsi="Arial"/>
                <w:sz w:val="13"/>
                <w:szCs w:val="13"/>
                <w:color w:val="060606"/>
                <w:w w:val="99"/>
              </w:rPr>
              <w:t>GAAP</w:t>
            </w:r>
          </w:p>
        </w:tc>
        <w:tc>
          <w:tcPr>
            <w:tcW w:w="900" w:type="dxa"/>
            <w:vAlign w:val="bottom"/>
          </w:tcPr>
          <w:p>
            <w:pPr>
              <w:jc w:val="center"/>
              <w:spacing w:after="0" w:line="141" w:lineRule="exact"/>
              <w:rPr>
                <w:sz w:val="20"/>
                <w:szCs w:val="20"/>
                <w:color w:val="auto"/>
              </w:rPr>
            </w:pPr>
            <w:r>
              <w:rPr>
                <w:rFonts w:ascii="Arial" w:cs="Arial" w:eastAsia="Arial" w:hAnsi="Arial"/>
                <w:sz w:val="13"/>
                <w:szCs w:val="13"/>
                <w:color w:val="auto"/>
                <w:w w:val="95"/>
              </w:rPr>
              <w:t>Depreciation</w:t>
            </w:r>
          </w:p>
        </w:tc>
        <w:tc>
          <w:tcPr>
            <w:tcW w:w="8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vMerge w:val="restart"/>
          </w:tcPr>
          <w:p>
            <w:pPr>
              <w:jc w:val="center"/>
              <w:spacing w:after="0"/>
              <w:rPr>
                <w:sz w:val="20"/>
                <w:szCs w:val="20"/>
                <w:color w:val="auto"/>
              </w:rPr>
            </w:pPr>
            <w:r>
              <w:rPr>
                <w:rFonts w:ascii="Arial" w:cs="Arial" w:eastAsia="Arial" w:hAnsi="Arial"/>
                <w:sz w:val="13"/>
                <w:szCs w:val="13"/>
                <w:color w:val="auto"/>
                <w:w w:val="95"/>
              </w:rPr>
              <w:t>Certain Legal</w:t>
            </w:r>
          </w:p>
        </w:tc>
        <w:tc>
          <w:tcPr>
            <w:tcW w:w="940" w:type="dxa"/>
            <w:vAlign w:val="bottom"/>
            <w:vMerge w:val="restart"/>
          </w:tcPr>
          <w:p>
            <w:pPr>
              <w:jc w:val="center"/>
              <w:spacing w:after="0"/>
              <w:rPr>
                <w:sz w:val="20"/>
                <w:szCs w:val="20"/>
                <w:color w:val="auto"/>
              </w:rPr>
            </w:pPr>
            <w:r>
              <w:rPr>
                <w:rFonts w:ascii="Arial" w:cs="Arial" w:eastAsia="Arial" w:hAnsi="Arial"/>
                <w:sz w:val="13"/>
                <w:szCs w:val="13"/>
                <w:color w:val="auto"/>
                <w:w w:val="96"/>
              </w:rPr>
              <w:t>Share-based</w:t>
            </w: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vMerge w:val="restart"/>
          </w:tcPr>
          <w:p>
            <w:pPr>
              <w:jc w:val="center"/>
              <w:spacing w:after="0"/>
              <w:rPr>
                <w:sz w:val="20"/>
                <w:szCs w:val="20"/>
                <w:color w:val="auto"/>
              </w:rPr>
            </w:pPr>
            <w:r>
              <w:rPr>
                <w:rFonts w:ascii="Arial" w:cs="Arial" w:eastAsia="Arial" w:hAnsi="Arial"/>
                <w:sz w:val="13"/>
                <w:szCs w:val="13"/>
                <w:color w:val="060606"/>
                <w:w w:val="94"/>
              </w:rPr>
              <w:t>Adjusted</w:t>
            </w:r>
          </w:p>
        </w:tc>
        <w:tc>
          <w:tcPr>
            <w:tcW w:w="0" w:type="dxa"/>
            <w:vAlign w:val="bottom"/>
          </w:tcPr>
          <w:p>
            <w:pPr>
              <w:spacing w:after="0"/>
              <w:rPr>
                <w:sz w:val="1"/>
                <w:szCs w:val="1"/>
                <w:color w:val="auto"/>
              </w:rPr>
            </w:pPr>
          </w:p>
        </w:tc>
      </w:tr>
      <w:tr>
        <w:trPr>
          <w:trHeight w:val="153"/>
        </w:trPr>
        <w:tc>
          <w:tcPr>
            <w:tcW w:w="3260" w:type="dxa"/>
            <w:vAlign w:val="bottom"/>
            <w:vMerge w:val="restart"/>
          </w:tcPr>
          <w:p>
            <w:pPr>
              <w:ind w:left="20"/>
              <w:spacing w:after="0"/>
              <w:rPr>
                <w:sz w:val="20"/>
                <w:szCs w:val="20"/>
                <w:color w:val="auto"/>
              </w:rPr>
            </w:pPr>
            <w:r>
              <w:rPr>
                <w:rFonts w:ascii="Arial" w:cs="Arial" w:eastAsia="Arial" w:hAnsi="Arial"/>
                <w:sz w:val="14"/>
                <w:szCs w:val="14"/>
                <w:color w:val="060606"/>
              </w:rPr>
              <w:t>Three Months Ended</w:t>
            </w:r>
          </w:p>
        </w:tc>
        <w:tc>
          <w:tcPr>
            <w:tcW w:w="840" w:type="dxa"/>
            <w:vAlign w:val="bottom"/>
            <w:vMerge w:val="continue"/>
          </w:tcPr>
          <w:p>
            <w:pPr>
              <w:spacing w:after="0"/>
              <w:rPr>
                <w:sz w:val="13"/>
                <w:szCs w:val="13"/>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auto"/>
                <w:w w:val="92"/>
              </w:rPr>
              <w:t>and</w:t>
            </w:r>
          </w:p>
        </w:tc>
        <w:tc>
          <w:tcPr>
            <w:tcW w:w="880" w:type="dxa"/>
            <w:vAlign w:val="bottom"/>
          </w:tcPr>
          <w:p>
            <w:pPr>
              <w:jc w:val="center"/>
              <w:spacing w:after="0"/>
              <w:rPr>
                <w:sz w:val="20"/>
                <w:szCs w:val="20"/>
                <w:color w:val="auto"/>
              </w:rPr>
            </w:pPr>
            <w:r>
              <w:rPr>
                <w:rFonts w:ascii="Arial" w:cs="Arial" w:eastAsia="Arial" w:hAnsi="Arial"/>
                <w:sz w:val="13"/>
                <w:szCs w:val="13"/>
                <w:color w:val="auto"/>
                <w:w w:val="97"/>
              </w:rPr>
              <w:t>Investment</w:t>
            </w:r>
          </w:p>
        </w:tc>
        <w:tc>
          <w:tcPr>
            <w:tcW w:w="840" w:type="dxa"/>
            <w:vAlign w:val="bottom"/>
          </w:tcPr>
          <w:p>
            <w:pPr>
              <w:jc w:val="center"/>
              <w:spacing w:after="0"/>
              <w:rPr>
                <w:sz w:val="20"/>
                <w:szCs w:val="20"/>
                <w:color w:val="auto"/>
              </w:rPr>
            </w:pPr>
            <w:r>
              <w:rPr>
                <w:rFonts w:ascii="Arial" w:cs="Arial" w:eastAsia="Arial" w:hAnsi="Arial"/>
                <w:sz w:val="13"/>
                <w:szCs w:val="13"/>
                <w:color w:val="auto"/>
                <w:w w:val="95"/>
              </w:rPr>
              <w:t>Financing</w:t>
            </w: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Contingent</w:t>
            </w:r>
          </w:p>
        </w:tc>
        <w:tc>
          <w:tcPr>
            <w:tcW w:w="16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940" w:type="dxa"/>
            <w:vAlign w:val="bottom"/>
            <w:vMerge w:val="continue"/>
          </w:tcPr>
          <w:p>
            <w:pPr>
              <w:spacing w:after="0"/>
              <w:rPr>
                <w:sz w:val="13"/>
                <w:szCs w:val="13"/>
                <w:color w:val="auto"/>
              </w:rPr>
            </w:pPr>
          </w:p>
        </w:tc>
        <w:tc>
          <w:tcPr>
            <w:tcW w:w="880" w:type="dxa"/>
            <w:vAlign w:val="bottom"/>
            <w:gridSpan w:val="2"/>
            <w:vMerge w:val="restart"/>
          </w:tcPr>
          <w:p>
            <w:pPr>
              <w:ind w:left="120"/>
              <w:spacing w:after="0"/>
              <w:rPr>
                <w:sz w:val="20"/>
                <w:szCs w:val="20"/>
                <w:color w:val="auto"/>
              </w:rPr>
            </w:pPr>
            <w:r>
              <w:rPr>
                <w:rFonts w:ascii="Arial" w:cs="Arial" w:eastAsia="Arial" w:hAnsi="Arial"/>
                <w:sz w:val="13"/>
                <w:szCs w:val="13"/>
                <w:color w:val="auto"/>
              </w:rPr>
              <w:t>Certain Tax</w:t>
            </w:r>
          </w:p>
        </w:tc>
        <w:tc>
          <w:tcPr>
            <w:tcW w:w="8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4"/>
        </w:trPr>
        <w:tc>
          <w:tcPr>
            <w:tcW w:w="3260" w:type="dxa"/>
            <w:vAlign w:val="bottom"/>
            <w:vMerge w:val="continue"/>
          </w:tcPr>
          <w:p>
            <w:pPr>
              <w:spacing w:after="0"/>
              <w:rPr>
                <w:sz w:val="8"/>
                <w:szCs w:val="8"/>
                <w:color w:val="auto"/>
              </w:rPr>
            </w:pPr>
          </w:p>
        </w:tc>
        <w:tc>
          <w:tcPr>
            <w:tcW w:w="840" w:type="dxa"/>
            <w:vAlign w:val="bottom"/>
          </w:tcPr>
          <w:p>
            <w:pPr>
              <w:jc w:val="center"/>
              <w:spacing w:after="0" w:line="95" w:lineRule="exact"/>
              <w:rPr>
                <w:sz w:val="20"/>
                <w:szCs w:val="20"/>
                <w:color w:val="auto"/>
              </w:rPr>
            </w:pPr>
            <w:r>
              <w:rPr>
                <w:rFonts w:ascii="Arial" w:cs="Arial" w:eastAsia="Arial" w:hAnsi="Arial"/>
                <w:sz w:val="10"/>
                <w:szCs w:val="10"/>
                <w:color w:val="060606"/>
              </w:rPr>
              <w:t>Financial</w:t>
            </w:r>
          </w:p>
        </w:tc>
        <w:tc>
          <w:tcPr>
            <w:tcW w:w="900" w:type="dxa"/>
            <w:vAlign w:val="bottom"/>
          </w:tcPr>
          <w:p>
            <w:pPr>
              <w:jc w:val="center"/>
              <w:spacing w:after="0" w:line="95" w:lineRule="exact"/>
              <w:rPr>
                <w:sz w:val="20"/>
                <w:szCs w:val="20"/>
                <w:color w:val="auto"/>
              </w:rPr>
            </w:pPr>
            <w:r>
              <w:rPr>
                <w:rFonts w:ascii="Arial" w:cs="Arial" w:eastAsia="Arial" w:hAnsi="Arial"/>
                <w:sz w:val="10"/>
                <w:szCs w:val="10"/>
                <w:color w:val="auto"/>
              </w:rPr>
              <w:t>Amortization</w:t>
            </w:r>
          </w:p>
        </w:tc>
        <w:tc>
          <w:tcPr>
            <w:tcW w:w="88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97"/>
              </w:rPr>
              <w:t>Related Items</w:t>
            </w:r>
          </w:p>
        </w:tc>
        <w:tc>
          <w:tcPr>
            <w:tcW w:w="84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97"/>
              </w:rPr>
              <w:t>Related Items</w:t>
            </w:r>
          </w:p>
        </w:tc>
        <w:tc>
          <w:tcPr>
            <w:tcW w:w="820" w:type="dxa"/>
            <w:vAlign w:val="bottom"/>
            <w:vMerge w:val="continue"/>
          </w:tcPr>
          <w:p>
            <w:pPr>
              <w:spacing w:after="0"/>
              <w:rPr>
                <w:sz w:val="8"/>
                <w:szCs w:val="8"/>
                <w:color w:val="auto"/>
              </w:rPr>
            </w:pPr>
          </w:p>
        </w:tc>
        <w:tc>
          <w:tcPr>
            <w:tcW w:w="160" w:type="dxa"/>
            <w:vAlign w:val="bottom"/>
            <w:vMerge w:val="restart"/>
          </w:tcPr>
          <w:p>
            <w:pPr>
              <w:jc w:val="right"/>
              <w:ind w:right="19"/>
              <w:spacing w:after="0"/>
              <w:rPr>
                <w:sz w:val="20"/>
                <w:szCs w:val="20"/>
                <w:color w:val="auto"/>
              </w:rPr>
            </w:pPr>
            <w:r>
              <w:rPr>
                <w:rFonts w:ascii="Arial" w:cs="Arial" w:eastAsia="Arial" w:hAnsi="Arial"/>
                <w:sz w:val="8"/>
                <w:szCs w:val="8"/>
                <w:color w:val="auto"/>
                <w:w w:val="81"/>
              </w:rPr>
              <w:t>(4)</w:t>
            </w:r>
          </w:p>
        </w:tc>
        <w:tc>
          <w:tcPr>
            <w:tcW w:w="880" w:type="dxa"/>
            <w:vAlign w:val="bottom"/>
          </w:tcPr>
          <w:p>
            <w:pPr>
              <w:jc w:val="center"/>
              <w:spacing w:after="0" w:line="95" w:lineRule="exact"/>
              <w:rPr>
                <w:sz w:val="20"/>
                <w:szCs w:val="20"/>
                <w:color w:val="auto"/>
              </w:rPr>
            </w:pPr>
            <w:r>
              <w:rPr>
                <w:rFonts w:ascii="Arial" w:cs="Arial" w:eastAsia="Arial" w:hAnsi="Arial"/>
                <w:sz w:val="10"/>
                <w:szCs w:val="10"/>
                <w:color w:val="auto"/>
              </w:rPr>
              <w:t>&amp; Regulatory</w:t>
            </w:r>
          </w:p>
        </w:tc>
        <w:tc>
          <w:tcPr>
            <w:tcW w:w="940" w:type="dxa"/>
            <w:vAlign w:val="bottom"/>
          </w:tcPr>
          <w:p>
            <w:pPr>
              <w:jc w:val="center"/>
              <w:spacing w:after="0" w:line="95" w:lineRule="exact"/>
              <w:rPr>
                <w:sz w:val="20"/>
                <w:szCs w:val="20"/>
                <w:color w:val="auto"/>
              </w:rPr>
            </w:pPr>
            <w:r>
              <w:rPr>
                <w:rFonts w:ascii="Arial" w:cs="Arial" w:eastAsia="Arial" w:hAnsi="Arial"/>
                <w:sz w:val="10"/>
                <w:szCs w:val="10"/>
                <w:color w:val="auto"/>
              </w:rPr>
              <w:t>Compensation</w:t>
            </w:r>
          </w:p>
        </w:tc>
        <w:tc>
          <w:tcPr>
            <w:tcW w:w="880" w:type="dxa"/>
            <w:vAlign w:val="bottom"/>
            <w:gridSpan w:val="2"/>
            <w:vMerge w:val="continue"/>
          </w:tcPr>
          <w:p>
            <w:pPr>
              <w:spacing w:after="0"/>
              <w:rPr>
                <w:sz w:val="8"/>
                <w:szCs w:val="8"/>
                <w:color w:val="auto"/>
              </w:rPr>
            </w:pPr>
          </w:p>
        </w:tc>
        <w:tc>
          <w:tcPr>
            <w:tcW w:w="840" w:type="dxa"/>
            <w:vAlign w:val="bottom"/>
          </w:tcPr>
          <w:p>
            <w:pPr>
              <w:jc w:val="center"/>
              <w:spacing w:after="0" w:line="95" w:lineRule="exact"/>
              <w:rPr>
                <w:sz w:val="20"/>
                <w:szCs w:val="20"/>
                <w:color w:val="auto"/>
              </w:rPr>
            </w:pPr>
            <w:r>
              <w:rPr>
                <w:rFonts w:ascii="Arial" w:cs="Arial" w:eastAsia="Arial" w:hAnsi="Arial"/>
                <w:sz w:val="10"/>
                <w:szCs w:val="10"/>
                <w:color w:val="060606"/>
              </w:rPr>
              <w:t>Financial</w:t>
            </w:r>
          </w:p>
        </w:tc>
        <w:tc>
          <w:tcPr>
            <w:tcW w:w="0" w:type="dxa"/>
            <w:vAlign w:val="bottom"/>
          </w:tcPr>
          <w:p>
            <w:pPr>
              <w:spacing w:after="0"/>
              <w:rPr>
                <w:sz w:val="1"/>
                <w:szCs w:val="1"/>
                <w:color w:val="auto"/>
              </w:rPr>
            </w:pPr>
          </w:p>
        </w:tc>
      </w:tr>
      <w:tr>
        <w:trPr>
          <w:trHeight w:val="41"/>
        </w:trPr>
        <w:tc>
          <w:tcPr>
            <w:tcW w:w="3260" w:type="dxa"/>
            <w:vAlign w:val="bottom"/>
            <w:vMerge w:val="restart"/>
          </w:tcPr>
          <w:p>
            <w:pPr>
              <w:ind w:left="20"/>
              <w:spacing w:after="0"/>
              <w:rPr>
                <w:sz w:val="20"/>
                <w:szCs w:val="20"/>
                <w:color w:val="auto"/>
              </w:rPr>
            </w:pPr>
            <w:r>
              <w:rPr>
                <w:rFonts w:ascii="Arial" w:cs="Arial" w:eastAsia="Arial" w:hAnsi="Arial"/>
                <w:sz w:val="14"/>
                <w:szCs w:val="14"/>
                <w:color w:val="060606"/>
              </w:rPr>
              <w:t>September 30, 2025</w:t>
            </w:r>
          </w:p>
        </w:tc>
        <w:tc>
          <w:tcPr>
            <w:tcW w:w="840" w:type="dxa"/>
            <w:vAlign w:val="bottom"/>
            <w:vMerge w:val="restart"/>
          </w:tcPr>
          <w:p>
            <w:pPr>
              <w:jc w:val="center"/>
              <w:spacing w:after="0"/>
              <w:rPr>
                <w:sz w:val="20"/>
                <w:szCs w:val="20"/>
                <w:color w:val="auto"/>
              </w:rPr>
            </w:pPr>
            <w:r>
              <w:rPr>
                <w:rFonts w:ascii="Arial" w:cs="Arial" w:eastAsia="Arial" w:hAnsi="Arial"/>
                <w:sz w:val="13"/>
                <w:szCs w:val="13"/>
                <w:color w:val="060606"/>
                <w:w w:val="98"/>
              </w:rPr>
              <w:t>Measures</w:t>
            </w:r>
          </w:p>
        </w:tc>
        <w:tc>
          <w:tcPr>
            <w:tcW w:w="900" w:type="dxa"/>
            <w:vAlign w:val="bottom"/>
            <w:vMerge w:val="restart"/>
          </w:tcPr>
          <w:p>
            <w:pPr>
              <w:jc w:val="center"/>
              <w:spacing w:after="0" w:line="175" w:lineRule="exact"/>
              <w:rPr>
                <w:sz w:val="20"/>
                <w:szCs w:val="20"/>
                <w:color w:val="auto"/>
              </w:rPr>
            </w:pPr>
            <w:r>
              <w:rPr>
                <w:rFonts w:ascii="Arial" w:cs="Arial" w:eastAsia="Arial" w:hAnsi="Arial"/>
                <w:sz w:val="13"/>
                <w:szCs w:val="13"/>
                <w:color w:val="auto"/>
                <w:w w:val="92"/>
              </w:rPr>
              <w:t xml:space="preserve">Expense </w:t>
            </w:r>
            <w:r>
              <w:rPr>
                <w:rFonts w:ascii="Arial" w:cs="Arial" w:eastAsia="Arial" w:hAnsi="Arial"/>
                <w:sz w:val="16"/>
                <w:szCs w:val="16"/>
                <w:color w:val="auto"/>
                <w:w w:val="92"/>
                <w:vertAlign w:val="superscript"/>
              </w:rPr>
              <w:t>(1)</w:t>
            </w:r>
          </w:p>
        </w:tc>
        <w:tc>
          <w:tcPr>
            <w:tcW w:w="880" w:type="dxa"/>
            <w:vAlign w:val="bottom"/>
            <w:vMerge w:val="continue"/>
          </w:tcPr>
          <w:p>
            <w:pPr>
              <w:spacing w:after="0"/>
              <w:rPr>
                <w:sz w:val="3"/>
                <w:szCs w:val="3"/>
                <w:color w:val="auto"/>
              </w:rPr>
            </w:pPr>
          </w:p>
        </w:tc>
        <w:tc>
          <w:tcPr>
            <w:tcW w:w="840" w:type="dxa"/>
            <w:vAlign w:val="bottom"/>
            <w:vMerge w:val="continue"/>
          </w:tcPr>
          <w:p>
            <w:pPr>
              <w:spacing w:after="0"/>
              <w:rPr>
                <w:sz w:val="3"/>
                <w:szCs w:val="3"/>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w w:val="97"/>
              </w:rPr>
              <w:t>Consideration</w:t>
            </w:r>
          </w:p>
        </w:tc>
        <w:tc>
          <w:tcPr>
            <w:tcW w:w="160" w:type="dxa"/>
            <w:vAlign w:val="bottom"/>
            <w:vMerge w:val="continue"/>
          </w:tcPr>
          <w:p>
            <w:pPr>
              <w:spacing w:after="0"/>
              <w:rPr>
                <w:sz w:val="3"/>
                <w:szCs w:val="3"/>
                <w:color w:val="auto"/>
              </w:rPr>
            </w:pPr>
          </w:p>
        </w:tc>
        <w:tc>
          <w:tcPr>
            <w:tcW w:w="880" w:type="dxa"/>
            <w:vAlign w:val="bottom"/>
            <w:vMerge w:val="restart"/>
          </w:tcPr>
          <w:p>
            <w:pPr>
              <w:jc w:val="center"/>
              <w:spacing w:after="0" w:line="175" w:lineRule="exact"/>
              <w:rPr>
                <w:sz w:val="20"/>
                <w:szCs w:val="20"/>
                <w:color w:val="auto"/>
              </w:rPr>
            </w:pPr>
            <w:r>
              <w:rPr>
                <w:rFonts w:ascii="Arial" w:cs="Arial" w:eastAsia="Arial" w:hAnsi="Arial"/>
                <w:sz w:val="13"/>
                <w:szCs w:val="13"/>
                <w:color w:val="auto"/>
                <w:w w:val="92"/>
              </w:rPr>
              <w:t xml:space="preserve">Costs </w:t>
            </w:r>
            <w:r>
              <w:rPr>
                <w:rFonts w:ascii="Arial" w:cs="Arial" w:eastAsia="Arial" w:hAnsi="Arial"/>
                <w:sz w:val="16"/>
                <w:szCs w:val="16"/>
                <w:color w:val="auto"/>
                <w:w w:val="92"/>
                <w:vertAlign w:val="superscript"/>
              </w:rPr>
              <w:t>(5)</w:t>
            </w:r>
          </w:p>
        </w:tc>
        <w:tc>
          <w:tcPr>
            <w:tcW w:w="940" w:type="dxa"/>
            <w:vAlign w:val="bottom"/>
            <w:vMerge w:val="restart"/>
          </w:tcPr>
          <w:p>
            <w:pPr>
              <w:jc w:val="center"/>
              <w:spacing w:after="0" w:line="175" w:lineRule="exact"/>
              <w:rPr>
                <w:sz w:val="20"/>
                <w:szCs w:val="20"/>
                <w:color w:val="auto"/>
              </w:rPr>
            </w:pPr>
            <w:r>
              <w:rPr>
                <w:rFonts w:ascii="Arial" w:cs="Arial" w:eastAsia="Arial" w:hAnsi="Arial"/>
                <w:sz w:val="13"/>
                <w:szCs w:val="13"/>
                <w:color w:val="auto"/>
                <w:w w:val="88"/>
              </w:rPr>
              <w:t xml:space="preserve">Costs </w:t>
            </w:r>
            <w:r>
              <w:rPr>
                <w:rFonts w:ascii="Arial" w:cs="Arial" w:eastAsia="Arial" w:hAnsi="Arial"/>
                <w:sz w:val="16"/>
                <w:szCs w:val="16"/>
                <w:color w:val="auto"/>
                <w:w w:val="88"/>
                <w:vertAlign w:val="superscript"/>
              </w:rPr>
              <w:t>(6)</w:t>
            </w:r>
          </w:p>
        </w:tc>
        <w:tc>
          <w:tcPr>
            <w:tcW w:w="740" w:type="dxa"/>
            <w:vAlign w:val="bottom"/>
            <w:vMerge w:val="restart"/>
          </w:tcPr>
          <w:p>
            <w:pPr>
              <w:ind w:left="20"/>
              <w:spacing w:after="0"/>
              <w:rPr>
                <w:sz w:val="20"/>
                <w:szCs w:val="20"/>
                <w:color w:val="auto"/>
              </w:rPr>
            </w:pPr>
            <w:r>
              <w:rPr>
                <w:rFonts w:ascii="Arial" w:cs="Arial" w:eastAsia="Arial" w:hAnsi="Arial"/>
                <w:sz w:val="13"/>
                <w:szCs w:val="13"/>
                <w:color w:val="auto"/>
                <w:w w:val="97"/>
              </w:rPr>
              <w:t>Adjustments</w:t>
            </w:r>
          </w:p>
        </w:tc>
        <w:tc>
          <w:tcPr>
            <w:tcW w:w="140" w:type="dxa"/>
            <w:vAlign w:val="bottom"/>
          </w:tcPr>
          <w:p>
            <w:pPr>
              <w:jc w:val="right"/>
              <w:spacing w:after="0" w:line="41" w:lineRule="exact"/>
              <w:rPr>
                <w:sz w:val="20"/>
                <w:szCs w:val="20"/>
                <w:color w:val="auto"/>
              </w:rPr>
            </w:pPr>
            <w:r>
              <w:rPr>
                <w:rFonts w:ascii="Arial" w:cs="Arial" w:eastAsia="Arial" w:hAnsi="Arial"/>
                <w:sz w:val="4"/>
                <w:szCs w:val="4"/>
                <w:color w:val="auto"/>
              </w:rPr>
              <w:t>(7)</w:t>
            </w:r>
          </w:p>
        </w:tc>
        <w:tc>
          <w:tcPr>
            <w:tcW w:w="840" w:type="dxa"/>
            <w:vAlign w:val="bottom"/>
            <w:vMerge w:val="restart"/>
          </w:tcPr>
          <w:p>
            <w:pPr>
              <w:jc w:val="center"/>
              <w:spacing w:after="0"/>
              <w:rPr>
                <w:sz w:val="20"/>
                <w:szCs w:val="20"/>
                <w:color w:val="auto"/>
              </w:rPr>
            </w:pPr>
            <w:r>
              <w:rPr>
                <w:rFonts w:ascii="Arial" w:cs="Arial" w:eastAsia="Arial" w:hAnsi="Arial"/>
                <w:sz w:val="13"/>
                <w:szCs w:val="13"/>
                <w:color w:val="060606"/>
                <w:w w:val="98"/>
              </w:rPr>
              <w:t>Measures</w:t>
            </w:r>
          </w:p>
        </w:tc>
        <w:tc>
          <w:tcPr>
            <w:tcW w:w="0" w:type="dxa"/>
            <w:vAlign w:val="bottom"/>
          </w:tcPr>
          <w:p>
            <w:pPr>
              <w:spacing w:after="0"/>
              <w:rPr>
                <w:sz w:val="1"/>
                <w:szCs w:val="1"/>
                <w:color w:val="auto"/>
              </w:rPr>
            </w:pPr>
          </w:p>
        </w:tc>
      </w:tr>
      <w:tr>
        <w:trPr>
          <w:trHeight w:val="135"/>
        </w:trPr>
        <w:tc>
          <w:tcPr>
            <w:tcW w:w="3260" w:type="dxa"/>
            <w:vAlign w:val="bottom"/>
            <w:tcBorders>
              <w:bottom w:val="single" w:sz="8" w:color="auto"/>
            </w:tcBorders>
            <w:vMerge w:val="continue"/>
          </w:tcPr>
          <w:p>
            <w:pPr>
              <w:spacing w:after="0"/>
              <w:rPr>
                <w:sz w:val="11"/>
                <w:szCs w:val="11"/>
                <w:color w:val="auto"/>
              </w:rPr>
            </w:pPr>
          </w:p>
        </w:tc>
        <w:tc>
          <w:tcPr>
            <w:tcW w:w="840" w:type="dxa"/>
            <w:vAlign w:val="bottom"/>
            <w:tcBorders>
              <w:bottom w:val="single" w:sz="8" w:color="auto"/>
            </w:tcBorders>
            <w:vMerge w:val="continue"/>
          </w:tcPr>
          <w:p>
            <w:pPr>
              <w:spacing w:after="0"/>
              <w:rPr>
                <w:sz w:val="11"/>
                <w:szCs w:val="11"/>
                <w:color w:val="auto"/>
              </w:rPr>
            </w:pPr>
          </w:p>
        </w:tc>
        <w:tc>
          <w:tcPr>
            <w:tcW w:w="900" w:type="dxa"/>
            <w:vAlign w:val="bottom"/>
            <w:tcBorders>
              <w:bottom w:val="single" w:sz="8" w:color="auto"/>
            </w:tcBorders>
            <w:vMerge w:val="continue"/>
          </w:tcPr>
          <w:p>
            <w:pPr>
              <w:spacing w:after="0"/>
              <w:rPr>
                <w:sz w:val="11"/>
                <w:szCs w:val="11"/>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8"/>
                <w:szCs w:val="8"/>
                <w:color w:val="auto"/>
              </w:rPr>
              <w:t>(2)</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8"/>
                <w:szCs w:val="8"/>
                <w:color w:val="auto"/>
              </w:rPr>
              <w:t>(3)</w:t>
            </w:r>
          </w:p>
        </w:tc>
        <w:tc>
          <w:tcPr>
            <w:tcW w:w="820" w:type="dxa"/>
            <w:vAlign w:val="bottom"/>
            <w:tcBorders>
              <w:bottom w:val="single" w:sz="8" w:color="auto"/>
            </w:tcBorders>
            <w:vMerge w:val="continue"/>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vMerge w:val="continue"/>
          </w:tcPr>
          <w:p>
            <w:pPr>
              <w:spacing w:after="0"/>
              <w:rPr>
                <w:sz w:val="11"/>
                <w:szCs w:val="11"/>
                <w:color w:val="auto"/>
              </w:rPr>
            </w:pPr>
          </w:p>
        </w:tc>
        <w:tc>
          <w:tcPr>
            <w:tcW w:w="940" w:type="dxa"/>
            <w:vAlign w:val="bottom"/>
            <w:tcBorders>
              <w:bottom w:val="single" w:sz="8" w:color="auto"/>
            </w:tcBorders>
            <w:vMerge w:val="continue"/>
          </w:tcPr>
          <w:p>
            <w:pPr>
              <w:spacing w:after="0"/>
              <w:rPr>
                <w:sz w:val="11"/>
                <w:szCs w:val="11"/>
                <w:color w:val="auto"/>
              </w:rPr>
            </w:pPr>
          </w:p>
        </w:tc>
        <w:tc>
          <w:tcPr>
            <w:tcW w:w="740" w:type="dxa"/>
            <w:vAlign w:val="bottom"/>
            <w:tcBorders>
              <w:bottom w:val="single" w:sz="8" w:color="auto"/>
            </w:tcBorders>
            <w:vMerge w:val="continue"/>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1"/>
        </w:trPr>
        <w:tc>
          <w:tcPr>
            <w:tcW w:w="3260" w:type="dxa"/>
            <w:vAlign w:val="bottom"/>
          </w:tcPr>
          <w:p>
            <w:pPr>
              <w:ind w:left="20"/>
              <w:spacing w:after="0"/>
              <w:rPr>
                <w:sz w:val="20"/>
                <w:szCs w:val="20"/>
                <w:color w:val="auto"/>
              </w:rPr>
            </w:pPr>
            <w:r>
              <w:rPr>
                <w:rFonts w:ascii="Arial" w:cs="Arial" w:eastAsia="Arial" w:hAnsi="Arial"/>
                <w:sz w:val="14"/>
                <w:szCs w:val="14"/>
                <w:color w:val="060606"/>
              </w:rPr>
              <w:t>Cost of sales</w:t>
            </w:r>
          </w:p>
        </w:tc>
        <w:tc>
          <w:tcPr>
            <w:tcW w:w="840" w:type="dxa"/>
            <w:vAlign w:val="bottom"/>
          </w:tcPr>
          <w:p>
            <w:pPr>
              <w:jc w:val="right"/>
              <w:ind w:right="111"/>
              <w:spacing w:after="0"/>
              <w:rPr>
                <w:sz w:val="20"/>
                <w:szCs w:val="20"/>
                <w:color w:val="auto"/>
              </w:rPr>
            </w:pPr>
            <w:r>
              <w:rPr>
                <w:rFonts w:ascii="Arial" w:cs="Arial" w:eastAsia="Arial" w:hAnsi="Arial"/>
                <w:sz w:val="14"/>
                <w:szCs w:val="14"/>
                <w:color w:val="060606"/>
              </w:rPr>
              <w:t>$112.9</w:t>
            </w:r>
          </w:p>
        </w:tc>
        <w:tc>
          <w:tcPr>
            <w:tcW w:w="900" w:type="dxa"/>
            <w:vAlign w:val="bottom"/>
          </w:tcPr>
          <w:p>
            <w:pPr>
              <w:jc w:val="right"/>
              <w:ind w:right="91"/>
              <w:spacing w:after="0"/>
              <w:rPr>
                <w:sz w:val="20"/>
                <w:szCs w:val="20"/>
                <w:color w:val="auto"/>
              </w:rPr>
            </w:pPr>
            <w:r>
              <w:rPr>
                <w:rFonts w:ascii="Arial" w:cs="Arial" w:eastAsia="Arial" w:hAnsi="Arial"/>
                <w:sz w:val="14"/>
                <w:szCs w:val="14"/>
                <w:color w:val="060606"/>
              </w:rPr>
              <w:t>($1.9)</w:t>
            </w:r>
          </w:p>
        </w:tc>
        <w:tc>
          <w:tcPr>
            <w:tcW w:w="880" w:type="dxa"/>
            <w:vAlign w:val="bottom"/>
          </w:tcPr>
          <w:p>
            <w:pPr>
              <w:jc w:val="right"/>
              <w:ind w:right="131"/>
              <w:spacing w:after="0"/>
              <w:rPr>
                <w:sz w:val="20"/>
                <w:szCs w:val="20"/>
                <w:color w:val="auto"/>
              </w:rPr>
            </w:pPr>
            <w:r>
              <w:rPr>
                <w:rFonts w:ascii="Arial" w:cs="Arial" w:eastAsia="Arial" w:hAnsi="Arial"/>
                <w:sz w:val="14"/>
                <w:szCs w:val="14"/>
                <w:color w:val="060606"/>
              </w:rPr>
              <w:t>$—</w:t>
            </w:r>
          </w:p>
        </w:tc>
        <w:tc>
          <w:tcPr>
            <w:tcW w:w="840" w:type="dxa"/>
            <w:vAlign w:val="bottom"/>
          </w:tcPr>
          <w:p>
            <w:pPr>
              <w:jc w:val="right"/>
              <w:ind w:right="131"/>
              <w:spacing w:after="0"/>
              <w:rPr>
                <w:sz w:val="20"/>
                <w:szCs w:val="20"/>
                <w:color w:val="auto"/>
              </w:rPr>
            </w:pPr>
            <w:r>
              <w:rPr>
                <w:rFonts w:ascii="Arial" w:cs="Arial" w:eastAsia="Arial" w:hAnsi="Arial"/>
                <w:sz w:val="14"/>
                <w:szCs w:val="14"/>
                <w:color w:val="060606"/>
              </w:rPr>
              <w:t>$—</w:t>
            </w:r>
          </w:p>
        </w:tc>
        <w:tc>
          <w:tcPr>
            <w:tcW w:w="820" w:type="dxa"/>
            <w:vAlign w:val="bottom"/>
          </w:tcPr>
          <w:p>
            <w:pPr>
              <w:jc w:val="right"/>
              <w:spacing w:after="0"/>
              <w:rPr>
                <w:sz w:val="20"/>
                <w:szCs w:val="20"/>
                <w:color w:val="auto"/>
              </w:rPr>
            </w:pPr>
            <w:r>
              <w:rPr>
                <w:rFonts w:ascii="Arial" w:cs="Arial" w:eastAsia="Arial" w:hAnsi="Arial"/>
                <w:sz w:val="14"/>
                <w:szCs w:val="14"/>
                <w:color w:val="060606"/>
              </w:rPr>
              <w:t>($1.0)</w:t>
            </w:r>
          </w:p>
        </w:tc>
        <w:tc>
          <w:tcPr>
            <w:tcW w:w="160" w:type="dxa"/>
            <w:vAlign w:val="bottom"/>
          </w:tcPr>
          <w:p>
            <w:pPr>
              <w:spacing w:after="0"/>
              <w:rPr>
                <w:sz w:val="17"/>
                <w:szCs w:val="17"/>
                <w:color w:val="auto"/>
              </w:rPr>
            </w:pPr>
          </w:p>
        </w:tc>
        <w:tc>
          <w:tcPr>
            <w:tcW w:w="880" w:type="dxa"/>
            <w:vAlign w:val="bottom"/>
          </w:tcPr>
          <w:p>
            <w:pPr>
              <w:jc w:val="right"/>
              <w:ind w:right="151"/>
              <w:spacing w:after="0"/>
              <w:rPr>
                <w:sz w:val="20"/>
                <w:szCs w:val="20"/>
                <w:color w:val="auto"/>
              </w:rPr>
            </w:pPr>
            <w:r>
              <w:rPr>
                <w:rFonts w:ascii="Arial" w:cs="Arial" w:eastAsia="Arial" w:hAnsi="Arial"/>
                <w:sz w:val="14"/>
                <w:szCs w:val="14"/>
                <w:color w:val="060606"/>
              </w:rPr>
              <w:t>$—</w:t>
            </w:r>
          </w:p>
        </w:tc>
        <w:tc>
          <w:tcPr>
            <w:tcW w:w="940" w:type="dxa"/>
            <w:vAlign w:val="bottom"/>
          </w:tcPr>
          <w:p>
            <w:pPr>
              <w:jc w:val="right"/>
              <w:ind w:right="91"/>
              <w:spacing w:after="0"/>
              <w:rPr>
                <w:sz w:val="20"/>
                <w:szCs w:val="20"/>
                <w:color w:val="auto"/>
              </w:rPr>
            </w:pPr>
            <w:r>
              <w:rPr>
                <w:rFonts w:ascii="Arial" w:cs="Arial" w:eastAsia="Arial" w:hAnsi="Arial"/>
                <w:sz w:val="14"/>
                <w:szCs w:val="14"/>
                <w:color w:val="060606"/>
              </w:rPr>
              <w:t>($0.5)</w:t>
            </w:r>
          </w:p>
        </w:tc>
        <w:tc>
          <w:tcPr>
            <w:tcW w:w="740" w:type="dxa"/>
            <w:vAlign w:val="bottom"/>
          </w:tcPr>
          <w:p>
            <w:pPr>
              <w:ind w:left="480"/>
              <w:spacing w:after="0"/>
              <w:rPr>
                <w:sz w:val="20"/>
                <w:szCs w:val="20"/>
                <w:color w:val="auto"/>
              </w:rPr>
            </w:pPr>
            <w:r>
              <w:rPr>
                <w:rFonts w:ascii="Arial" w:cs="Arial" w:eastAsia="Arial" w:hAnsi="Arial"/>
                <w:sz w:val="14"/>
                <w:szCs w:val="14"/>
                <w:color w:val="060606"/>
              </w:rPr>
              <w:t>$—</w:t>
            </w:r>
          </w:p>
        </w:tc>
        <w:tc>
          <w:tcPr>
            <w:tcW w:w="140" w:type="dxa"/>
            <w:vAlign w:val="bottom"/>
          </w:tcPr>
          <w:p>
            <w:pPr>
              <w:spacing w:after="0"/>
              <w:rPr>
                <w:sz w:val="17"/>
                <w:szCs w:val="17"/>
                <w:color w:val="auto"/>
              </w:rPr>
            </w:pPr>
          </w:p>
        </w:tc>
        <w:tc>
          <w:tcPr>
            <w:tcW w:w="840" w:type="dxa"/>
            <w:vAlign w:val="bottom"/>
          </w:tcPr>
          <w:p>
            <w:pPr>
              <w:jc w:val="right"/>
              <w:ind w:right="111"/>
              <w:spacing w:after="0"/>
              <w:rPr>
                <w:sz w:val="20"/>
                <w:szCs w:val="20"/>
                <w:color w:val="auto"/>
              </w:rPr>
            </w:pPr>
            <w:r>
              <w:rPr>
                <w:rFonts w:ascii="Arial" w:cs="Arial" w:eastAsia="Arial" w:hAnsi="Arial"/>
                <w:sz w:val="14"/>
                <w:szCs w:val="14"/>
                <w:color w:val="060606"/>
              </w:rPr>
              <w:t>$109.5</w:t>
            </w:r>
          </w:p>
        </w:tc>
        <w:tc>
          <w:tcPr>
            <w:tcW w:w="0" w:type="dxa"/>
            <w:vAlign w:val="bottom"/>
          </w:tcPr>
          <w:p>
            <w:pPr>
              <w:spacing w:after="0"/>
              <w:rPr>
                <w:sz w:val="1"/>
                <w:szCs w:val="1"/>
                <w:color w:val="auto"/>
              </w:rPr>
            </w:pPr>
          </w:p>
        </w:tc>
      </w:tr>
      <w:tr>
        <w:trPr>
          <w:trHeight w:val="216"/>
        </w:trPr>
        <w:tc>
          <w:tcPr>
            <w:tcW w:w="3260" w:type="dxa"/>
            <w:vAlign w:val="bottom"/>
          </w:tcPr>
          <w:p>
            <w:pPr>
              <w:ind w:left="20"/>
              <w:spacing w:after="0"/>
              <w:rPr>
                <w:sz w:val="20"/>
                <w:szCs w:val="20"/>
                <w:color w:val="auto"/>
              </w:rPr>
            </w:pPr>
            <w:r>
              <w:rPr>
                <w:rFonts w:ascii="Arial" w:cs="Arial" w:eastAsia="Arial" w:hAnsi="Arial"/>
                <w:sz w:val="14"/>
                <w:szCs w:val="14"/>
                <w:color w:val="060606"/>
              </w:rPr>
              <w:t>Gross profit percent</w:t>
            </w:r>
          </w:p>
        </w:tc>
        <w:tc>
          <w:tcPr>
            <w:tcW w:w="840" w:type="dxa"/>
            <w:vAlign w:val="bottom"/>
          </w:tcPr>
          <w:p>
            <w:pPr>
              <w:jc w:val="right"/>
              <w:spacing w:after="0"/>
              <w:rPr>
                <w:sz w:val="20"/>
                <w:szCs w:val="20"/>
                <w:color w:val="auto"/>
              </w:rPr>
            </w:pPr>
            <w:r>
              <w:rPr>
                <w:rFonts w:ascii="Arial" w:cs="Arial" w:eastAsia="Arial" w:hAnsi="Arial"/>
                <w:sz w:val="14"/>
                <w:szCs w:val="14"/>
                <w:color w:val="060606"/>
              </w:rPr>
              <w:t>68.4 %</w:t>
            </w:r>
          </w:p>
        </w:tc>
        <w:tc>
          <w:tcPr>
            <w:tcW w:w="900" w:type="dxa"/>
            <w:vAlign w:val="bottom"/>
          </w:tcPr>
          <w:p>
            <w:pPr>
              <w:jc w:val="right"/>
              <w:spacing w:after="0"/>
              <w:rPr>
                <w:sz w:val="20"/>
                <w:szCs w:val="20"/>
                <w:color w:val="auto"/>
              </w:rPr>
            </w:pPr>
            <w:r>
              <w:rPr>
                <w:rFonts w:ascii="Arial" w:cs="Arial" w:eastAsia="Arial" w:hAnsi="Arial"/>
                <w:sz w:val="14"/>
                <w:szCs w:val="14"/>
                <w:color w:val="060606"/>
              </w:rPr>
              <w:t>0.5 %</w:t>
            </w:r>
          </w:p>
        </w:tc>
        <w:tc>
          <w:tcPr>
            <w:tcW w:w="880" w:type="dxa"/>
            <w:vAlign w:val="bottom"/>
          </w:tcPr>
          <w:p>
            <w:pPr>
              <w:jc w:val="right"/>
              <w:spacing w:after="0"/>
              <w:rPr>
                <w:sz w:val="20"/>
                <w:szCs w:val="20"/>
                <w:color w:val="auto"/>
              </w:rPr>
            </w:pPr>
            <w:r>
              <w:rPr>
                <w:rFonts w:ascii="Arial" w:cs="Arial" w:eastAsia="Arial" w:hAnsi="Arial"/>
                <w:sz w:val="14"/>
                <w:szCs w:val="14"/>
                <w:color w:val="060606"/>
              </w:rPr>
              <w:t>— %</w:t>
            </w:r>
          </w:p>
        </w:tc>
        <w:tc>
          <w:tcPr>
            <w:tcW w:w="840" w:type="dxa"/>
            <w:vAlign w:val="bottom"/>
          </w:tcPr>
          <w:p>
            <w:pPr>
              <w:jc w:val="right"/>
              <w:spacing w:after="0"/>
              <w:rPr>
                <w:sz w:val="20"/>
                <w:szCs w:val="20"/>
                <w:color w:val="auto"/>
              </w:rPr>
            </w:pPr>
            <w:r>
              <w:rPr>
                <w:rFonts w:ascii="Arial" w:cs="Arial" w:eastAsia="Arial" w:hAnsi="Arial"/>
                <w:sz w:val="14"/>
                <w:szCs w:val="14"/>
                <w:color w:val="060606"/>
              </w:rPr>
              <w:t>— %</w:t>
            </w:r>
          </w:p>
        </w:tc>
        <w:tc>
          <w:tcPr>
            <w:tcW w:w="980" w:type="dxa"/>
            <w:vAlign w:val="bottom"/>
            <w:gridSpan w:val="2"/>
          </w:tcPr>
          <w:p>
            <w:pPr>
              <w:jc w:val="right"/>
              <w:spacing w:after="0"/>
              <w:rPr>
                <w:sz w:val="20"/>
                <w:szCs w:val="20"/>
                <w:color w:val="auto"/>
              </w:rPr>
            </w:pPr>
            <w:r>
              <w:rPr>
                <w:rFonts w:ascii="Arial" w:cs="Arial" w:eastAsia="Arial" w:hAnsi="Arial"/>
                <w:sz w:val="14"/>
                <w:szCs w:val="14"/>
                <w:color w:val="060606"/>
              </w:rPr>
              <w:t>0.3 %</w:t>
            </w:r>
          </w:p>
        </w:tc>
        <w:tc>
          <w:tcPr>
            <w:tcW w:w="880" w:type="dxa"/>
            <w:vAlign w:val="bottom"/>
          </w:tcPr>
          <w:p>
            <w:pPr>
              <w:jc w:val="right"/>
              <w:spacing w:after="0"/>
              <w:rPr>
                <w:sz w:val="20"/>
                <w:szCs w:val="20"/>
                <w:color w:val="auto"/>
              </w:rPr>
            </w:pPr>
            <w:r>
              <w:rPr>
                <w:rFonts w:ascii="Arial" w:cs="Arial" w:eastAsia="Arial" w:hAnsi="Arial"/>
                <w:sz w:val="14"/>
                <w:szCs w:val="14"/>
                <w:color w:val="060606"/>
              </w:rPr>
              <w:t>— %</w:t>
            </w:r>
          </w:p>
        </w:tc>
        <w:tc>
          <w:tcPr>
            <w:tcW w:w="940" w:type="dxa"/>
            <w:vAlign w:val="bottom"/>
          </w:tcPr>
          <w:p>
            <w:pPr>
              <w:jc w:val="right"/>
              <w:spacing w:after="0"/>
              <w:rPr>
                <w:sz w:val="20"/>
                <w:szCs w:val="20"/>
                <w:color w:val="auto"/>
              </w:rPr>
            </w:pPr>
            <w:r>
              <w:rPr>
                <w:rFonts w:ascii="Arial" w:cs="Arial" w:eastAsia="Arial" w:hAnsi="Arial"/>
                <w:sz w:val="14"/>
                <w:szCs w:val="14"/>
                <w:color w:val="060606"/>
              </w:rPr>
              <w:t>0.1 %</w:t>
            </w:r>
          </w:p>
        </w:tc>
        <w:tc>
          <w:tcPr>
            <w:tcW w:w="880" w:type="dxa"/>
            <w:vAlign w:val="bottom"/>
            <w:gridSpan w:val="2"/>
          </w:tcPr>
          <w:p>
            <w:pPr>
              <w:ind w:left="560"/>
              <w:spacing w:after="0"/>
              <w:rPr>
                <w:sz w:val="20"/>
                <w:szCs w:val="20"/>
                <w:color w:val="auto"/>
              </w:rPr>
            </w:pPr>
            <w:r>
              <w:rPr>
                <w:rFonts w:ascii="Arial" w:cs="Arial" w:eastAsia="Arial" w:hAnsi="Arial"/>
                <w:sz w:val="14"/>
                <w:szCs w:val="14"/>
                <w:color w:val="060606"/>
                <w:w w:val="98"/>
              </w:rPr>
              <w:t>— %</w:t>
            </w:r>
          </w:p>
        </w:tc>
        <w:tc>
          <w:tcPr>
            <w:tcW w:w="840" w:type="dxa"/>
            <w:vAlign w:val="bottom"/>
          </w:tcPr>
          <w:p>
            <w:pPr>
              <w:jc w:val="right"/>
              <w:spacing w:after="0"/>
              <w:rPr>
                <w:sz w:val="20"/>
                <w:szCs w:val="20"/>
                <w:color w:val="auto"/>
              </w:rPr>
            </w:pPr>
            <w:r>
              <w:rPr>
                <w:rFonts w:ascii="Arial" w:cs="Arial" w:eastAsia="Arial" w:hAnsi="Arial"/>
                <w:sz w:val="14"/>
                <w:szCs w:val="14"/>
                <w:color w:val="060606"/>
              </w:rPr>
              <w:t>69.4 %</w:t>
            </w:r>
          </w:p>
        </w:tc>
        <w:tc>
          <w:tcPr>
            <w:tcW w:w="0" w:type="dxa"/>
            <w:vAlign w:val="bottom"/>
          </w:tcPr>
          <w:p>
            <w:pPr>
              <w:spacing w:after="0"/>
              <w:rPr>
                <w:sz w:val="1"/>
                <w:szCs w:val="1"/>
                <w:color w:val="auto"/>
              </w:rPr>
            </w:pPr>
          </w:p>
        </w:tc>
      </w:tr>
      <w:tr>
        <w:trPr>
          <w:trHeight w:val="216"/>
        </w:trPr>
        <w:tc>
          <w:tcPr>
            <w:tcW w:w="3260" w:type="dxa"/>
            <w:vAlign w:val="bottom"/>
          </w:tcPr>
          <w:p>
            <w:pPr>
              <w:ind w:left="20"/>
              <w:spacing w:after="0"/>
              <w:rPr>
                <w:sz w:val="20"/>
                <w:szCs w:val="20"/>
                <w:color w:val="auto"/>
              </w:rPr>
            </w:pPr>
            <w:r>
              <w:rPr>
                <w:rFonts w:ascii="Arial" w:cs="Arial" w:eastAsia="Arial" w:hAnsi="Arial"/>
                <w:sz w:val="14"/>
                <w:szCs w:val="14"/>
                <w:color w:val="060606"/>
              </w:rPr>
              <w:t>Selling, general, and administrative</w:t>
            </w:r>
          </w:p>
        </w:tc>
        <w:tc>
          <w:tcPr>
            <w:tcW w:w="840" w:type="dxa"/>
            <w:vAlign w:val="bottom"/>
          </w:tcPr>
          <w:p>
            <w:pPr>
              <w:jc w:val="right"/>
              <w:ind w:right="111"/>
              <w:spacing w:after="0"/>
              <w:rPr>
                <w:sz w:val="20"/>
                <w:szCs w:val="20"/>
                <w:color w:val="auto"/>
              </w:rPr>
            </w:pPr>
            <w:r>
              <w:rPr>
                <w:rFonts w:ascii="Arial" w:cs="Arial" w:eastAsia="Arial" w:hAnsi="Arial"/>
                <w:sz w:val="14"/>
                <w:szCs w:val="14"/>
                <w:color w:val="060606"/>
              </w:rPr>
              <w:t>138.5</w:t>
            </w:r>
          </w:p>
        </w:tc>
        <w:tc>
          <w:tcPr>
            <w:tcW w:w="900" w:type="dxa"/>
            <w:vAlign w:val="bottom"/>
          </w:tcPr>
          <w:p>
            <w:pPr>
              <w:jc w:val="right"/>
              <w:ind w:right="91"/>
              <w:spacing w:after="0"/>
              <w:rPr>
                <w:sz w:val="20"/>
                <w:szCs w:val="20"/>
                <w:color w:val="auto"/>
              </w:rPr>
            </w:pPr>
            <w:r>
              <w:rPr>
                <w:rFonts w:ascii="Arial" w:cs="Arial" w:eastAsia="Arial" w:hAnsi="Arial"/>
                <w:sz w:val="14"/>
                <w:szCs w:val="14"/>
                <w:color w:val="060606"/>
              </w:rPr>
              <w:t>(2.6)</w:t>
            </w:r>
          </w:p>
        </w:tc>
        <w:tc>
          <w:tcPr>
            <w:tcW w:w="880" w:type="dxa"/>
            <w:vAlign w:val="bottom"/>
          </w:tcPr>
          <w:p>
            <w:pPr>
              <w:jc w:val="right"/>
              <w:ind w:right="131"/>
              <w:spacing w:after="0"/>
              <w:rPr>
                <w:sz w:val="20"/>
                <w:szCs w:val="20"/>
                <w:color w:val="auto"/>
              </w:rPr>
            </w:pPr>
            <w:r>
              <w:rPr>
                <w:rFonts w:ascii="Arial" w:cs="Arial" w:eastAsia="Arial" w:hAnsi="Arial"/>
                <w:sz w:val="14"/>
                <w:szCs w:val="14"/>
                <w:color w:val="060606"/>
              </w:rPr>
              <w:t>—</w:t>
            </w:r>
          </w:p>
        </w:tc>
        <w:tc>
          <w:tcPr>
            <w:tcW w:w="840" w:type="dxa"/>
            <w:vAlign w:val="bottom"/>
          </w:tcPr>
          <w:p>
            <w:pPr>
              <w:jc w:val="right"/>
              <w:ind w:right="131"/>
              <w:spacing w:after="0"/>
              <w:rPr>
                <w:sz w:val="20"/>
                <w:szCs w:val="20"/>
                <w:color w:val="auto"/>
              </w:rPr>
            </w:pPr>
            <w:r>
              <w:rPr>
                <w:rFonts w:ascii="Arial" w:cs="Arial" w:eastAsia="Arial" w:hAnsi="Arial"/>
                <w:sz w:val="14"/>
                <w:szCs w:val="14"/>
                <w:color w:val="060606"/>
              </w:rPr>
              <w:t>—</w:t>
            </w:r>
          </w:p>
        </w:tc>
        <w:tc>
          <w:tcPr>
            <w:tcW w:w="820" w:type="dxa"/>
            <w:vAlign w:val="bottom"/>
          </w:tcPr>
          <w:p>
            <w:pPr>
              <w:jc w:val="right"/>
              <w:spacing w:after="0"/>
              <w:rPr>
                <w:sz w:val="20"/>
                <w:szCs w:val="20"/>
                <w:color w:val="auto"/>
              </w:rPr>
            </w:pPr>
            <w:r>
              <w:rPr>
                <w:rFonts w:ascii="Arial" w:cs="Arial" w:eastAsia="Arial" w:hAnsi="Arial"/>
                <w:sz w:val="14"/>
                <w:szCs w:val="14"/>
                <w:color w:val="060606"/>
              </w:rPr>
              <w:t>—</w:t>
            </w:r>
          </w:p>
        </w:tc>
        <w:tc>
          <w:tcPr>
            <w:tcW w:w="160" w:type="dxa"/>
            <w:vAlign w:val="bottom"/>
          </w:tcPr>
          <w:p>
            <w:pPr>
              <w:spacing w:after="0"/>
              <w:rPr>
                <w:sz w:val="18"/>
                <w:szCs w:val="18"/>
                <w:color w:val="auto"/>
              </w:rPr>
            </w:pPr>
          </w:p>
        </w:tc>
        <w:tc>
          <w:tcPr>
            <w:tcW w:w="880" w:type="dxa"/>
            <w:vAlign w:val="bottom"/>
          </w:tcPr>
          <w:p>
            <w:pPr>
              <w:jc w:val="right"/>
              <w:ind w:right="111"/>
              <w:spacing w:after="0"/>
              <w:rPr>
                <w:sz w:val="20"/>
                <w:szCs w:val="20"/>
                <w:color w:val="auto"/>
              </w:rPr>
            </w:pPr>
            <w:r>
              <w:rPr>
                <w:rFonts w:ascii="Arial" w:cs="Arial" w:eastAsia="Arial" w:hAnsi="Arial"/>
                <w:sz w:val="14"/>
                <w:szCs w:val="14"/>
                <w:color w:val="060606"/>
              </w:rPr>
              <w:t>(6.2)</w:t>
            </w:r>
          </w:p>
        </w:tc>
        <w:tc>
          <w:tcPr>
            <w:tcW w:w="940" w:type="dxa"/>
            <w:vAlign w:val="bottom"/>
          </w:tcPr>
          <w:p>
            <w:pPr>
              <w:jc w:val="right"/>
              <w:ind w:right="91"/>
              <w:spacing w:after="0"/>
              <w:rPr>
                <w:sz w:val="20"/>
                <w:szCs w:val="20"/>
                <w:color w:val="auto"/>
              </w:rPr>
            </w:pPr>
            <w:r>
              <w:rPr>
                <w:rFonts w:ascii="Arial" w:cs="Arial" w:eastAsia="Arial" w:hAnsi="Arial"/>
                <w:sz w:val="14"/>
                <w:szCs w:val="14"/>
                <w:color w:val="060606"/>
              </w:rPr>
              <w:t>(6.8)</w:t>
            </w:r>
          </w:p>
        </w:tc>
        <w:tc>
          <w:tcPr>
            <w:tcW w:w="740" w:type="dxa"/>
            <w:vAlign w:val="bottom"/>
          </w:tcPr>
          <w:p>
            <w:pPr>
              <w:ind w:left="560"/>
              <w:spacing w:after="0"/>
              <w:rPr>
                <w:sz w:val="20"/>
                <w:szCs w:val="20"/>
                <w:color w:val="auto"/>
              </w:rPr>
            </w:pPr>
            <w:r>
              <w:rPr>
                <w:rFonts w:ascii="Arial" w:cs="Arial" w:eastAsia="Arial" w:hAnsi="Arial"/>
                <w:sz w:val="14"/>
                <w:szCs w:val="14"/>
                <w:color w:val="060606"/>
              </w:rPr>
              <w:t>—</w:t>
            </w:r>
          </w:p>
        </w:tc>
        <w:tc>
          <w:tcPr>
            <w:tcW w:w="140" w:type="dxa"/>
            <w:vAlign w:val="bottom"/>
          </w:tcPr>
          <w:p>
            <w:pPr>
              <w:spacing w:after="0"/>
              <w:rPr>
                <w:sz w:val="18"/>
                <w:szCs w:val="18"/>
                <w:color w:val="auto"/>
              </w:rPr>
            </w:pPr>
          </w:p>
        </w:tc>
        <w:tc>
          <w:tcPr>
            <w:tcW w:w="840" w:type="dxa"/>
            <w:vAlign w:val="bottom"/>
          </w:tcPr>
          <w:p>
            <w:pPr>
              <w:jc w:val="right"/>
              <w:ind w:right="111"/>
              <w:spacing w:after="0"/>
              <w:rPr>
                <w:sz w:val="20"/>
                <w:szCs w:val="20"/>
                <w:color w:val="auto"/>
              </w:rPr>
            </w:pPr>
            <w:r>
              <w:rPr>
                <w:rFonts w:ascii="Arial" w:cs="Arial" w:eastAsia="Arial" w:hAnsi="Arial"/>
                <w:sz w:val="14"/>
                <w:szCs w:val="14"/>
                <w:color w:val="060606"/>
              </w:rPr>
              <w:t>122.8</w:t>
            </w:r>
          </w:p>
        </w:tc>
        <w:tc>
          <w:tcPr>
            <w:tcW w:w="0" w:type="dxa"/>
            <w:vAlign w:val="bottom"/>
          </w:tcPr>
          <w:p>
            <w:pPr>
              <w:spacing w:after="0"/>
              <w:rPr>
                <w:sz w:val="1"/>
                <w:szCs w:val="1"/>
                <w:color w:val="auto"/>
              </w:rPr>
            </w:pPr>
          </w:p>
        </w:tc>
      </w:tr>
      <w:tr>
        <w:trPr>
          <w:trHeight w:val="174"/>
        </w:trPr>
        <w:tc>
          <w:tcPr>
            <w:tcW w:w="3260" w:type="dxa"/>
            <w:vAlign w:val="bottom"/>
          </w:tcPr>
          <w:p>
            <w:pPr>
              <w:ind w:left="20"/>
              <w:spacing w:after="0"/>
              <w:rPr>
                <w:sz w:val="20"/>
                <w:szCs w:val="20"/>
                <w:color w:val="auto"/>
              </w:rPr>
            </w:pPr>
            <w:r>
              <w:rPr>
                <w:rFonts w:ascii="Arial" w:cs="Arial" w:eastAsia="Arial" w:hAnsi="Arial"/>
                <w:sz w:val="14"/>
                <w:szCs w:val="14"/>
                <w:color w:val="060606"/>
              </w:rPr>
              <w:t>Selling, general, and administrative as a percent</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060606"/>
              </w:rPr>
              <w:t>38.7 %</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060606"/>
              </w:rPr>
              <w:t>(0.7)%</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060606"/>
              </w:rPr>
              <w:t>— %</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060606"/>
              </w:rPr>
              <w:t>— %</w:t>
            </w:r>
          </w:p>
        </w:tc>
        <w:tc>
          <w:tcPr>
            <w:tcW w:w="980" w:type="dxa"/>
            <w:vAlign w:val="bottom"/>
            <w:gridSpan w:val="2"/>
            <w:vMerge w:val="restart"/>
          </w:tcPr>
          <w:p>
            <w:pPr>
              <w:jc w:val="right"/>
              <w:spacing w:after="0"/>
              <w:rPr>
                <w:sz w:val="20"/>
                <w:szCs w:val="20"/>
                <w:color w:val="auto"/>
              </w:rPr>
            </w:pPr>
            <w:r>
              <w:rPr>
                <w:rFonts w:ascii="Arial" w:cs="Arial" w:eastAsia="Arial" w:hAnsi="Arial"/>
                <w:sz w:val="14"/>
                <w:szCs w:val="14"/>
                <w:color w:val="060606"/>
              </w:rPr>
              <w:t>— %</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060606"/>
              </w:rPr>
              <w:t>(1.7)%</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060606"/>
              </w:rPr>
              <w:t>(1.9)%</w:t>
            </w:r>
          </w:p>
        </w:tc>
        <w:tc>
          <w:tcPr>
            <w:tcW w:w="880" w:type="dxa"/>
            <w:vAlign w:val="bottom"/>
            <w:gridSpan w:val="2"/>
            <w:vMerge w:val="restart"/>
          </w:tcPr>
          <w:p>
            <w:pPr>
              <w:ind w:left="560"/>
              <w:spacing w:after="0"/>
              <w:rPr>
                <w:sz w:val="20"/>
                <w:szCs w:val="20"/>
                <w:color w:val="auto"/>
              </w:rPr>
            </w:pPr>
            <w:r>
              <w:rPr>
                <w:rFonts w:ascii="Arial" w:cs="Arial" w:eastAsia="Arial" w:hAnsi="Arial"/>
                <w:sz w:val="14"/>
                <w:szCs w:val="14"/>
                <w:color w:val="060606"/>
                <w:w w:val="98"/>
              </w:rPr>
              <w:t>— %</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060606"/>
              </w:rPr>
              <w:t>34.3 %</w:t>
            </w:r>
          </w:p>
        </w:tc>
        <w:tc>
          <w:tcPr>
            <w:tcW w:w="0" w:type="dxa"/>
            <w:vAlign w:val="bottom"/>
          </w:tcPr>
          <w:p>
            <w:pPr>
              <w:spacing w:after="0"/>
              <w:rPr>
                <w:sz w:val="1"/>
                <w:szCs w:val="1"/>
                <w:color w:val="auto"/>
              </w:rPr>
            </w:pPr>
          </w:p>
        </w:tc>
      </w:tr>
      <w:tr>
        <w:trPr>
          <w:trHeight w:val="190"/>
        </w:trPr>
        <w:tc>
          <w:tcPr>
            <w:tcW w:w="3260" w:type="dxa"/>
            <w:vAlign w:val="bottom"/>
          </w:tcPr>
          <w:p>
            <w:pPr>
              <w:ind w:left="20"/>
              <w:spacing w:after="0"/>
              <w:rPr>
                <w:sz w:val="20"/>
                <w:szCs w:val="20"/>
                <w:color w:val="auto"/>
              </w:rPr>
            </w:pPr>
            <w:r>
              <w:rPr>
                <w:rFonts w:ascii="Arial" w:cs="Arial" w:eastAsia="Arial" w:hAnsi="Arial"/>
                <w:sz w:val="14"/>
                <w:szCs w:val="14"/>
                <w:color w:val="060606"/>
              </w:rPr>
              <w:t>of net revenue</w:t>
            </w:r>
          </w:p>
        </w:tc>
        <w:tc>
          <w:tcPr>
            <w:tcW w:w="84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260" w:type="dxa"/>
            <w:vAlign w:val="bottom"/>
          </w:tcPr>
          <w:p>
            <w:pPr>
              <w:ind w:left="20"/>
              <w:spacing w:after="0"/>
              <w:rPr>
                <w:sz w:val="20"/>
                <w:szCs w:val="20"/>
                <w:color w:val="auto"/>
              </w:rPr>
            </w:pPr>
            <w:r>
              <w:rPr>
                <w:rFonts w:ascii="Arial" w:cs="Arial" w:eastAsia="Arial" w:hAnsi="Arial"/>
                <w:sz w:val="14"/>
                <w:szCs w:val="14"/>
                <w:color w:val="060606"/>
              </w:rPr>
              <w:t>Research and development</w:t>
            </w:r>
          </w:p>
        </w:tc>
        <w:tc>
          <w:tcPr>
            <w:tcW w:w="840" w:type="dxa"/>
            <w:vAlign w:val="bottom"/>
          </w:tcPr>
          <w:p>
            <w:pPr>
              <w:jc w:val="right"/>
              <w:ind w:right="111"/>
              <w:spacing w:after="0"/>
              <w:rPr>
                <w:sz w:val="20"/>
                <w:szCs w:val="20"/>
                <w:color w:val="auto"/>
              </w:rPr>
            </w:pPr>
            <w:r>
              <w:rPr>
                <w:rFonts w:ascii="Arial" w:cs="Arial" w:eastAsia="Arial" w:hAnsi="Arial"/>
                <w:sz w:val="14"/>
                <w:szCs w:val="14"/>
                <w:color w:val="060606"/>
              </w:rPr>
              <w:t>48.6</w:t>
            </w:r>
          </w:p>
        </w:tc>
        <w:tc>
          <w:tcPr>
            <w:tcW w:w="900" w:type="dxa"/>
            <w:vAlign w:val="bottom"/>
          </w:tcPr>
          <w:p>
            <w:pPr>
              <w:jc w:val="right"/>
              <w:ind w:right="131"/>
              <w:spacing w:after="0"/>
              <w:rPr>
                <w:sz w:val="20"/>
                <w:szCs w:val="20"/>
                <w:color w:val="auto"/>
              </w:rPr>
            </w:pPr>
            <w:r>
              <w:rPr>
                <w:rFonts w:ascii="Arial" w:cs="Arial" w:eastAsia="Arial" w:hAnsi="Arial"/>
                <w:sz w:val="14"/>
                <w:szCs w:val="14"/>
                <w:color w:val="060606"/>
              </w:rPr>
              <w:t>—</w:t>
            </w:r>
          </w:p>
        </w:tc>
        <w:tc>
          <w:tcPr>
            <w:tcW w:w="880" w:type="dxa"/>
            <w:vAlign w:val="bottom"/>
          </w:tcPr>
          <w:p>
            <w:pPr>
              <w:jc w:val="right"/>
              <w:ind w:right="131"/>
              <w:spacing w:after="0"/>
              <w:rPr>
                <w:sz w:val="20"/>
                <w:szCs w:val="20"/>
                <w:color w:val="auto"/>
              </w:rPr>
            </w:pPr>
            <w:r>
              <w:rPr>
                <w:rFonts w:ascii="Arial" w:cs="Arial" w:eastAsia="Arial" w:hAnsi="Arial"/>
                <w:sz w:val="14"/>
                <w:szCs w:val="14"/>
                <w:color w:val="060606"/>
              </w:rPr>
              <w:t>—</w:t>
            </w:r>
          </w:p>
        </w:tc>
        <w:tc>
          <w:tcPr>
            <w:tcW w:w="840" w:type="dxa"/>
            <w:vAlign w:val="bottom"/>
          </w:tcPr>
          <w:p>
            <w:pPr>
              <w:jc w:val="right"/>
              <w:ind w:right="131"/>
              <w:spacing w:after="0"/>
              <w:rPr>
                <w:sz w:val="20"/>
                <w:szCs w:val="20"/>
                <w:color w:val="auto"/>
              </w:rPr>
            </w:pPr>
            <w:r>
              <w:rPr>
                <w:rFonts w:ascii="Arial" w:cs="Arial" w:eastAsia="Arial" w:hAnsi="Arial"/>
                <w:sz w:val="14"/>
                <w:szCs w:val="14"/>
                <w:color w:val="060606"/>
              </w:rPr>
              <w:t>—</w:t>
            </w:r>
          </w:p>
        </w:tc>
        <w:tc>
          <w:tcPr>
            <w:tcW w:w="820" w:type="dxa"/>
            <w:vAlign w:val="bottom"/>
          </w:tcPr>
          <w:p>
            <w:pPr>
              <w:jc w:val="right"/>
              <w:spacing w:after="0"/>
              <w:rPr>
                <w:sz w:val="20"/>
                <w:szCs w:val="20"/>
                <w:color w:val="auto"/>
              </w:rPr>
            </w:pPr>
            <w:r>
              <w:rPr>
                <w:rFonts w:ascii="Arial" w:cs="Arial" w:eastAsia="Arial" w:hAnsi="Arial"/>
                <w:sz w:val="14"/>
                <w:szCs w:val="14"/>
                <w:color w:val="060606"/>
              </w:rPr>
              <w:t>(0.8)</w:t>
            </w:r>
          </w:p>
        </w:tc>
        <w:tc>
          <w:tcPr>
            <w:tcW w:w="160" w:type="dxa"/>
            <w:vAlign w:val="bottom"/>
          </w:tcPr>
          <w:p>
            <w:pPr>
              <w:spacing w:after="0"/>
              <w:rPr>
                <w:sz w:val="17"/>
                <w:szCs w:val="17"/>
                <w:color w:val="auto"/>
              </w:rPr>
            </w:pPr>
          </w:p>
        </w:tc>
        <w:tc>
          <w:tcPr>
            <w:tcW w:w="880" w:type="dxa"/>
            <w:vAlign w:val="bottom"/>
          </w:tcPr>
          <w:p>
            <w:pPr>
              <w:jc w:val="right"/>
              <w:ind w:right="111"/>
              <w:spacing w:after="0"/>
              <w:rPr>
                <w:sz w:val="20"/>
                <w:szCs w:val="20"/>
                <w:color w:val="auto"/>
              </w:rPr>
            </w:pPr>
            <w:r>
              <w:rPr>
                <w:rFonts w:ascii="Arial" w:cs="Arial" w:eastAsia="Arial" w:hAnsi="Arial"/>
                <w:sz w:val="14"/>
                <w:szCs w:val="14"/>
                <w:color w:val="060606"/>
              </w:rPr>
              <w:t>(0.2)</w:t>
            </w:r>
          </w:p>
        </w:tc>
        <w:tc>
          <w:tcPr>
            <w:tcW w:w="940" w:type="dxa"/>
            <w:vAlign w:val="bottom"/>
          </w:tcPr>
          <w:p>
            <w:pPr>
              <w:jc w:val="right"/>
              <w:ind w:right="91"/>
              <w:spacing w:after="0"/>
              <w:rPr>
                <w:sz w:val="20"/>
                <w:szCs w:val="20"/>
                <w:color w:val="auto"/>
              </w:rPr>
            </w:pPr>
            <w:r>
              <w:rPr>
                <w:rFonts w:ascii="Arial" w:cs="Arial" w:eastAsia="Arial" w:hAnsi="Arial"/>
                <w:sz w:val="14"/>
                <w:szCs w:val="14"/>
                <w:color w:val="060606"/>
              </w:rPr>
              <w:t>(2.6)</w:t>
            </w:r>
          </w:p>
        </w:tc>
        <w:tc>
          <w:tcPr>
            <w:tcW w:w="740" w:type="dxa"/>
            <w:vAlign w:val="bottom"/>
          </w:tcPr>
          <w:p>
            <w:pPr>
              <w:ind w:left="560"/>
              <w:spacing w:after="0"/>
              <w:rPr>
                <w:sz w:val="20"/>
                <w:szCs w:val="20"/>
                <w:color w:val="auto"/>
              </w:rPr>
            </w:pPr>
            <w:r>
              <w:rPr>
                <w:rFonts w:ascii="Arial" w:cs="Arial" w:eastAsia="Arial" w:hAnsi="Arial"/>
                <w:sz w:val="14"/>
                <w:szCs w:val="14"/>
                <w:color w:val="060606"/>
              </w:rPr>
              <w:t>—</w:t>
            </w:r>
          </w:p>
        </w:tc>
        <w:tc>
          <w:tcPr>
            <w:tcW w:w="140" w:type="dxa"/>
            <w:vAlign w:val="bottom"/>
          </w:tcPr>
          <w:p>
            <w:pPr>
              <w:spacing w:after="0"/>
              <w:rPr>
                <w:sz w:val="17"/>
                <w:szCs w:val="17"/>
                <w:color w:val="auto"/>
              </w:rPr>
            </w:pPr>
          </w:p>
        </w:tc>
        <w:tc>
          <w:tcPr>
            <w:tcW w:w="840" w:type="dxa"/>
            <w:vAlign w:val="bottom"/>
          </w:tcPr>
          <w:p>
            <w:pPr>
              <w:jc w:val="right"/>
              <w:ind w:right="111"/>
              <w:spacing w:after="0"/>
              <w:rPr>
                <w:sz w:val="20"/>
                <w:szCs w:val="20"/>
                <w:color w:val="auto"/>
              </w:rPr>
            </w:pPr>
            <w:r>
              <w:rPr>
                <w:rFonts w:ascii="Arial" w:cs="Arial" w:eastAsia="Arial" w:hAnsi="Arial"/>
                <w:sz w:val="14"/>
                <w:szCs w:val="14"/>
                <w:color w:val="060606"/>
              </w:rPr>
              <w:t>45.0</w:t>
            </w:r>
          </w:p>
        </w:tc>
        <w:tc>
          <w:tcPr>
            <w:tcW w:w="0" w:type="dxa"/>
            <w:vAlign w:val="bottom"/>
          </w:tcPr>
          <w:p>
            <w:pPr>
              <w:spacing w:after="0"/>
              <w:rPr>
                <w:sz w:val="1"/>
                <w:szCs w:val="1"/>
                <w:color w:val="auto"/>
              </w:rPr>
            </w:pPr>
          </w:p>
        </w:tc>
      </w:tr>
      <w:tr>
        <w:trPr>
          <w:trHeight w:val="174"/>
        </w:trPr>
        <w:tc>
          <w:tcPr>
            <w:tcW w:w="3260" w:type="dxa"/>
            <w:vAlign w:val="bottom"/>
          </w:tcPr>
          <w:p>
            <w:pPr>
              <w:ind w:left="20"/>
              <w:spacing w:after="0"/>
              <w:rPr>
                <w:sz w:val="20"/>
                <w:szCs w:val="20"/>
                <w:color w:val="auto"/>
              </w:rPr>
            </w:pPr>
            <w:r>
              <w:rPr>
                <w:rFonts w:ascii="Arial" w:cs="Arial" w:eastAsia="Arial" w:hAnsi="Arial"/>
                <w:sz w:val="14"/>
                <w:szCs w:val="14"/>
                <w:color w:val="060606"/>
              </w:rPr>
              <w:t>Research and development as a percent of net</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060606"/>
              </w:rPr>
              <w:t>13.6 %</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060606"/>
              </w:rPr>
              <w:t>— %</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060606"/>
              </w:rPr>
              <w:t>— %</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060606"/>
              </w:rPr>
              <w:t>— %</w:t>
            </w:r>
          </w:p>
        </w:tc>
        <w:tc>
          <w:tcPr>
            <w:tcW w:w="980" w:type="dxa"/>
            <w:vAlign w:val="bottom"/>
            <w:gridSpan w:val="2"/>
            <w:vMerge w:val="restart"/>
          </w:tcPr>
          <w:p>
            <w:pPr>
              <w:jc w:val="right"/>
              <w:spacing w:after="0"/>
              <w:rPr>
                <w:sz w:val="20"/>
                <w:szCs w:val="20"/>
                <w:color w:val="auto"/>
              </w:rPr>
            </w:pPr>
            <w:r>
              <w:rPr>
                <w:rFonts w:ascii="Arial" w:cs="Arial" w:eastAsia="Arial" w:hAnsi="Arial"/>
                <w:sz w:val="14"/>
                <w:szCs w:val="14"/>
                <w:color w:val="060606"/>
              </w:rPr>
              <w:t>(0.2)%</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060606"/>
              </w:rPr>
              <w:t>(0.1)%</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060606"/>
              </w:rPr>
              <w:t>(0.7)%</w:t>
            </w:r>
          </w:p>
        </w:tc>
        <w:tc>
          <w:tcPr>
            <w:tcW w:w="880" w:type="dxa"/>
            <w:vAlign w:val="bottom"/>
            <w:gridSpan w:val="2"/>
            <w:vMerge w:val="restart"/>
          </w:tcPr>
          <w:p>
            <w:pPr>
              <w:ind w:left="560"/>
              <w:spacing w:after="0"/>
              <w:rPr>
                <w:sz w:val="20"/>
                <w:szCs w:val="20"/>
                <w:color w:val="auto"/>
              </w:rPr>
            </w:pPr>
            <w:r>
              <w:rPr>
                <w:rFonts w:ascii="Arial" w:cs="Arial" w:eastAsia="Arial" w:hAnsi="Arial"/>
                <w:sz w:val="14"/>
                <w:szCs w:val="14"/>
                <w:color w:val="060606"/>
                <w:w w:val="98"/>
              </w:rPr>
              <w:t>— %</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060606"/>
              </w:rPr>
              <w:t>12.6 %</w:t>
            </w:r>
          </w:p>
        </w:tc>
        <w:tc>
          <w:tcPr>
            <w:tcW w:w="0" w:type="dxa"/>
            <w:vAlign w:val="bottom"/>
          </w:tcPr>
          <w:p>
            <w:pPr>
              <w:spacing w:after="0"/>
              <w:rPr>
                <w:sz w:val="1"/>
                <w:szCs w:val="1"/>
                <w:color w:val="auto"/>
              </w:rPr>
            </w:pPr>
          </w:p>
        </w:tc>
      </w:tr>
      <w:tr>
        <w:trPr>
          <w:trHeight w:val="190"/>
        </w:trPr>
        <w:tc>
          <w:tcPr>
            <w:tcW w:w="3260" w:type="dxa"/>
            <w:vAlign w:val="bottom"/>
          </w:tcPr>
          <w:p>
            <w:pPr>
              <w:ind w:left="20"/>
              <w:spacing w:after="0"/>
              <w:rPr>
                <w:sz w:val="20"/>
                <w:szCs w:val="20"/>
                <w:color w:val="auto"/>
              </w:rPr>
            </w:pPr>
            <w:r>
              <w:rPr>
                <w:rFonts w:ascii="Arial" w:cs="Arial" w:eastAsia="Arial" w:hAnsi="Arial"/>
                <w:sz w:val="14"/>
                <w:szCs w:val="14"/>
                <w:color w:val="060606"/>
              </w:rPr>
              <w:t>revenue</w:t>
            </w:r>
          </w:p>
        </w:tc>
        <w:tc>
          <w:tcPr>
            <w:tcW w:w="84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260" w:type="dxa"/>
            <w:vAlign w:val="bottom"/>
          </w:tcPr>
          <w:p>
            <w:pPr>
              <w:ind w:left="20"/>
              <w:spacing w:after="0"/>
              <w:rPr>
                <w:sz w:val="20"/>
                <w:szCs w:val="20"/>
                <w:color w:val="auto"/>
              </w:rPr>
            </w:pPr>
            <w:r>
              <w:rPr>
                <w:rFonts w:ascii="Arial" w:cs="Arial" w:eastAsia="Arial" w:hAnsi="Arial"/>
                <w:sz w:val="14"/>
                <w:szCs w:val="14"/>
                <w:color w:val="060606"/>
              </w:rPr>
              <w:t>Other operating expense</w:t>
            </w:r>
          </w:p>
        </w:tc>
        <w:tc>
          <w:tcPr>
            <w:tcW w:w="840" w:type="dxa"/>
            <w:vAlign w:val="bottom"/>
          </w:tcPr>
          <w:p>
            <w:pPr>
              <w:jc w:val="right"/>
              <w:ind w:right="111"/>
              <w:spacing w:after="0"/>
              <w:rPr>
                <w:sz w:val="20"/>
                <w:szCs w:val="20"/>
                <w:color w:val="auto"/>
              </w:rPr>
            </w:pPr>
            <w:r>
              <w:rPr>
                <w:rFonts w:ascii="Arial" w:cs="Arial" w:eastAsia="Arial" w:hAnsi="Arial"/>
                <w:sz w:val="14"/>
                <w:szCs w:val="14"/>
                <w:color w:val="060606"/>
              </w:rPr>
              <w:t>3.7</w:t>
            </w:r>
          </w:p>
        </w:tc>
        <w:tc>
          <w:tcPr>
            <w:tcW w:w="900" w:type="dxa"/>
            <w:vAlign w:val="bottom"/>
          </w:tcPr>
          <w:p>
            <w:pPr>
              <w:jc w:val="right"/>
              <w:ind w:right="131"/>
              <w:spacing w:after="0"/>
              <w:rPr>
                <w:sz w:val="20"/>
                <w:szCs w:val="20"/>
                <w:color w:val="auto"/>
              </w:rPr>
            </w:pPr>
            <w:r>
              <w:rPr>
                <w:rFonts w:ascii="Arial" w:cs="Arial" w:eastAsia="Arial" w:hAnsi="Arial"/>
                <w:sz w:val="14"/>
                <w:szCs w:val="14"/>
                <w:color w:val="060606"/>
              </w:rPr>
              <w:t>—</w:t>
            </w:r>
          </w:p>
        </w:tc>
        <w:tc>
          <w:tcPr>
            <w:tcW w:w="880" w:type="dxa"/>
            <w:vAlign w:val="bottom"/>
          </w:tcPr>
          <w:p>
            <w:pPr>
              <w:jc w:val="right"/>
              <w:ind w:right="131"/>
              <w:spacing w:after="0"/>
              <w:rPr>
                <w:sz w:val="20"/>
                <w:szCs w:val="20"/>
                <w:color w:val="auto"/>
              </w:rPr>
            </w:pPr>
            <w:r>
              <w:rPr>
                <w:rFonts w:ascii="Arial" w:cs="Arial" w:eastAsia="Arial" w:hAnsi="Arial"/>
                <w:sz w:val="14"/>
                <w:szCs w:val="14"/>
                <w:color w:val="060606"/>
              </w:rPr>
              <w:t>—</w:t>
            </w:r>
          </w:p>
        </w:tc>
        <w:tc>
          <w:tcPr>
            <w:tcW w:w="840" w:type="dxa"/>
            <w:vAlign w:val="bottom"/>
          </w:tcPr>
          <w:p>
            <w:pPr>
              <w:jc w:val="right"/>
              <w:ind w:right="131"/>
              <w:spacing w:after="0"/>
              <w:rPr>
                <w:sz w:val="20"/>
                <w:szCs w:val="20"/>
                <w:color w:val="auto"/>
              </w:rPr>
            </w:pPr>
            <w:r>
              <w:rPr>
                <w:rFonts w:ascii="Arial" w:cs="Arial" w:eastAsia="Arial" w:hAnsi="Arial"/>
                <w:sz w:val="14"/>
                <w:szCs w:val="14"/>
                <w:color w:val="060606"/>
              </w:rPr>
              <w:t>—</w:t>
            </w:r>
          </w:p>
        </w:tc>
        <w:tc>
          <w:tcPr>
            <w:tcW w:w="820" w:type="dxa"/>
            <w:vAlign w:val="bottom"/>
          </w:tcPr>
          <w:p>
            <w:pPr>
              <w:jc w:val="right"/>
              <w:spacing w:after="0"/>
              <w:rPr>
                <w:sz w:val="20"/>
                <w:szCs w:val="20"/>
                <w:color w:val="auto"/>
              </w:rPr>
            </w:pPr>
            <w:r>
              <w:rPr>
                <w:rFonts w:ascii="Arial" w:cs="Arial" w:eastAsia="Arial" w:hAnsi="Arial"/>
                <w:sz w:val="14"/>
                <w:szCs w:val="14"/>
                <w:color w:val="060606"/>
              </w:rPr>
              <w:t>—</w:t>
            </w:r>
          </w:p>
        </w:tc>
        <w:tc>
          <w:tcPr>
            <w:tcW w:w="160" w:type="dxa"/>
            <w:vAlign w:val="bottom"/>
          </w:tcPr>
          <w:p>
            <w:pPr>
              <w:spacing w:after="0"/>
              <w:rPr>
                <w:sz w:val="17"/>
                <w:szCs w:val="17"/>
                <w:color w:val="auto"/>
              </w:rPr>
            </w:pPr>
          </w:p>
        </w:tc>
        <w:tc>
          <w:tcPr>
            <w:tcW w:w="880" w:type="dxa"/>
            <w:vAlign w:val="bottom"/>
          </w:tcPr>
          <w:p>
            <w:pPr>
              <w:jc w:val="right"/>
              <w:ind w:right="111"/>
              <w:spacing w:after="0"/>
              <w:rPr>
                <w:sz w:val="20"/>
                <w:szCs w:val="20"/>
                <w:color w:val="auto"/>
              </w:rPr>
            </w:pPr>
            <w:r>
              <w:rPr>
                <w:rFonts w:ascii="Arial" w:cs="Arial" w:eastAsia="Arial" w:hAnsi="Arial"/>
                <w:sz w:val="14"/>
                <w:szCs w:val="14"/>
                <w:color w:val="060606"/>
              </w:rPr>
              <w:t>(3.7)</w:t>
            </w:r>
          </w:p>
        </w:tc>
        <w:tc>
          <w:tcPr>
            <w:tcW w:w="940" w:type="dxa"/>
            <w:vAlign w:val="bottom"/>
          </w:tcPr>
          <w:p>
            <w:pPr>
              <w:jc w:val="right"/>
              <w:ind w:right="131"/>
              <w:spacing w:after="0"/>
              <w:rPr>
                <w:sz w:val="20"/>
                <w:szCs w:val="20"/>
                <w:color w:val="auto"/>
              </w:rPr>
            </w:pPr>
            <w:r>
              <w:rPr>
                <w:rFonts w:ascii="Arial" w:cs="Arial" w:eastAsia="Arial" w:hAnsi="Arial"/>
                <w:sz w:val="14"/>
                <w:szCs w:val="14"/>
                <w:color w:val="060606"/>
              </w:rPr>
              <w:t>—</w:t>
            </w:r>
          </w:p>
        </w:tc>
        <w:tc>
          <w:tcPr>
            <w:tcW w:w="740" w:type="dxa"/>
            <w:vAlign w:val="bottom"/>
          </w:tcPr>
          <w:p>
            <w:pPr>
              <w:ind w:left="560"/>
              <w:spacing w:after="0"/>
              <w:rPr>
                <w:sz w:val="20"/>
                <w:szCs w:val="20"/>
                <w:color w:val="auto"/>
              </w:rPr>
            </w:pPr>
            <w:r>
              <w:rPr>
                <w:rFonts w:ascii="Arial" w:cs="Arial" w:eastAsia="Arial" w:hAnsi="Arial"/>
                <w:sz w:val="14"/>
                <w:szCs w:val="14"/>
                <w:color w:val="060606"/>
              </w:rPr>
              <w:t>—</w:t>
            </w:r>
          </w:p>
        </w:tc>
        <w:tc>
          <w:tcPr>
            <w:tcW w:w="140" w:type="dxa"/>
            <w:vAlign w:val="bottom"/>
          </w:tcPr>
          <w:p>
            <w:pPr>
              <w:spacing w:after="0"/>
              <w:rPr>
                <w:sz w:val="17"/>
                <w:szCs w:val="17"/>
                <w:color w:val="auto"/>
              </w:rPr>
            </w:pPr>
          </w:p>
        </w:tc>
        <w:tc>
          <w:tcPr>
            <w:tcW w:w="840" w:type="dxa"/>
            <w:vAlign w:val="bottom"/>
          </w:tcPr>
          <w:p>
            <w:pPr>
              <w:jc w:val="right"/>
              <w:ind w:right="111"/>
              <w:spacing w:after="0"/>
              <w:rPr>
                <w:sz w:val="20"/>
                <w:szCs w:val="20"/>
                <w:color w:val="auto"/>
              </w:rPr>
            </w:pPr>
            <w:r>
              <w:rPr>
                <w:rFonts w:ascii="Arial" w:cs="Arial" w:eastAsia="Arial" w:hAnsi="Arial"/>
                <w:sz w:val="14"/>
                <w:szCs w:val="14"/>
                <w:color w:val="060606"/>
              </w:rPr>
              <w:t>—</w:t>
            </w:r>
          </w:p>
        </w:tc>
        <w:tc>
          <w:tcPr>
            <w:tcW w:w="0" w:type="dxa"/>
            <w:vAlign w:val="bottom"/>
          </w:tcPr>
          <w:p>
            <w:pPr>
              <w:spacing w:after="0"/>
              <w:rPr>
                <w:sz w:val="1"/>
                <w:szCs w:val="1"/>
                <w:color w:val="auto"/>
              </w:rPr>
            </w:pPr>
          </w:p>
        </w:tc>
      </w:tr>
      <w:tr>
        <w:trPr>
          <w:trHeight w:val="216"/>
        </w:trPr>
        <w:tc>
          <w:tcPr>
            <w:tcW w:w="3260" w:type="dxa"/>
            <w:vAlign w:val="bottom"/>
          </w:tcPr>
          <w:p>
            <w:pPr>
              <w:ind w:left="20"/>
              <w:spacing w:after="0"/>
              <w:rPr>
                <w:sz w:val="20"/>
                <w:szCs w:val="20"/>
                <w:color w:val="auto"/>
              </w:rPr>
            </w:pPr>
            <w:r>
              <w:rPr>
                <w:rFonts w:ascii="Arial" w:cs="Arial" w:eastAsia="Arial" w:hAnsi="Arial"/>
                <w:sz w:val="14"/>
                <w:szCs w:val="14"/>
                <w:color w:val="060606"/>
              </w:rPr>
              <w:t>Operating income</w:t>
            </w:r>
          </w:p>
        </w:tc>
        <w:tc>
          <w:tcPr>
            <w:tcW w:w="840" w:type="dxa"/>
            <w:vAlign w:val="bottom"/>
          </w:tcPr>
          <w:p>
            <w:pPr>
              <w:jc w:val="right"/>
              <w:ind w:right="111"/>
              <w:spacing w:after="0"/>
              <w:rPr>
                <w:sz w:val="20"/>
                <w:szCs w:val="20"/>
                <w:color w:val="auto"/>
              </w:rPr>
            </w:pPr>
            <w:r>
              <w:rPr>
                <w:rFonts w:ascii="Arial" w:cs="Arial" w:eastAsia="Arial" w:hAnsi="Arial"/>
                <w:sz w:val="14"/>
                <w:szCs w:val="14"/>
                <w:color w:val="060606"/>
              </w:rPr>
              <w:t>54.0</w:t>
            </w:r>
          </w:p>
        </w:tc>
        <w:tc>
          <w:tcPr>
            <w:tcW w:w="900" w:type="dxa"/>
            <w:vAlign w:val="bottom"/>
          </w:tcPr>
          <w:p>
            <w:pPr>
              <w:jc w:val="right"/>
              <w:ind w:right="131"/>
              <w:spacing w:after="0"/>
              <w:rPr>
                <w:sz w:val="20"/>
                <w:szCs w:val="20"/>
                <w:color w:val="auto"/>
              </w:rPr>
            </w:pPr>
            <w:r>
              <w:rPr>
                <w:rFonts w:ascii="Arial" w:cs="Arial" w:eastAsia="Arial" w:hAnsi="Arial"/>
                <w:sz w:val="14"/>
                <w:szCs w:val="14"/>
                <w:color w:val="060606"/>
              </w:rPr>
              <w:t>4.5</w:t>
            </w:r>
          </w:p>
        </w:tc>
        <w:tc>
          <w:tcPr>
            <w:tcW w:w="880" w:type="dxa"/>
            <w:vAlign w:val="bottom"/>
          </w:tcPr>
          <w:p>
            <w:pPr>
              <w:jc w:val="right"/>
              <w:ind w:right="131"/>
              <w:spacing w:after="0"/>
              <w:rPr>
                <w:sz w:val="20"/>
                <w:szCs w:val="20"/>
                <w:color w:val="auto"/>
              </w:rPr>
            </w:pPr>
            <w:r>
              <w:rPr>
                <w:rFonts w:ascii="Arial" w:cs="Arial" w:eastAsia="Arial" w:hAnsi="Arial"/>
                <w:sz w:val="14"/>
                <w:szCs w:val="14"/>
                <w:color w:val="060606"/>
              </w:rPr>
              <w:t>—</w:t>
            </w:r>
          </w:p>
        </w:tc>
        <w:tc>
          <w:tcPr>
            <w:tcW w:w="840" w:type="dxa"/>
            <w:vAlign w:val="bottom"/>
          </w:tcPr>
          <w:p>
            <w:pPr>
              <w:jc w:val="right"/>
              <w:ind w:right="131"/>
              <w:spacing w:after="0"/>
              <w:rPr>
                <w:sz w:val="20"/>
                <w:szCs w:val="20"/>
                <w:color w:val="auto"/>
              </w:rPr>
            </w:pPr>
            <w:r>
              <w:rPr>
                <w:rFonts w:ascii="Arial" w:cs="Arial" w:eastAsia="Arial" w:hAnsi="Arial"/>
                <w:sz w:val="14"/>
                <w:szCs w:val="14"/>
                <w:color w:val="060606"/>
              </w:rPr>
              <w:t>—</w:t>
            </w:r>
          </w:p>
        </w:tc>
        <w:tc>
          <w:tcPr>
            <w:tcW w:w="820" w:type="dxa"/>
            <w:vAlign w:val="bottom"/>
          </w:tcPr>
          <w:p>
            <w:pPr>
              <w:jc w:val="right"/>
              <w:spacing w:after="0"/>
              <w:rPr>
                <w:sz w:val="20"/>
                <w:szCs w:val="20"/>
                <w:color w:val="auto"/>
              </w:rPr>
            </w:pPr>
            <w:r>
              <w:rPr>
                <w:rFonts w:ascii="Arial" w:cs="Arial" w:eastAsia="Arial" w:hAnsi="Arial"/>
                <w:sz w:val="14"/>
                <w:szCs w:val="14"/>
                <w:color w:val="060606"/>
              </w:rPr>
              <w:t>1.8</w:t>
            </w:r>
          </w:p>
        </w:tc>
        <w:tc>
          <w:tcPr>
            <w:tcW w:w="160" w:type="dxa"/>
            <w:vAlign w:val="bottom"/>
          </w:tcPr>
          <w:p>
            <w:pPr>
              <w:spacing w:after="0"/>
              <w:rPr>
                <w:sz w:val="18"/>
                <w:szCs w:val="18"/>
                <w:color w:val="auto"/>
              </w:rPr>
            </w:pPr>
          </w:p>
        </w:tc>
        <w:tc>
          <w:tcPr>
            <w:tcW w:w="880" w:type="dxa"/>
            <w:vAlign w:val="bottom"/>
          </w:tcPr>
          <w:p>
            <w:pPr>
              <w:jc w:val="right"/>
              <w:ind w:right="151"/>
              <w:spacing w:after="0"/>
              <w:rPr>
                <w:sz w:val="20"/>
                <w:szCs w:val="20"/>
                <w:color w:val="auto"/>
              </w:rPr>
            </w:pPr>
            <w:r>
              <w:rPr>
                <w:rFonts w:ascii="Arial" w:cs="Arial" w:eastAsia="Arial" w:hAnsi="Arial"/>
                <w:sz w:val="14"/>
                <w:szCs w:val="14"/>
                <w:color w:val="060606"/>
              </w:rPr>
              <w:t>10.2</w:t>
            </w:r>
          </w:p>
        </w:tc>
        <w:tc>
          <w:tcPr>
            <w:tcW w:w="940" w:type="dxa"/>
            <w:vAlign w:val="bottom"/>
          </w:tcPr>
          <w:p>
            <w:pPr>
              <w:jc w:val="right"/>
              <w:ind w:right="131"/>
              <w:spacing w:after="0"/>
              <w:rPr>
                <w:sz w:val="20"/>
                <w:szCs w:val="20"/>
                <w:color w:val="auto"/>
              </w:rPr>
            </w:pPr>
            <w:r>
              <w:rPr>
                <w:rFonts w:ascii="Arial" w:cs="Arial" w:eastAsia="Arial" w:hAnsi="Arial"/>
                <w:sz w:val="14"/>
                <w:szCs w:val="14"/>
                <w:color w:val="060606"/>
              </w:rPr>
              <w:t>9.9</w:t>
            </w:r>
          </w:p>
        </w:tc>
        <w:tc>
          <w:tcPr>
            <w:tcW w:w="740" w:type="dxa"/>
            <w:vAlign w:val="bottom"/>
          </w:tcPr>
          <w:p>
            <w:pPr>
              <w:ind w:left="560"/>
              <w:spacing w:after="0"/>
              <w:rPr>
                <w:sz w:val="20"/>
                <w:szCs w:val="20"/>
                <w:color w:val="auto"/>
              </w:rPr>
            </w:pPr>
            <w:r>
              <w:rPr>
                <w:rFonts w:ascii="Arial" w:cs="Arial" w:eastAsia="Arial" w:hAnsi="Arial"/>
                <w:sz w:val="14"/>
                <w:szCs w:val="14"/>
                <w:color w:val="060606"/>
              </w:rPr>
              <w:t>—</w:t>
            </w:r>
          </w:p>
        </w:tc>
        <w:tc>
          <w:tcPr>
            <w:tcW w:w="140" w:type="dxa"/>
            <w:vAlign w:val="bottom"/>
          </w:tcPr>
          <w:p>
            <w:pPr>
              <w:spacing w:after="0"/>
              <w:rPr>
                <w:sz w:val="18"/>
                <w:szCs w:val="18"/>
                <w:color w:val="auto"/>
              </w:rPr>
            </w:pPr>
          </w:p>
        </w:tc>
        <w:tc>
          <w:tcPr>
            <w:tcW w:w="840" w:type="dxa"/>
            <w:vAlign w:val="bottom"/>
          </w:tcPr>
          <w:p>
            <w:pPr>
              <w:jc w:val="right"/>
              <w:ind w:right="111"/>
              <w:spacing w:after="0"/>
              <w:rPr>
                <w:sz w:val="20"/>
                <w:szCs w:val="20"/>
                <w:color w:val="auto"/>
              </w:rPr>
            </w:pPr>
            <w:r>
              <w:rPr>
                <w:rFonts w:ascii="Arial" w:cs="Arial" w:eastAsia="Arial" w:hAnsi="Arial"/>
                <w:sz w:val="14"/>
                <w:szCs w:val="14"/>
                <w:color w:val="060606"/>
              </w:rPr>
              <w:t>80.4</w:t>
            </w:r>
          </w:p>
        </w:tc>
        <w:tc>
          <w:tcPr>
            <w:tcW w:w="0" w:type="dxa"/>
            <w:vAlign w:val="bottom"/>
          </w:tcPr>
          <w:p>
            <w:pPr>
              <w:spacing w:after="0"/>
              <w:rPr>
                <w:sz w:val="1"/>
                <w:szCs w:val="1"/>
                <w:color w:val="auto"/>
              </w:rPr>
            </w:pPr>
          </w:p>
        </w:tc>
      </w:tr>
      <w:tr>
        <w:trPr>
          <w:trHeight w:val="216"/>
        </w:trPr>
        <w:tc>
          <w:tcPr>
            <w:tcW w:w="3260" w:type="dxa"/>
            <w:vAlign w:val="bottom"/>
          </w:tcPr>
          <w:p>
            <w:pPr>
              <w:ind w:left="20"/>
              <w:spacing w:after="0"/>
              <w:rPr>
                <w:sz w:val="20"/>
                <w:szCs w:val="20"/>
                <w:color w:val="auto"/>
              </w:rPr>
            </w:pPr>
            <w:r>
              <w:rPr>
                <w:rFonts w:ascii="Arial" w:cs="Arial" w:eastAsia="Arial" w:hAnsi="Arial"/>
                <w:sz w:val="14"/>
                <w:szCs w:val="14"/>
                <w:color w:val="060606"/>
              </w:rPr>
              <w:t>Operating margin percent</w:t>
            </w:r>
          </w:p>
        </w:tc>
        <w:tc>
          <w:tcPr>
            <w:tcW w:w="840" w:type="dxa"/>
            <w:vAlign w:val="bottom"/>
          </w:tcPr>
          <w:p>
            <w:pPr>
              <w:jc w:val="right"/>
              <w:spacing w:after="0"/>
              <w:rPr>
                <w:sz w:val="20"/>
                <w:szCs w:val="20"/>
                <w:color w:val="auto"/>
              </w:rPr>
            </w:pPr>
            <w:r>
              <w:rPr>
                <w:rFonts w:ascii="Arial" w:cs="Arial" w:eastAsia="Arial" w:hAnsi="Arial"/>
                <w:sz w:val="14"/>
                <w:szCs w:val="14"/>
                <w:color w:val="060606"/>
              </w:rPr>
              <w:t>15.1 %</w:t>
            </w:r>
          </w:p>
        </w:tc>
        <w:tc>
          <w:tcPr>
            <w:tcW w:w="900" w:type="dxa"/>
            <w:vAlign w:val="bottom"/>
          </w:tcPr>
          <w:p>
            <w:pPr>
              <w:jc w:val="right"/>
              <w:spacing w:after="0"/>
              <w:rPr>
                <w:sz w:val="20"/>
                <w:szCs w:val="20"/>
                <w:color w:val="auto"/>
              </w:rPr>
            </w:pPr>
            <w:r>
              <w:rPr>
                <w:rFonts w:ascii="Arial" w:cs="Arial" w:eastAsia="Arial" w:hAnsi="Arial"/>
                <w:sz w:val="14"/>
                <w:szCs w:val="14"/>
                <w:color w:val="060606"/>
              </w:rPr>
              <w:t>1.2 %</w:t>
            </w:r>
          </w:p>
        </w:tc>
        <w:tc>
          <w:tcPr>
            <w:tcW w:w="880" w:type="dxa"/>
            <w:vAlign w:val="bottom"/>
          </w:tcPr>
          <w:p>
            <w:pPr>
              <w:jc w:val="right"/>
              <w:spacing w:after="0"/>
              <w:rPr>
                <w:sz w:val="20"/>
                <w:szCs w:val="20"/>
                <w:color w:val="auto"/>
              </w:rPr>
            </w:pPr>
            <w:r>
              <w:rPr>
                <w:rFonts w:ascii="Arial" w:cs="Arial" w:eastAsia="Arial" w:hAnsi="Arial"/>
                <w:sz w:val="14"/>
                <w:szCs w:val="14"/>
                <w:color w:val="060606"/>
              </w:rPr>
              <w:t>— %</w:t>
            </w:r>
          </w:p>
        </w:tc>
        <w:tc>
          <w:tcPr>
            <w:tcW w:w="840" w:type="dxa"/>
            <w:vAlign w:val="bottom"/>
          </w:tcPr>
          <w:p>
            <w:pPr>
              <w:jc w:val="right"/>
              <w:spacing w:after="0"/>
              <w:rPr>
                <w:sz w:val="20"/>
                <w:szCs w:val="20"/>
                <w:color w:val="auto"/>
              </w:rPr>
            </w:pPr>
            <w:r>
              <w:rPr>
                <w:rFonts w:ascii="Arial" w:cs="Arial" w:eastAsia="Arial" w:hAnsi="Arial"/>
                <w:sz w:val="14"/>
                <w:szCs w:val="14"/>
                <w:color w:val="060606"/>
              </w:rPr>
              <w:t>— %</w:t>
            </w:r>
          </w:p>
        </w:tc>
        <w:tc>
          <w:tcPr>
            <w:tcW w:w="980" w:type="dxa"/>
            <w:vAlign w:val="bottom"/>
            <w:gridSpan w:val="2"/>
          </w:tcPr>
          <w:p>
            <w:pPr>
              <w:jc w:val="right"/>
              <w:spacing w:after="0"/>
              <w:rPr>
                <w:sz w:val="20"/>
                <w:szCs w:val="20"/>
                <w:color w:val="auto"/>
              </w:rPr>
            </w:pPr>
            <w:r>
              <w:rPr>
                <w:rFonts w:ascii="Arial" w:cs="Arial" w:eastAsia="Arial" w:hAnsi="Arial"/>
                <w:sz w:val="14"/>
                <w:szCs w:val="14"/>
                <w:color w:val="060606"/>
              </w:rPr>
              <w:t>0.5 %</w:t>
            </w:r>
          </w:p>
        </w:tc>
        <w:tc>
          <w:tcPr>
            <w:tcW w:w="880" w:type="dxa"/>
            <w:vAlign w:val="bottom"/>
          </w:tcPr>
          <w:p>
            <w:pPr>
              <w:jc w:val="right"/>
              <w:spacing w:after="0"/>
              <w:rPr>
                <w:sz w:val="20"/>
                <w:szCs w:val="20"/>
                <w:color w:val="auto"/>
              </w:rPr>
            </w:pPr>
            <w:r>
              <w:rPr>
                <w:rFonts w:ascii="Arial" w:cs="Arial" w:eastAsia="Arial" w:hAnsi="Arial"/>
                <w:sz w:val="14"/>
                <w:szCs w:val="14"/>
                <w:color w:val="060606"/>
              </w:rPr>
              <w:t>2.9 %</w:t>
            </w:r>
          </w:p>
        </w:tc>
        <w:tc>
          <w:tcPr>
            <w:tcW w:w="940" w:type="dxa"/>
            <w:vAlign w:val="bottom"/>
          </w:tcPr>
          <w:p>
            <w:pPr>
              <w:jc w:val="right"/>
              <w:spacing w:after="0"/>
              <w:rPr>
                <w:sz w:val="20"/>
                <w:szCs w:val="20"/>
                <w:color w:val="auto"/>
              </w:rPr>
            </w:pPr>
            <w:r>
              <w:rPr>
                <w:rFonts w:ascii="Arial" w:cs="Arial" w:eastAsia="Arial" w:hAnsi="Arial"/>
                <w:sz w:val="14"/>
                <w:szCs w:val="14"/>
                <w:color w:val="060606"/>
              </w:rPr>
              <w:t>2.8 %</w:t>
            </w:r>
          </w:p>
        </w:tc>
        <w:tc>
          <w:tcPr>
            <w:tcW w:w="880" w:type="dxa"/>
            <w:vAlign w:val="bottom"/>
            <w:gridSpan w:val="2"/>
          </w:tcPr>
          <w:p>
            <w:pPr>
              <w:ind w:left="560"/>
              <w:spacing w:after="0"/>
              <w:rPr>
                <w:sz w:val="20"/>
                <w:szCs w:val="20"/>
                <w:color w:val="auto"/>
              </w:rPr>
            </w:pPr>
            <w:r>
              <w:rPr>
                <w:rFonts w:ascii="Arial" w:cs="Arial" w:eastAsia="Arial" w:hAnsi="Arial"/>
                <w:sz w:val="14"/>
                <w:szCs w:val="14"/>
                <w:color w:val="060606"/>
                <w:w w:val="98"/>
              </w:rPr>
              <w:t>— %</w:t>
            </w:r>
          </w:p>
        </w:tc>
        <w:tc>
          <w:tcPr>
            <w:tcW w:w="840" w:type="dxa"/>
            <w:vAlign w:val="bottom"/>
          </w:tcPr>
          <w:p>
            <w:pPr>
              <w:jc w:val="right"/>
              <w:spacing w:after="0"/>
              <w:rPr>
                <w:sz w:val="20"/>
                <w:szCs w:val="20"/>
                <w:color w:val="auto"/>
              </w:rPr>
            </w:pPr>
            <w:r>
              <w:rPr>
                <w:rFonts w:ascii="Arial" w:cs="Arial" w:eastAsia="Arial" w:hAnsi="Arial"/>
                <w:sz w:val="14"/>
                <w:szCs w:val="14"/>
                <w:color w:val="060606"/>
              </w:rPr>
              <w:t>22.5 %</w:t>
            </w:r>
          </w:p>
        </w:tc>
        <w:tc>
          <w:tcPr>
            <w:tcW w:w="0" w:type="dxa"/>
            <w:vAlign w:val="bottom"/>
          </w:tcPr>
          <w:p>
            <w:pPr>
              <w:spacing w:after="0"/>
              <w:rPr>
                <w:sz w:val="1"/>
                <w:szCs w:val="1"/>
                <w:color w:val="auto"/>
              </w:rPr>
            </w:pPr>
          </w:p>
        </w:tc>
      </w:tr>
      <w:tr>
        <w:trPr>
          <w:trHeight w:val="216"/>
        </w:trPr>
        <w:tc>
          <w:tcPr>
            <w:tcW w:w="3260" w:type="dxa"/>
            <w:vAlign w:val="bottom"/>
          </w:tcPr>
          <w:p>
            <w:pPr>
              <w:ind w:left="20"/>
              <w:spacing w:after="0"/>
              <w:rPr>
                <w:sz w:val="20"/>
                <w:szCs w:val="20"/>
                <w:color w:val="auto"/>
              </w:rPr>
            </w:pPr>
            <w:r>
              <w:rPr>
                <w:rFonts w:ascii="Arial" w:cs="Arial" w:eastAsia="Arial" w:hAnsi="Arial"/>
                <w:sz w:val="14"/>
                <w:szCs w:val="14"/>
                <w:color w:val="060606"/>
              </w:rPr>
              <w:t>Net income</w:t>
            </w:r>
          </w:p>
        </w:tc>
        <w:tc>
          <w:tcPr>
            <w:tcW w:w="840" w:type="dxa"/>
            <w:vAlign w:val="bottom"/>
          </w:tcPr>
          <w:p>
            <w:pPr>
              <w:jc w:val="right"/>
              <w:ind w:right="111"/>
              <w:spacing w:after="0"/>
              <w:rPr>
                <w:sz w:val="20"/>
                <w:szCs w:val="20"/>
                <w:color w:val="auto"/>
              </w:rPr>
            </w:pPr>
            <w:r>
              <w:rPr>
                <w:rFonts w:ascii="Arial" w:cs="Arial" w:eastAsia="Arial" w:hAnsi="Arial"/>
                <w:sz w:val="14"/>
                <w:szCs w:val="14"/>
                <w:color w:val="060606"/>
              </w:rPr>
              <w:t>26.8</w:t>
            </w:r>
          </w:p>
        </w:tc>
        <w:tc>
          <w:tcPr>
            <w:tcW w:w="900" w:type="dxa"/>
            <w:vAlign w:val="bottom"/>
          </w:tcPr>
          <w:p>
            <w:pPr>
              <w:jc w:val="right"/>
              <w:ind w:right="131"/>
              <w:spacing w:after="0"/>
              <w:rPr>
                <w:sz w:val="20"/>
                <w:szCs w:val="20"/>
                <w:color w:val="auto"/>
              </w:rPr>
            </w:pPr>
            <w:r>
              <w:rPr>
                <w:rFonts w:ascii="Arial" w:cs="Arial" w:eastAsia="Arial" w:hAnsi="Arial"/>
                <w:sz w:val="14"/>
                <w:szCs w:val="14"/>
                <w:color w:val="060606"/>
              </w:rPr>
              <w:t>4.5</w:t>
            </w:r>
          </w:p>
        </w:tc>
        <w:tc>
          <w:tcPr>
            <w:tcW w:w="880" w:type="dxa"/>
            <w:vAlign w:val="bottom"/>
          </w:tcPr>
          <w:p>
            <w:pPr>
              <w:jc w:val="right"/>
              <w:ind w:right="131"/>
              <w:spacing w:after="0"/>
              <w:rPr>
                <w:sz w:val="20"/>
                <w:szCs w:val="20"/>
                <w:color w:val="auto"/>
              </w:rPr>
            </w:pPr>
            <w:r>
              <w:rPr>
                <w:rFonts w:ascii="Arial" w:cs="Arial" w:eastAsia="Arial" w:hAnsi="Arial"/>
                <w:sz w:val="14"/>
                <w:szCs w:val="14"/>
                <w:color w:val="060606"/>
              </w:rPr>
              <w:t>1.0</w:t>
            </w:r>
          </w:p>
        </w:tc>
        <w:tc>
          <w:tcPr>
            <w:tcW w:w="840" w:type="dxa"/>
            <w:vAlign w:val="bottom"/>
          </w:tcPr>
          <w:p>
            <w:pPr>
              <w:jc w:val="right"/>
              <w:ind w:right="131"/>
              <w:spacing w:after="0"/>
              <w:rPr>
                <w:sz w:val="20"/>
                <w:szCs w:val="20"/>
                <w:color w:val="auto"/>
              </w:rPr>
            </w:pPr>
            <w:r>
              <w:rPr>
                <w:rFonts w:ascii="Arial" w:cs="Arial" w:eastAsia="Arial" w:hAnsi="Arial"/>
                <w:sz w:val="14"/>
                <w:szCs w:val="14"/>
                <w:color w:val="060606"/>
              </w:rPr>
              <w:t>15.9</w:t>
            </w:r>
          </w:p>
        </w:tc>
        <w:tc>
          <w:tcPr>
            <w:tcW w:w="820" w:type="dxa"/>
            <w:vAlign w:val="bottom"/>
          </w:tcPr>
          <w:p>
            <w:pPr>
              <w:jc w:val="right"/>
              <w:spacing w:after="0"/>
              <w:rPr>
                <w:sz w:val="20"/>
                <w:szCs w:val="20"/>
                <w:color w:val="auto"/>
              </w:rPr>
            </w:pPr>
            <w:r>
              <w:rPr>
                <w:rFonts w:ascii="Arial" w:cs="Arial" w:eastAsia="Arial" w:hAnsi="Arial"/>
                <w:sz w:val="14"/>
                <w:szCs w:val="14"/>
                <w:color w:val="060606"/>
              </w:rPr>
              <w:t>1.8</w:t>
            </w:r>
          </w:p>
        </w:tc>
        <w:tc>
          <w:tcPr>
            <w:tcW w:w="160" w:type="dxa"/>
            <w:vAlign w:val="bottom"/>
          </w:tcPr>
          <w:p>
            <w:pPr>
              <w:spacing w:after="0"/>
              <w:rPr>
                <w:sz w:val="18"/>
                <w:szCs w:val="18"/>
                <w:color w:val="auto"/>
              </w:rPr>
            </w:pPr>
          </w:p>
        </w:tc>
        <w:tc>
          <w:tcPr>
            <w:tcW w:w="880" w:type="dxa"/>
            <w:vAlign w:val="bottom"/>
          </w:tcPr>
          <w:p>
            <w:pPr>
              <w:jc w:val="right"/>
              <w:ind w:right="151"/>
              <w:spacing w:after="0"/>
              <w:rPr>
                <w:sz w:val="20"/>
                <w:szCs w:val="20"/>
                <w:color w:val="auto"/>
              </w:rPr>
            </w:pPr>
            <w:r>
              <w:rPr>
                <w:rFonts w:ascii="Arial" w:cs="Arial" w:eastAsia="Arial" w:hAnsi="Arial"/>
                <w:sz w:val="14"/>
                <w:szCs w:val="14"/>
                <w:color w:val="060606"/>
              </w:rPr>
              <w:t>12.0</w:t>
            </w:r>
          </w:p>
        </w:tc>
        <w:tc>
          <w:tcPr>
            <w:tcW w:w="940" w:type="dxa"/>
            <w:vAlign w:val="bottom"/>
          </w:tcPr>
          <w:p>
            <w:pPr>
              <w:jc w:val="right"/>
              <w:ind w:right="131"/>
              <w:spacing w:after="0"/>
              <w:rPr>
                <w:sz w:val="20"/>
                <w:szCs w:val="20"/>
                <w:color w:val="auto"/>
              </w:rPr>
            </w:pPr>
            <w:r>
              <w:rPr>
                <w:rFonts w:ascii="Arial" w:cs="Arial" w:eastAsia="Arial" w:hAnsi="Arial"/>
                <w:sz w:val="14"/>
                <w:szCs w:val="14"/>
                <w:color w:val="060606"/>
              </w:rPr>
              <w:t>9.9</w:t>
            </w:r>
          </w:p>
        </w:tc>
        <w:tc>
          <w:tcPr>
            <w:tcW w:w="740" w:type="dxa"/>
            <w:vAlign w:val="bottom"/>
          </w:tcPr>
          <w:p>
            <w:pPr>
              <w:jc w:val="right"/>
              <w:spacing w:after="0"/>
              <w:rPr>
                <w:sz w:val="20"/>
                <w:szCs w:val="20"/>
                <w:color w:val="auto"/>
              </w:rPr>
            </w:pPr>
            <w:r>
              <w:rPr>
                <w:rFonts w:ascii="Arial" w:cs="Arial" w:eastAsia="Arial" w:hAnsi="Arial"/>
                <w:sz w:val="14"/>
                <w:szCs w:val="14"/>
                <w:color w:val="060606"/>
              </w:rPr>
              <w:t>(10.4)</w:t>
            </w:r>
          </w:p>
        </w:tc>
        <w:tc>
          <w:tcPr>
            <w:tcW w:w="140" w:type="dxa"/>
            <w:vAlign w:val="bottom"/>
          </w:tcPr>
          <w:p>
            <w:pPr>
              <w:spacing w:after="0"/>
              <w:rPr>
                <w:sz w:val="18"/>
                <w:szCs w:val="18"/>
                <w:color w:val="auto"/>
              </w:rPr>
            </w:pPr>
          </w:p>
        </w:tc>
        <w:tc>
          <w:tcPr>
            <w:tcW w:w="840" w:type="dxa"/>
            <w:vAlign w:val="bottom"/>
          </w:tcPr>
          <w:p>
            <w:pPr>
              <w:jc w:val="right"/>
              <w:ind w:right="111"/>
              <w:spacing w:after="0"/>
              <w:rPr>
                <w:sz w:val="20"/>
                <w:szCs w:val="20"/>
                <w:color w:val="auto"/>
              </w:rPr>
            </w:pPr>
            <w:r>
              <w:rPr>
                <w:rFonts w:ascii="Arial" w:cs="Arial" w:eastAsia="Arial" w:hAnsi="Arial"/>
                <w:sz w:val="14"/>
                <w:szCs w:val="14"/>
                <w:color w:val="060606"/>
              </w:rPr>
              <w:t>61.4</w:t>
            </w:r>
          </w:p>
        </w:tc>
        <w:tc>
          <w:tcPr>
            <w:tcW w:w="0" w:type="dxa"/>
            <w:vAlign w:val="bottom"/>
          </w:tcPr>
          <w:p>
            <w:pPr>
              <w:spacing w:after="0"/>
              <w:rPr>
                <w:sz w:val="1"/>
                <w:szCs w:val="1"/>
                <w:color w:val="auto"/>
              </w:rPr>
            </w:pPr>
          </w:p>
        </w:tc>
      </w:tr>
      <w:tr>
        <w:trPr>
          <w:trHeight w:val="216"/>
        </w:trPr>
        <w:tc>
          <w:tcPr>
            <w:tcW w:w="3260" w:type="dxa"/>
            <w:vAlign w:val="bottom"/>
          </w:tcPr>
          <w:p>
            <w:pPr>
              <w:ind w:left="20"/>
              <w:spacing w:after="0"/>
              <w:rPr>
                <w:sz w:val="20"/>
                <w:szCs w:val="20"/>
                <w:color w:val="auto"/>
              </w:rPr>
            </w:pPr>
            <w:r>
              <w:rPr>
                <w:rFonts w:ascii="Arial" w:cs="Arial" w:eastAsia="Arial" w:hAnsi="Arial"/>
                <w:sz w:val="14"/>
                <w:szCs w:val="14"/>
                <w:color w:val="060606"/>
              </w:rPr>
              <w:t>Net income as a percent of net revenue</w:t>
            </w:r>
          </w:p>
        </w:tc>
        <w:tc>
          <w:tcPr>
            <w:tcW w:w="840" w:type="dxa"/>
            <w:vAlign w:val="bottom"/>
          </w:tcPr>
          <w:p>
            <w:pPr>
              <w:jc w:val="right"/>
              <w:spacing w:after="0"/>
              <w:rPr>
                <w:sz w:val="20"/>
                <w:szCs w:val="20"/>
                <w:color w:val="auto"/>
              </w:rPr>
            </w:pPr>
            <w:r>
              <w:rPr>
                <w:rFonts w:ascii="Arial" w:cs="Arial" w:eastAsia="Arial" w:hAnsi="Arial"/>
                <w:sz w:val="14"/>
                <w:szCs w:val="14"/>
                <w:color w:val="060606"/>
              </w:rPr>
              <w:t>7.5 %</w:t>
            </w:r>
          </w:p>
        </w:tc>
        <w:tc>
          <w:tcPr>
            <w:tcW w:w="900" w:type="dxa"/>
            <w:vAlign w:val="bottom"/>
          </w:tcPr>
          <w:p>
            <w:pPr>
              <w:jc w:val="right"/>
              <w:spacing w:after="0"/>
              <w:rPr>
                <w:sz w:val="20"/>
                <w:szCs w:val="20"/>
                <w:color w:val="auto"/>
              </w:rPr>
            </w:pPr>
            <w:r>
              <w:rPr>
                <w:rFonts w:ascii="Arial" w:cs="Arial" w:eastAsia="Arial" w:hAnsi="Arial"/>
                <w:sz w:val="14"/>
                <w:szCs w:val="14"/>
                <w:color w:val="060606"/>
              </w:rPr>
              <w:t>1.2 %</w:t>
            </w:r>
          </w:p>
        </w:tc>
        <w:tc>
          <w:tcPr>
            <w:tcW w:w="880" w:type="dxa"/>
            <w:vAlign w:val="bottom"/>
          </w:tcPr>
          <w:p>
            <w:pPr>
              <w:jc w:val="right"/>
              <w:spacing w:after="0"/>
              <w:rPr>
                <w:sz w:val="20"/>
                <w:szCs w:val="20"/>
                <w:color w:val="auto"/>
              </w:rPr>
            </w:pPr>
            <w:r>
              <w:rPr>
                <w:rFonts w:ascii="Arial" w:cs="Arial" w:eastAsia="Arial" w:hAnsi="Arial"/>
                <w:sz w:val="14"/>
                <w:szCs w:val="14"/>
                <w:color w:val="060606"/>
              </w:rPr>
              <w:t>0.3 %</w:t>
            </w:r>
          </w:p>
        </w:tc>
        <w:tc>
          <w:tcPr>
            <w:tcW w:w="840" w:type="dxa"/>
            <w:vAlign w:val="bottom"/>
          </w:tcPr>
          <w:p>
            <w:pPr>
              <w:jc w:val="right"/>
              <w:spacing w:after="0"/>
              <w:rPr>
                <w:sz w:val="20"/>
                <w:szCs w:val="20"/>
                <w:color w:val="auto"/>
              </w:rPr>
            </w:pPr>
            <w:r>
              <w:rPr>
                <w:rFonts w:ascii="Arial" w:cs="Arial" w:eastAsia="Arial" w:hAnsi="Arial"/>
                <w:sz w:val="14"/>
                <w:szCs w:val="14"/>
                <w:color w:val="060606"/>
              </w:rPr>
              <w:t>4.5 %</w:t>
            </w:r>
          </w:p>
        </w:tc>
        <w:tc>
          <w:tcPr>
            <w:tcW w:w="980" w:type="dxa"/>
            <w:vAlign w:val="bottom"/>
            <w:gridSpan w:val="2"/>
          </w:tcPr>
          <w:p>
            <w:pPr>
              <w:jc w:val="right"/>
              <w:spacing w:after="0"/>
              <w:rPr>
                <w:sz w:val="20"/>
                <w:szCs w:val="20"/>
                <w:color w:val="auto"/>
              </w:rPr>
            </w:pPr>
            <w:r>
              <w:rPr>
                <w:rFonts w:ascii="Arial" w:cs="Arial" w:eastAsia="Arial" w:hAnsi="Arial"/>
                <w:sz w:val="14"/>
                <w:szCs w:val="14"/>
                <w:color w:val="060606"/>
              </w:rPr>
              <w:t>0.5 %</w:t>
            </w:r>
          </w:p>
        </w:tc>
        <w:tc>
          <w:tcPr>
            <w:tcW w:w="880" w:type="dxa"/>
            <w:vAlign w:val="bottom"/>
          </w:tcPr>
          <w:p>
            <w:pPr>
              <w:jc w:val="right"/>
              <w:spacing w:after="0"/>
              <w:rPr>
                <w:sz w:val="20"/>
                <w:szCs w:val="20"/>
                <w:color w:val="auto"/>
              </w:rPr>
            </w:pPr>
            <w:r>
              <w:rPr>
                <w:rFonts w:ascii="Arial" w:cs="Arial" w:eastAsia="Arial" w:hAnsi="Arial"/>
                <w:sz w:val="14"/>
                <w:szCs w:val="14"/>
                <w:color w:val="060606"/>
              </w:rPr>
              <w:t>3.3 %</w:t>
            </w:r>
          </w:p>
        </w:tc>
        <w:tc>
          <w:tcPr>
            <w:tcW w:w="940" w:type="dxa"/>
            <w:vAlign w:val="bottom"/>
          </w:tcPr>
          <w:p>
            <w:pPr>
              <w:jc w:val="right"/>
              <w:spacing w:after="0"/>
              <w:rPr>
                <w:sz w:val="20"/>
                <w:szCs w:val="20"/>
                <w:color w:val="auto"/>
              </w:rPr>
            </w:pPr>
            <w:r>
              <w:rPr>
                <w:rFonts w:ascii="Arial" w:cs="Arial" w:eastAsia="Arial" w:hAnsi="Arial"/>
                <w:sz w:val="14"/>
                <w:szCs w:val="14"/>
                <w:color w:val="060606"/>
              </w:rPr>
              <w:t>2.8 %</w:t>
            </w:r>
          </w:p>
        </w:tc>
        <w:tc>
          <w:tcPr>
            <w:tcW w:w="880" w:type="dxa"/>
            <w:vAlign w:val="bottom"/>
            <w:gridSpan w:val="2"/>
          </w:tcPr>
          <w:p>
            <w:pPr>
              <w:jc w:val="right"/>
              <w:spacing w:after="0"/>
              <w:rPr>
                <w:sz w:val="20"/>
                <w:szCs w:val="20"/>
                <w:color w:val="auto"/>
              </w:rPr>
            </w:pPr>
            <w:r>
              <w:rPr>
                <w:rFonts w:ascii="Arial" w:cs="Arial" w:eastAsia="Arial" w:hAnsi="Arial"/>
                <w:sz w:val="14"/>
                <w:szCs w:val="14"/>
                <w:color w:val="060606"/>
              </w:rPr>
              <w:t>(2.9)%</w:t>
            </w:r>
          </w:p>
        </w:tc>
        <w:tc>
          <w:tcPr>
            <w:tcW w:w="840" w:type="dxa"/>
            <w:vAlign w:val="bottom"/>
          </w:tcPr>
          <w:p>
            <w:pPr>
              <w:jc w:val="right"/>
              <w:spacing w:after="0"/>
              <w:rPr>
                <w:sz w:val="20"/>
                <w:szCs w:val="20"/>
                <w:color w:val="auto"/>
              </w:rPr>
            </w:pPr>
            <w:r>
              <w:rPr>
                <w:rFonts w:ascii="Arial" w:cs="Arial" w:eastAsia="Arial" w:hAnsi="Arial"/>
                <w:sz w:val="14"/>
                <w:szCs w:val="14"/>
                <w:color w:val="060606"/>
              </w:rPr>
              <w:t>17.2 %</w:t>
            </w:r>
          </w:p>
        </w:tc>
        <w:tc>
          <w:tcPr>
            <w:tcW w:w="0" w:type="dxa"/>
            <w:vAlign w:val="bottom"/>
          </w:tcPr>
          <w:p>
            <w:pPr>
              <w:spacing w:after="0"/>
              <w:rPr>
                <w:sz w:val="1"/>
                <w:szCs w:val="1"/>
                <w:color w:val="auto"/>
              </w:rPr>
            </w:pPr>
          </w:p>
        </w:tc>
      </w:tr>
      <w:tr>
        <w:trPr>
          <w:trHeight w:val="216"/>
        </w:trPr>
        <w:tc>
          <w:tcPr>
            <w:tcW w:w="3260" w:type="dxa"/>
            <w:vAlign w:val="bottom"/>
          </w:tcPr>
          <w:p>
            <w:pPr>
              <w:ind w:left="20"/>
              <w:spacing w:after="0"/>
              <w:rPr>
                <w:sz w:val="20"/>
                <w:szCs w:val="20"/>
                <w:color w:val="auto"/>
              </w:rPr>
            </w:pPr>
            <w:r>
              <w:rPr>
                <w:rFonts w:ascii="Arial" w:cs="Arial" w:eastAsia="Arial" w:hAnsi="Arial"/>
                <w:sz w:val="14"/>
                <w:szCs w:val="14"/>
                <w:color w:val="060606"/>
              </w:rPr>
              <w:t>Diluted earnings per share</w:t>
            </w:r>
          </w:p>
        </w:tc>
        <w:tc>
          <w:tcPr>
            <w:tcW w:w="840" w:type="dxa"/>
            <w:vAlign w:val="bottom"/>
          </w:tcPr>
          <w:p>
            <w:pPr>
              <w:jc w:val="right"/>
              <w:ind w:right="111"/>
              <w:spacing w:after="0"/>
              <w:rPr>
                <w:sz w:val="20"/>
                <w:szCs w:val="20"/>
                <w:color w:val="auto"/>
              </w:rPr>
            </w:pPr>
            <w:r>
              <w:rPr>
                <w:rFonts w:ascii="Arial" w:cs="Arial" w:eastAsia="Arial" w:hAnsi="Arial"/>
                <w:sz w:val="14"/>
                <w:szCs w:val="14"/>
                <w:color w:val="060606"/>
              </w:rPr>
              <w:t>$0.49</w:t>
            </w:r>
          </w:p>
        </w:tc>
        <w:tc>
          <w:tcPr>
            <w:tcW w:w="900" w:type="dxa"/>
            <w:vAlign w:val="bottom"/>
          </w:tcPr>
          <w:p>
            <w:pPr>
              <w:jc w:val="right"/>
              <w:ind w:right="131"/>
              <w:spacing w:after="0"/>
              <w:rPr>
                <w:sz w:val="20"/>
                <w:szCs w:val="20"/>
                <w:color w:val="auto"/>
              </w:rPr>
            </w:pPr>
            <w:r>
              <w:rPr>
                <w:rFonts w:ascii="Arial" w:cs="Arial" w:eastAsia="Arial" w:hAnsi="Arial"/>
                <w:sz w:val="14"/>
                <w:szCs w:val="14"/>
                <w:color w:val="060606"/>
              </w:rPr>
              <w:t>$0.08</w:t>
            </w:r>
          </w:p>
        </w:tc>
        <w:tc>
          <w:tcPr>
            <w:tcW w:w="880" w:type="dxa"/>
            <w:vAlign w:val="bottom"/>
          </w:tcPr>
          <w:p>
            <w:pPr>
              <w:jc w:val="right"/>
              <w:ind w:right="131"/>
              <w:spacing w:after="0"/>
              <w:rPr>
                <w:sz w:val="20"/>
                <w:szCs w:val="20"/>
                <w:color w:val="auto"/>
              </w:rPr>
            </w:pPr>
            <w:r>
              <w:rPr>
                <w:rFonts w:ascii="Arial" w:cs="Arial" w:eastAsia="Arial" w:hAnsi="Arial"/>
                <w:sz w:val="14"/>
                <w:szCs w:val="14"/>
                <w:color w:val="060606"/>
              </w:rPr>
              <w:t>$0.02</w:t>
            </w:r>
          </w:p>
        </w:tc>
        <w:tc>
          <w:tcPr>
            <w:tcW w:w="840" w:type="dxa"/>
            <w:vAlign w:val="bottom"/>
          </w:tcPr>
          <w:p>
            <w:pPr>
              <w:jc w:val="right"/>
              <w:ind w:right="131"/>
              <w:spacing w:after="0"/>
              <w:rPr>
                <w:sz w:val="20"/>
                <w:szCs w:val="20"/>
                <w:color w:val="auto"/>
              </w:rPr>
            </w:pPr>
            <w:r>
              <w:rPr>
                <w:rFonts w:ascii="Arial" w:cs="Arial" w:eastAsia="Arial" w:hAnsi="Arial"/>
                <w:sz w:val="14"/>
                <w:szCs w:val="14"/>
                <w:color w:val="060606"/>
              </w:rPr>
              <w:t>$0.29</w:t>
            </w:r>
          </w:p>
        </w:tc>
        <w:tc>
          <w:tcPr>
            <w:tcW w:w="820" w:type="dxa"/>
            <w:vAlign w:val="bottom"/>
          </w:tcPr>
          <w:p>
            <w:pPr>
              <w:jc w:val="right"/>
              <w:spacing w:after="0"/>
              <w:rPr>
                <w:sz w:val="20"/>
                <w:szCs w:val="20"/>
                <w:color w:val="auto"/>
              </w:rPr>
            </w:pPr>
            <w:r>
              <w:rPr>
                <w:rFonts w:ascii="Arial" w:cs="Arial" w:eastAsia="Arial" w:hAnsi="Arial"/>
                <w:sz w:val="14"/>
                <w:szCs w:val="14"/>
                <w:color w:val="060606"/>
              </w:rPr>
              <w:t>$0.03</w:t>
            </w:r>
          </w:p>
        </w:tc>
        <w:tc>
          <w:tcPr>
            <w:tcW w:w="160" w:type="dxa"/>
            <w:vAlign w:val="bottom"/>
          </w:tcPr>
          <w:p>
            <w:pPr>
              <w:spacing w:after="0"/>
              <w:rPr>
                <w:sz w:val="18"/>
                <w:szCs w:val="18"/>
                <w:color w:val="auto"/>
              </w:rPr>
            </w:pPr>
          </w:p>
        </w:tc>
        <w:tc>
          <w:tcPr>
            <w:tcW w:w="880" w:type="dxa"/>
            <w:vAlign w:val="bottom"/>
          </w:tcPr>
          <w:p>
            <w:pPr>
              <w:jc w:val="right"/>
              <w:ind w:right="151"/>
              <w:spacing w:after="0"/>
              <w:rPr>
                <w:sz w:val="20"/>
                <w:szCs w:val="20"/>
                <w:color w:val="auto"/>
              </w:rPr>
            </w:pPr>
            <w:r>
              <w:rPr>
                <w:rFonts w:ascii="Arial" w:cs="Arial" w:eastAsia="Arial" w:hAnsi="Arial"/>
                <w:sz w:val="14"/>
                <w:szCs w:val="14"/>
                <w:color w:val="060606"/>
              </w:rPr>
              <w:t>$0.22</w:t>
            </w:r>
          </w:p>
        </w:tc>
        <w:tc>
          <w:tcPr>
            <w:tcW w:w="940" w:type="dxa"/>
            <w:vAlign w:val="bottom"/>
          </w:tcPr>
          <w:p>
            <w:pPr>
              <w:jc w:val="right"/>
              <w:ind w:right="131"/>
              <w:spacing w:after="0"/>
              <w:rPr>
                <w:sz w:val="20"/>
                <w:szCs w:val="20"/>
                <w:color w:val="auto"/>
              </w:rPr>
            </w:pPr>
            <w:r>
              <w:rPr>
                <w:rFonts w:ascii="Arial" w:cs="Arial" w:eastAsia="Arial" w:hAnsi="Arial"/>
                <w:sz w:val="14"/>
                <w:szCs w:val="14"/>
                <w:color w:val="060606"/>
              </w:rPr>
              <w:t>$0.18</w:t>
            </w:r>
          </w:p>
        </w:tc>
        <w:tc>
          <w:tcPr>
            <w:tcW w:w="740" w:type="dxa"/>
            <w:vAlign w:val="bottom"/>
          </w:tcPr>
          <w:p>
            <w:pPr>
              <w:jc w:val="right"/>
              <w:spacing w:after="0"/>
              <w:rPr>
                <w:sz w:val="20"/>
                <w:szCs w:val="20"/>
                <w:color w:val="auto"/>
              </w:rPr>
            </w:pPr>
            <w:r>
              <w:rPr>
                <w:rFonts w:ascii="Arial" w:cs="Arial" w:eastAsia="Arial" w:hAnsi="Arial"/>
                <w:sz w:val="14"/>
                <w:szCs w:val="14"/>
                <w:color w:val="060606"/>
              </w:rPr>
              <w:t>($0.19)</w:t>
            </w:r>
          </w:p>
        </w:tc>
        <w:tc>
          <w:tcPr>
            <w:tcW w:w="140" w:type="dxa"/>
            <w:vAlign w:val="bottom"/>
          </w:tcPr>
          <w:p>
            <w:pPr>
              <w:spacing w:after="0"/>
              <w:rPr>
                <w:sz w:val="18"/>
                <w:szCs w:val="18"/>
                <w:color w:val="auto"/>
              </w:rPr>
            </w:pPr>
          </w:p>
        </w:tc>
        <w:tc>
          <w:tcPr>
            <w:tcW w:w="840" w:type="dxa"/>
            <w:vAlign w:val="bottom"/>
          </w:tcPr>
          <w:p>
            <w:pPr>
              <w:jc w:val="right"/>
              <w:ind w:right="111"/>
              <w:spacing w:after="0"/>
              <w:rPr>
                <w:sz w:val="20"/>
                <w:szCs w:val="20"/>
                <w:color w:val="auto"/>
              </w:rPr>
            </w:pPr>
            <w:r>
              <w:rPr>
                <w:rFonts w:ascii="Arial" w:cs="Arial" w:eastAsia="Arial" w:hAnsi="Arial"/>
                <w:sz w:val="14"/>
                <w:szCs w:val="14"/>
                <w:color w:val="060606"/>
              </w:rPr>
              <w:t>$1.11</w:t>
            </w:r>
          </w:p>
        </w:tc>
        <w:tc>
          <w:tcPr>
            <w:tcW w:w="0" w:type="dxa"/>
            <w:vAlign w:val="bottom"/>
          </w:tcPr>
          <w:p>
            <w:pPr>
              <w:spacing w:after="0"/>
              <w:rPr>
                <w:sz w:val="1"/>
                <w:szCs w:val="1"/>
                <w:color w:val="auto"/>
              </w:rPr>
            </w:pPr>
          </w:p>
        </w:tc>
      </w:tr>
    </w:tbl>
    <w:p>
      <w:pPr>
        <w:spacing w:after="0" w:line="304" w:lineRule="exact"/>
        <w:rPr>
          <w:sz w:val="20"/>
          <w:szCs w:val="20"/>
          <w:color w:val="auto"/>
        </w:rPr>
      </w:pPr>
    </w:p>
    <w:p>
      <w:pPr>
        <w:spacing w:after="0"/>
        <w:rPr>
          <w:sz w:val="20"/>
          <w:szCs w:val="20"/>
          <w:color w:val="auto"/>
        </w:rPr>
      </w:pPr>
      <w:r>
        <w:rPr>
          <w:rFonts w:ascii="Arial" w:cs="Arial" w:eastAsia="Arial" w:hAnsi="Arial"/>
          <w:sz w:val="16"/>
          <w:szCs w:val="16"/>
          <w:color w:val="060606"/>
        </w:rPr>
        <w:t>GAAP results for the three months ended September 30, 2025 include:</w:t>
      </w:r>
    </w:p>
    <w:p>
      <w:pPr>
        <w:ind w:left="320" w:hanging="312"/>
        <w:spacing w:after="0" w:line="231" w:lineRule="auto"/>
        <w:tabs>
          <w:tab w:leader="none" w:pos="320" w:val="left"/>
        </w:tabs>
        <w:numPr>
          <w:ilvl w:val="0"/>
          <w:numId w:val="14"/>
        </w:numPr>
        <w:rPr>
          <w:rFonts w:ascii="Arial" w:cs="Arial" w:eastAsia="Arial" w:hAnsi="Arial"/>
          <w:sz w:val="21"/>
          <w:szCs w:val="21"/>
          <w:color w:val="060606"/>
          <w:vertAlign w:val="superscript"/>
        </w:rPr>
      </w:pPr>
      <w:r>
        <w:rPr>
          <w:rFonts w:ascii="Arial" w:cs="Arial" w:eastAsia="Arial" w:hAnsi="Arial"/>
          <w:sz w:val="16"/>
          <w:szCs w:val="16"/>
          <w:color w:val="060606"/>
        </w:rPr>
        <w:t>Depreciation and amortization associated with purchase price accounting</w:t>
      </w:r>
    </w:p>
    <w:p>
      <w:pPr>
        <w:spacing w:after="0" w:line="4" w:lineRule="exact"/>
        <w:rPr>
          <w:rFonts w:ascii="Arial" w:cs="Arial" w:eastAsia="Arial" w:hAnsi="Arial"/>
          <w:sz w:val="21"/>
          <w:szCs w:val="21"/>
          <w:color w:val="060606"/>
          <w:vertAlign w:val="superscript"/>
        </w:rPr>
      </w:pPr>
    </w:p>
    <w:p>
      <w:pPr>
        <w:ind w:left="320" w:hanging="312"/>
        <w:spacing w:after="0" w:line="197" w:lineRule="auto"/>
        <w:tabs>
          <w:tab w:leader="none" w:pos="320" w:val="left"/>
        </w:tabs>
        <w:numPr>
          <w:ilvl w:val="0"/>
          <w:numId w:val="14"/>
        </w:numPr>
        <w:rPr>
          <w:rFonts w:ascii="Arial" w:cs="Arial" w:eastAsia="Arial" w:hAnsi="Arial"/>
          <w:sz w:val="21"/>
          <w:szCs w:val="21"/>
          <w:color w:val="060606"/>
          <w:vertAlign w:val="superscript"/>
        </w:rPr>
      </w:pPr>
      <w:r>
        <w:rPr>
          <w:rFonts w:ascii="Arial" w:cs="Arial" w:eastAsia="Arial" w:hAnsi="Arial"/>
          <w:sz w:val="16"/>
          <w:szCs w:val="16"/>
          <w:color w:val="060606"/>
        </w:rPr>
        <w:t>Impairment of investment in Highlife S.A.S.</w:t>
      </w:r>
    </w:p>
    <w:p>
      <w:pPr>
        <w:spacing w:after="0" w:line="4" w:lineRule="exact"/>
        <w:rPr>
          <w:rFonts w:ascii="Arial" w:cs="Arial" w:eastAsia="Arial" w:hAnsi="Arial"/>
          <w:sz w:val="21"/>
          <w:szCs w:val="21"/>
          <w:color w:val="060606"/>
          <w:vertAlign w:val="superscript"/>
        </w:rPr>
      </w:pPr>
    </w:p>
    <w:p>
      <w:pPr>
        <w:ind w:left="320" w:hanging="312"/>
        <w:spacing w:after="0" w:line="197" w:lineRule="auto"/>
        <w:tabs>
          <w:tab w:leader="none" w:pos="320" w:val="left"/>
        </w:tabs>
        <w:numPr>
          <w:ilvl w:val="0"/>
          <w:numId w:val="14"/>
        </w:numPr>
        <w:rPr>
          <w:rFonts w:ascii="Arial" w:cs="Arial" w:eastAsia="Arial" w:hAnsi="Arial"/>
          <w:sz w:val="21"/>
          <w:szCs w:val="21"/>
          <w:color w:val="060606"/>
          <w:vertAlign w:val="superscript"/>
        </w:rPr>
      </w:pPr>
      <w:r>
        <w:rPr>
          <w:rFonts w:ascii="Arial" w:cs="Arial" w:eastAsia="Arial" w:hAnsi="Arial"/>
          <w:sz w:val="16"/>
          <w:szCs w:val="16"/>
          <w:color w:val="060606"/>
        </w:rPr>
        <w:t>Mark-to-market adjustments for the 2025 and 2029 Notes embedded and capped call derivatives, and non-cash interest expense</w:t>
      </w:r>
    </w:p>
    <w:p>
      <w:pPr>
        <w:spacing w:after="0" w:line="4" w:lineRule="exact"/>
        <w:rPr>
          <w:rFonts w:ascii="Arial" w:cs="Arial" w:eastAsia="Arial" w:hAnsi="Arial"/>
          <w:sz w:val="21"/>
          <w:szCs w:val="21"/>
          <w:color w:val="060606"/>
          <w:vertAlign w:val="superscript"/>
        </w:rPr>
      </w:pPr>
    </w:p>
    <w:p>
      <w:pPr>
        <w:ind w:left="320" w:hanging="312"/>
        <w:spacing w:after="0" w:line="197" w:lineRule="auto"/>
        <w:tabs>
          <w:tab w:leader="none" w:pos="320" w:val="left"/>
        </w:tabs>
        <w:numPr>
          <w:ilvl w:val="0"/>
          <w:numId w:val="14"/>
        </w:numPr>
        <w:rPr>
          <w:rFonts w:ascii="Arial" w:cs="Arial" w:eastAsia="Arial" w:hAnsi="Arial"/>
          <w:sz w:val="21"/>
          <w:szCs w:val="21"/>
          <w:color w:val="060606"/>
          <w:vertAlign w:val="superscript"/>
        </w:rPr>
      </w:pPr>
      <w:r>
        <w:rPr>
          <w:rFonts w:ascii="Arial" w:cs="Arial" w:eastAsia="Arial" w:hAnsi="Arial"/>
          <w:sz w:val="16"/>
          <w:szCs w:val="16"/>
          <w:color w:val="060606"/>
        </w:rPr>
        <w:t>Remeasurement of contingent consideration related to the ImThera acquisition</w:t>
      </w:r>
    </w:p>
    <w:p>
      <w:pPr>
        <w:spacing w:after="0" w:line="4" w:lineRule="exact"/>
        <w:rPr>
          <w:rFonts w:ascii="Arial" w:cs="Arial" w:eastAsia="Arial" w:hAnsi="Arial"/>
          <w:sz w:val="21"/>
          <w:szCs w:val="21"/>
          <w:color w:val="060606"/>
          <w:vertAlign w:val="superscript"/>
        </w:rPr>
      </w:pPr>
    </w:p>
    <w:p>
      <w:pPr>
        <w:ind w:left="320" w:hanging="312"/>
        <w:spacing w:after="0" w:line="197" w:lineRule="auto"/>
        <w:tabs>
          <w:tab w:leader="none" w:pos="320" w:val="left"/>
        </w:tabs>
        <w:numPr>
          <w:ilvl w:val="0"/>
          <w:numId w:val="14"/>
        </w:numPr>
        <w:rPr>
          <w:rFonts w:ascii="Arial" w:cs="Arial" w:eastAsia="Arial" w:hAnsi="Arial"/>
          <w:sz w:val="21"/>
          <w:szCs w:val="21"/>
          <w:color w:val="060606"/>
          <w:vertAlign w:val="superscript"/>
        </w:rPr>
      </w:pPr>
      <w:r>
        <w:rPr>
          <w:rFonts w:ascii="Arial" w:cs="Arial" w:eastAsia="Arial" w:hAnsi="Arial"/>
          <w:sz w:val="16"/>
          <w:szCs w:val="16"/>
          <w:color w:val="060606"/>
        </w:rPr>
        <w:t>Legal expenses primarily related to 3T Heater-Cooler defense, 3T Heater-Cooler litigation provision, and SNIA environmental liability</w:t>
      </w:r>
    </w:p>
    <w:p>
      <w:pPr>
        <w:spacing w:after="0" w:line="4" w:lineRule="exact"/>
        <w:rPr>
          <w:rFonts w:ascii="Arial" w:cs="Arial" w:eastAsia="Arial" w:hAnsi="Arial"/>
          <w:sz w:val="21"/>
          <w:szCs w:val="21"/>
          <w:color w:val="060606"/>
          <w:vertAlign w:val="superscript"/>
        </w:rPr>
      </w:pPr>
    </w:p>
    <w:p>
      <w:pPr>
        <w:ind w:left="320" w:hanging="312"/>
        <w:spacing w:after="0" w:line="197" w:lineRule="auto"/>
        <w:tabs>
          <w:tab w:leader="none" w:pos="320" w:val="left"/>
        </w:tabs>
        <w:numPr>
          <w:ilvl w:val="0"/>
          <w:numId w:val="14"/>
        </w:numPr>
        <w:rPr>
          <w:rFonts w:ascii="Arial" w:cs="Arial" w:eastAsia="Arial" w:hAnsi="Arial"/>
          <w:sz w:val="21"/>
          <w:szCs w:val="21"/>
          <w:color w:val="060606"/>
          <w:vertAlign w:val="superscript"/>
        </w:rPr>
      </w:pPr>
      <w:r>
        <w:rPr>
          <w:rFonts w:ascii="Arial" w:cs="Arial" w:eastAsia="Arial" w:hAnsi="Arial"/>
          <w:sz w:val="16"/>
          <w:szCs w:val="16"/>
          <w:color w:val="060606"/>
        </w:rPr>
        <w:t>Non-cash expenses associated with share-based compensation costs</w:t>
      </w:r>
    </w:p>
    <w:p>
      <w:pPr>
        <w:spacing w:after="0" w:line="4" w:lineRule="exact"/>
        <w:rPr>
          <w:rFonts w:ascii="Arial" w:cs="Arial" w:eastAsia="Arial" w:hAnsi="Arial"/>
          <w:sz w:val="21"/>
          <w:szCs w:val="21"/>
          <w:color w:val="060606"/>
          <w:vertAlign w:val="superscript"/>
        </w:rPr>
      </w:pPr>
    </w:p>
    <w:p>
      <w:pPr>
        <w:ind w:left="320" w:hanging="312"/>
        <w:spacing w:after="0" w:line="197" w:lineRule="auto"/>
        <w:tabs>
          <w:tab w:leader="none" w:pos="320" w:val="left"/>
        </w:tabs>
        <w:numPr>
          <w:ilvl w:val="0"/>
          <w:numId w:val="14"/>
        </w:numPr>
        <w:rPr>
          <w:rFonts w:ascii="Arial" w:cs="Arial" w:eastAsia="Arial" w:hAnsi="Arial"/>
          <w:sz w:val="21"/>
          <w:szCs w:val="21"/>
          <w:color w:val="060606"/>
          <w:vertAlign w:val="superscript"/>
        </w:rPr>
      </w:pPr>
      <w:r>
        <w:rPr>
          <w:rFonts w:ascii="Arial" w:cs="Arial" w:eastAsia="Arial" w:hAnsi="Arial"/>
          <w:sz w:val="16"/>
          <w:szCs w:val="16"/>
          <w:color w:val="060606"/>
        </w:rPr>
        <w:t>The impact of valuation allowances, discrete tax items, the tax impact of intercompany transactions, and the tax impact on non-GAAP adjustments</w:t>
      </w:r>
    </w:p>
    <w:p>
      <w:pPr>
        <w:spacing w:after="0" w:line="4" w:lineRule="exact"/>
        <w:rPr>
          <w:rFonts w:ascii="Arial" w:cs="Arial" w:eastAsia="Arial" w:hAnsi="Arial"/>
          <w:sz w:val="21"/>
          <w:szCs w:val="21"/>
          <w:color w:val="060606"/>
          <w:vertAlign w:val="superscript"/>
        </w:rPr>
      </w:pPr>
    </w:p>
    <w:p>
      <w:pPr>
        <w:spacing w:after="0"/>
        <w:rPr>
          <w:rFonts w:ascii="Arial" w:cs="Arial" w:eastAsia="Arial" w:hAnsi="Arial"/>
          <w:sz w:val="21"/>
          <w:szCs w:val="21"/>
          <w:color w:val="060606"/>
          <w:vertAlign w:val="superscript"/>
        </w:rPr>
      </w:pPr>
      <w:r>
        <w:rPr>
          <w:rFonts w:ascii="Arial" w:cs="Arial" w:eastAsia="Arial" w:hAnsi="Arial"/>
          <w:sz w:val="16"/>
          <w:szCs w:val="16"/>
          <w:color w:val="060606"/>
        </w:rPr>
        <w:t>• Numbers may not add precisely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2"/>
          <w:szCs w:val="22"/>
          <w:color w:val="060606"/>
        </w:rPr>
        <w:t>15</w:t>
      </w:r>
    </w:p>
    <w:p>
      <w:pPr>
        <w:sectPr>
          <w:pgSz w:w="11900" w:h="16838" w:orient="portrait"/>
          <w:cols w:equalWidth="0" w:num="1">
            <w:col w:w="11240"/>
          </w:cols>
          <w:pgMar w:left="320" w:top="1440" w:right="339" w:bottom="1440" w:gutter="0" w:footer="0" w:header="0"/>
        </w:sectPr>
      </w:pPr>
    </w:p>
    <w:bookmarkStart w:id="18" w:name="page19"/>
    <w:bookmarkEnd w:id="18"/>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20"/>
        <w:spacing w:after="0"/>
        <w:rPr>
          <w:sz w:val="20"/>
          <w:szCs w:val="20"/>
          <w:color w:val="auto"/>
        </w:rPr>
      </w:pPr>
      <w:r>
        <w:rPr>
          <w:rFonts w:ascii="Arial" w:cs="Arial" w:eastAsia="Arial" w:hAnsi="Arial"/>
          <w:sz w:val="14"/>
          <w:szCs w:val="14"/>
          <w:color w:val="060606"/>
        </w:rPr>
        <w:t>RECONCILIATION OF GAAP TO NON-GAAP FINANCIAL MEASURES - UNAUDITED</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4"/>
          <w:szCs w:val="14"/>
          <w:color w:val="060606"/>
        </w:rPr>
        <w:t>(In millions, except for per share amounts)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7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spacing w:after="0"/>
              <w:rPr>
                <w:sz w:val="16"/>
                <w:szCs w:val="16"/>
                <w:color w:val="auto"/>
              </w:rPr>
            </w:pPr>
          </w:p>
        </w:tc>
        <w:tc>
          <w:tcPr>
            <w:tcW w:w="2920" w:type="dxa"/>
            <w:vAlign w:val="bottom"/>
            <w:tcBorders>
              <w:top w:val="single" w:sz="8" w:color="auto"/>
              <w:bottom w:val="single" w:sz="8" w:color="auto"/>
            </w:tcBorders>
            <w:gridSpan w:val="4"/>
          </w:tcPr>
          <w:p>
            <w:pPr>
              <w:jc w:val="right"/>
              <w:ind w:right="591"/>
              <w:spacing w:after="0"/>
              <w:rPr>
                <w:sz w:val="20"/>
                <w:szCs w:val="20"/>
                <w:color w:val="auto"/>
              </w:rPr>
            </w:pPr>
            <w:r>
              <w:rPr>
                <w:rFonts w:ascii="Arial" w:cs="Arial" w:eastAsia="Arial" w:hAnsi="Arial"/>
                <w:sz w:val="14"/>
                <w:szCs w:val="14"/>
                <w:color w:val="060606"/>
              </w:rPr>
              <w:t>Non-GAAP Adjustments</w:t>
            </w:r>
          </w:p>
        </w:tc>
        <w:tc>
          <w:tcPr>
            <w:tcW w:w="96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2780" w:type="dxa"/>
            <w:vAlign w:val="bottom"/>
          </w:tcPr>
          <w:p>
            <w:pPr>
              <w:spacing w:after="0"/>
              <w:rPr>
                <w:sz w:val="12"/>
                <w:szCs w:val="12"/>
                <w:color w:val="auto"/>
              </w:rPr>
            </w:pPr>
          </w:p>
        </w:tc>
        <w:tc>
          <w:tcPr>
            <w:tcW w:w="900" w:type="dxa"/>
            <w:vAlign w:val="bottom"/>
            <w:vMerge w:val="restart"/>
          </w:tcPr>
          <w:p>
            <w:pPr>
              <w:jc w:val="center"/>
              <w:spacing w:after="0"/>
              <w:rPr>
                <w:sz w:val="20"/>
                <w:szCs w:val="20"/>
                <w:color w:val="auto"/>
              </w:rPr>
            </w:pPr>
            <w:r>
              <w:rPr>
                <w:rFonts w:ascii="Arial" w:cs="Arial" w:eastAsia="Arial" w:hAnsi="Arial"/>
                <w:sz w:val="13"/>
                <w:szCs w:val="13"/>
                <w:color w:val="060606"/>
                <w:w w:val="93"/>
              </w:rPr>
              <w:t>GAAP</w:t>
            </w:r>
          </w:p>
        </w:tc>
        <w:tc>
          <w:tcPr>
            <w:tcW w:w="980" w:type="dxa"/>
            <w:vAlign w:val="bottom"/>
          </w:tcPr>
          <w:p>
            <w:pPr>
              <w:jc w:val="center"/>
              <w:spacing w:after="0" w:line="141" w:lineRule="exact"/>
              <w:rPr>
                <w:sz w:val="20"/>
                <w:szCs w:val="20"/>
                <w:color w:val="auto"/>
              </w:rPr>
            </w:pPr>
            <w:r>
              <w:rPr>
                <w:rFonts w:ascii="Arial" w:cs="Arial" w:eastAsia="Arial" w:hAnsi="Arial"/>
                <w:sz w:val="13"/>
                <w:szCs w:val="13"/>
                <w:color w:val="060606"/>
                <w:w w:val="98"/>
              </w:rPr>
              <w:t>Depreciation</w:t>
            </w:r>
          </w:p>
        </w:tc>
        <w:tc>
          <w:tcPr>
            <w:tcW w:w="8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vMerge w:val="restart"/>
          </w:tcPr>
          <w:p>
            <w:pPr>
              <w:jc w:val="center"/>
              <w:spacing w:after="0"/>
              <w:rPr>
                <w:sz w:val="20"/>
                <w:szCs w:val="20"/>
                <w:color w:val="auto"/>
              </w:rPr>
            </w:pPr>
            <w:r>
              <w:rPr>
                <w:rFonts w:ascii="Arial" w:cs="Arial" w:eastAsia="Arial" w:hAnsi="Arial"/>
                <w:sz w:val="13"/>
                <w:szCs w:val="13"/>
                <w:color w:val="060606"/>
                <w:w w:val="95"/>
              </w:rPr>
              <w:t>Certain Legal &amp;</w:t>
            </w:r>
          </w:p>
        </w:tc>
        <w:tc>
          <w:tcPr>
            <w:tcW w:w="960" w:type="dxa"/>
            <w:vAlign w:val="bottom"/>
            <w:vMerge w:val="restart"/>
          </w:tcPr>
          <w:p>
            <w:pPr>
              <w:jc w:val="center"/>
              <w:spacing w:after="0"/>
              <w:rPr>
                <w:sz w:val="20"/>
                <w:szCs w:val="20"/>
                <w:color w:val="auto"/>
              </w:rPr>
            </w:pPr>
            <w:r>
              <w:rPr>
                <w:rFonts w:ascii="Arial" w:cs="Arial" w:eastAsia="Arial" w:hAnsi="Arial"/>
                <w:sz w:val="13"/>
                <w:szCs w:val="13"/>
                <w:color w:val="060606"/>
                <w:w w:val="96"/>
              </w:rPr>
              <w:t>Share-based</w:t>
            </w: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vMerge w:val="restart"/>
          </w:tcPr>
          <w:p>
            <w:pPr>
              <w:jc w:val="center"/>
              <w:spacing w:after="0"/>
              <w:rPr>
                <w:sz w:val="20"/>
                <w:szCs w:val="20"/>
                <w:color w:val="auto"/>
              </w:rPr>
            </w:pPr>
            <w:r>
              <w:rPr>
                <w:rFonts w:ascii="Arial" w:cs="Arial" w:eastAsia="Arial" w:hAnsi="Arial"/>
                <w:sz w:val="13"/>
                <w:szCs w:val="13"/>
                <w:color w:val="060606"/>
                <w:w w:val="94"/>
              </w:rPr>
              <w:t>Adjusted</w:t>
            </w:r>
          </w:p>
        </w:tc>
        <w:tc>
          <w:tcPr>
            <w:tcW w:w="0" w:type="dxa"/>
            <w:vAlign w:val="bottom"/>
          </w:tcPr>
          <w:p>
            <w:pPr>
              <w:spacing w:after="0"/>
              <w:rPr>
                <w:sz w:val="1"/>
                <w:szCs w:val="1"/>
                <w:color w:val="auto"/>
              </w:rPr>
            </w:pPr>
          </w:p>
        </w:tc>
      </w:tr>
      <w:tr>
        <w:trPr>
          <w:trHeight w:val="153"/>
        </w:trPr>
        <w:tc>
          <w:tcPr>
            <w:tcW w:w="2780" w:type="dxa"/>
            <w:vAlign w:val="bottom"/>
            <w:vMerge w:val="restart"/>
          </w:tcPr>
          <w:p>
            <w:pPr>
              <w:ind w:left="20"/>
              <w:spacing w:after="0"/>
              <w:rPr>
                <w:sz w:val="20"/>
                <w:szCs w:val="20"/>
                <w:color w:val="auto"/>
              </w:rPr>
            </w:pPr>
            <w:r>
              <w:rPr>
                <w:rFonts w:ascii="Arial" w:cs="Arial" w:eastAsia="Arial" w:hAnsi="Arial"/>
                <w:sz w:val="14"/>
                <w:szCs w:val="14"/>
                <w:color w:val="060606"/>
              </w:rPr>
              <w:t>Nine Months Ended</w:t>
            </w:r>
          </w:p>
        </w:tc>
        <w:tc>
          <w:tcPr>
            <w:tcW w:w="900" w:type="dxa"/>
            <w:vAlign w:val="bottom"/>
            <w:vMerge w:val="continue"/>
          </w:tcPr>
          <w:p>
            <w:pPr>
              <w:spacing w:after="0"/>
              <w:rPr>
                <w:sz w:val="13"/>
                <w:szCs w:val="13"/>
                <w:color w:val="auto"/>
              </w:rPr>
            </w:pPr>
          </w:p>
        </w:tc>
        <w:tc>
          <w:tcPr>
            <w:tcW w:w="980" w:type="dxa"/>
            <w:vAlign w:val="bottom"/>
          </w:tcPr>
          <w:p>
            <w:pPr>
              <w:jc w:val="center"/>
              <w:spacing w:after="0"/>
              <w:rPr>
                <w:sz w:val="20"/>
                <w:szCs w:val="20"/>
                <w:color w:val="auto"/>
              </w:rPr>
            </w:pPr>
            <w:r>
              <w:rPr>
                <w:rFonts w:ascii="Arial" w:cs="Arial" w:eastAsia="Arial" w:hAnsi="Arial"/>
                <w:sz w:val="13"/>
                <w:szCs w:val="13"/>
                <w:color w:val="060606"/>
                <w:w w:val="92"/>
              </w:rPr>
              <w:t>and</w:t>
            </w:r>
          </w:p>
        </w:tc>
        <w:tc>
          <w:tcPr>
            <w:tcW w:w="880" w:type="dxa"/>
            <w:vAlign w:val="bottom"/>
          </w:tcPr>
          <w:p>
            <w:pPr>
              <w:jc w:val="center"/>
              <w:spacing w:after="0"/>
              <w:rPr>
                <w:sz w:val="20"/>
                <w:szCs w:val="20"/>
                <w:color w:val="auto"/>
              </w:rPr>
            </w:pPr>
            <w:r>
              <w:rPr>
                <w:rFonts w:ascii="Arial" w:cs="Arial" w:eastAsia="Arial" w:hAnsi="Arial"/>
                <w:sz w:val="13"/>
                <w:szCs w:val="13"/>
                <w:color w:val="060606"/>
                <w:w w:val="97"/>
              </w:rPr>
              <w:t>Investment</w:t>
            </w:r>
          </w:p>
        </w:tc>
        <w:tc>
          <w:tcPr>
            <w:tcW w:w="920" w:type="dxa"/>
            <w:vAlign w:val="bottom"/>
          </w:tcPr>
          <w:p>
            <w:pPr>
              <w:jc w:val="center"/>
              <w:spacing w:after="0"/>
              <w:rPr>
                <w:sz w:val="20"/>
                <w:szCs w:val="20"/>
                <w:color w:val="auto"/>
              </w:rPr>
            </w:pPr>
            <w:r>
              <w:rPr>
                <w:rFonts w:ascii="Arial" w:cs="Arial" w:eastAsia="Arial" w:hAnsi="Arial"/>
                <w:sz w:val="13"/>
                <w:szCs w:val="13"/>
                <w:color w:val="060606"/>
                <w:w w:val="95"/>
              </w:rPr>
              <w:t>Financing</w:t>
            </w:r>
          </w:p>
        </w:tc>
        <w:tc>
          <w:tcPr>
            <w:tcW w:w="840" w:type="dxa"/>
            <w:vAlign w:val="bottom"/>
            <w:vMerge w:val="restart"/>
          </w:tcPr>
          <w:p>
            <w:pPr>
              <w:jc w:val="right"/>
              <w:spacing w:after="0"/>
              <w:rPr>
                <w:sz w:val="20"/>
                <w:szCs w:val="20"/>
                <w:color w:val="auto"/>
              </w:rPr>
            </w:pPr>
            <w:r>
              <w:rPr>
                <w:rFonts w:ascii="Arial" w:cs="Arial" w:eastAsia="Arial" w:hAnsi="Arial"/>
                <w:sz w:val="13"/>
                <w:szCs w:val="13"/>
                <w:color w:val="060606"/>
              </w:rPr>
              <w:t>Contingent</w:t>
            </w:r>
          </w:p>
        </w:tc>
        <w:tc>
          <w:tcPr>
            <w:tcW w:w="18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940" w:type="dxa"/>
            <w:vAlign w:val="bottom"/>
            <w:gridSpan w:val="2"/>
            <w:vMerge w:val="restart"/>
          </w:tcPr>
          <w:p>
            <w:pPr>
              <w:ind w:left="140"/>
              <w:spacing w:after="0"/>
              <w:rPr>
                <w:sz w:val="20"/>
                <w:szCs w:val="20"/>
                <w:color w:val="auto"/>
              </w:rPr>
            </w:pPr>
            <w:r>
              <w:rPr>
                <w:rFonts w:ascii="Arial" w:cs="Arial" w:eastAsia="Arial" w:hAnsi="Arial"/>
                <w:sz w:val="13"/>
                <w:szCs w:val="13"/>
                <w:color w:val="060606"/>
              </w:rPr>
              <w:t>Certain Tax</w:t>
            </w:r>
          </w:p>
        </w:tc>
        <w:tc>
          <w:tcPr>
            <w:tcW w:w="8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4"/>
        </w:trPr>
        <w:tc>
          <w:tcPr>
            <w:tcW w:w="2780" w:type="dxa"/>
            <w:vAlign w:val="bottom"/>
            <w:vMerge w:val="continue"/>
          </w:tcPr>
          <w:p>
            <w:pPr>
              <w:spacing w:after="0"/>
              <w:rPr>
                <w:sz w:val="8"/>
                <w:szCs w:val="8"/>
                <w:color w:val="auto"/>
              </w:rPr>
            </w:pPr>
          </w:p>
        </w:tc>
        <w:tc>
          <w:tcPr>
            <w:tcW w:w="900" w:type="dxa"/>
            <w:vAlign w:val="bottom"/>
          </w:tcPr>
          <w:p>
            <w:pPr>
              <w:jc w:val="center"/>
              <w:spacing w:after="0" w:line="95" w:lineRule="exact"/>
              <w:rPr>
                <w:sz w:val="20"/>
                <w:szCs w:val="20"/>
                <w:color w:val="auto"/>
              </w:rPr>
            </w:pPr>
            <w:r>
              <w:rPr>
                <w:rFonts w:ascii="Arial" w:cs="Arial" w:eastAsia="Arial" w:hAnsi="Arial"/>
                <w:sz w:val="10"/>
                <w:szCs w:val="10"/>
                <w:color w:val="060606"/>
              </w:rPr>
              <w:t>Financial</w:t>
            </w:r>
          </w:p>
        </w:tc>
        <w:tc>
          <w:tcPr>
            <w:tcW w:w="980" w:type="dxa"/>
            <w:vAlign w:val="bottom"/>
          </w:tcPr>
          <w:p>
            <w:pPr>
              <w:jc w:val="center"/>
              <w:spacing w:after="0" w:line="95" w:lineRule="exact"/>
              <w:rPr>
                <w:sz w:val="20"/>
                <w:szCs w:val="20"/>
                <w:color w:val="auto"/>
              </w:rPr>
            </w:pPr>
            <w:r>
              <w:rPr>
                <w:rFonts w:ascii="Arial" w:cs="Arial" w:eastAsia="Arial" w:hAnsi="Arial"/>
                <w:sz w:val="10"/>
                <w:szCs w:val="10"/>
                <w:color w:val="060606"/>
              </w:rPr>
              <w:t>Amortization</w:t>
            </w:r>
          </w:p>
        </w:tc>
        <w:tc>
          <w:tcPr>
            <w:tcW w:w="880" w:type="dxa"/>
            <w:vAlign w:val="bottom"/>
            <w:vMerge w:val="restart"/>
          </w:tcPr>
          <w:p>
            <w:pPr>
              <w:jc w:val="center"/>
              <w:spacing w:after="0" w:line="135" w:lineRule="exact"/>
              <w:rPr>
                <w:sz w:val="20"/>
                <w:szCs w:val="20"/>
                <w:color w:val="auto"/>
              </w:rPr>
            </w:pPr>
            <w:r>
              <w:rPr>
                <w:rFonts w:ascii="Arial" w:cs="Arial" w:eastAsia="Arial" w:hAnsi="Arial"/>
                <w:sz w:val="13"/>
                <w:szCs w:val="13"/>
                <w:color w:val="060606"/>
                <w:w w:val="97"/>
              </w:rPr>
              <w:t>Related Items</w:t>
            </w:r>
          </w:p>
        </w:tc>
        <w:tc>
          <w:tcPr>
            <w:tcW w:w="920" w:type="dxa"/>
            <w:vAlign w:val="bottom"/>
            <w:vMerge w:val="restart"/>
          </w:tcPr>
          <w:p>
            <w:pPr>
              <w:jc w:val="center"/>
              <w:spacing w:after="0" w:line="135" w:lineRule="exact"/>
              <w:rPr>
                <w:sz w:val="20"/>
                <w:szCs w:val="20"/>
                <w:color w:val="auto"/>
              </w:rPr>
            </w:pPr>
            <w:r>
              <w:rPr>
                <w:rFonts w:ascii="Arial" w:cs="Arial" w:eastAsia="Arial" w:hAnsi="Arial"/>
                <w:sz w:val="13"/>
                <w:szCs w:val="13"/>
                <w:color w:val="060606"/>
                <w:w w:val="97"/>
              </w:rPr>
              <w:t>Related Items</w:t>
            </w:r>
          </w:p>
        </w:tc>
        <w:tc>
          <w:tcPr>
            <w:tcW w:w="840" w:type="dxa"/>
            <w:vAlign w:val="bottom"/>
            <w:vMerge w:val="continue"/>
          </w:tcPr>
          <w:p>
            <w:pPr>
              <w:spacing w:after="0"/>
              <w:rPr>
                <w:sz w:val="8"/>
                <w:szCs w:val="8"/>
                <w:color w:val="auto"/>
              </w:rPr>
            </w:pPr>
          </w:p>
        </w:tc>
        <w:tc>
          <w:tcPr>
            <w:tcW w:w="180" w:type="dxa"/>
            <w:vAlign w:val="bottom"/>
            <w:vMerge w:val="restart"/>
          </w:tcPr>
          <w:p>
            <w:pPr>
              <w:jc w:val="right"/>
              <w:ind w:right="19"/>
              <w:spacing w:after="0"/>
              <w:rPr>
                <w:sz w:val="20"/>
                <w:szCs w:val="20"/>
                <w:color w:val="auto"/>
              </w:rPr>
            </w:pPr>
            <w:r>
              <w:rPr>
                <w:rFonts w:ascii="Arial" w:cs="Arial" w:eastAsia="Arial" w:hAnsi="Arial"/>
                <w:sz w:val="8"/>
                <w:szCs w:val="8"/>
                <w:color w:val="060606"/>
              </w:rPr>
              <w:t>(4)</w:t>
            </w:r>
          </w:p>
        </w:tc>
        <w:tc>
          <w:tcPr>
            <w:tcW w:w="980" w:type="dxa"/>
            <w:vAlign w:val="bottom"/>
          </w:tcPr>
          <w:p>
            <w:pPr>
              <w:jc w:val="center"/>
              <w:spacing w:after="0" w:line="95" w:lineRule="exact"/>
              <w:rPr>
                <w:sz w:val="20"/>
                <w:szCs w:val="20"/>
                <w:color w:val="auto"/>
              </w:rPr>
            </w:pPr>
            <w:r>
              <w:rPr>
                <w:rFonts w:ascii="Arial" w:cs="Arial" w:eastAsia="Arial" w:hAnsi="Arial"/>
                <w:sz w:val="10"/>
                <w:szCs w:val="10"/>
                <w:color w:val="060606"/>
              </w:rPr>
              <w:t>Regulatory</w:t>
            </w:r>
          </w:p>
        </w:tc>
        <w:tc>
          <w:tcPr>
            <w:tcW w:w="960" w:type="dxa"/>
            <w:vAlign w:val="bottom"/>
          </w:tcPr>
          <w:p>
            <w:pPr>
              <w:jc w:val="center"/>
              <w:spacing w:after="0" w:line="95" w:lineRule="exact"/>
              <w:rPr>
                <w:sz w:val="20"/>
                <w:szCs w:val="20"/>
                <w:color w:val="auto"/>
              </w:rPr>
            </w:pPr>
            <w:r>
              <w:rPr>
                <w:rFonts w:ascii="Arial" w:cs="Arial" w:eastAsia="Arial" w:hAnsi="Arial"/>
                <w:sz w:val="10"/>
                <w:szCs w:val="10"/>
                <w:color w:val="060606"/>
              </w:rPr>
              <w:t>Compensation</w:t>
            </w:r>
          </w:p>
        </w:tc>
        <w:tc>
          <w:tcPr>
            <w:tcW w:w="940" w:type="dxa"/>
            <w:vAlign w:val="bottom"/>
            <w:gridSpan w:val="2"/>
            <w:vMerge w:val="continue"/>
          </w:tcPr>
          <w:p>
            <w:pPr>
              <w:spacing w:after="0"/>
              <w:rPr>
                <w:sz w:val="8"/>
                <w:szCs w:val="8"/>
                <w:color w:val="auto"/>
              </w:rPr>
            </w:pPr>
          </w:p>
        </w:tc>
        <w:tc>
          <w:tcPr>
            <w:tcW w:w="880" w:type="dxa"/>
            <w:vAlign w:val="bottom"/>
          </w:tcPr>
          <w:p>
            <w:pPr>
              <w:jc w:val="center"/>
              <w:spacing w:after="0" w:line="95" w:lineRule="exact"/>
              <w:rPr>
                <w:sz w:val="20"/>
                <w:szCs w:val="20"/>
                <w:color w:val="auto"/>
              </w:rPr>
            </w:pPr>
            <w:r>
              <w:rPr>
                <w:rFonts w:ascii="Arial" w:cs="Arial" w:eastAsia="Arial" w:hAnsi="Arial"/>
                <w:sz w:val="10"/>
                <w:szCs w:val="10"/>
                <w:color w:val="060606"/>
              </w:rPr>
              <w:t>Financial</w:t>
            </w:r>
          </w:p>
        </w:tc>
        <w:tc>
          <w:tcPr>
            <w:tcW w:w="0" w:type="dxa"/>
            <w:vAlign w:val="bottom"/>
          </w:tcPr>
          <w:p>
            <w:pPr>
              <w:spacing w:after="0"/>
              <w:rPr>
                <w:sz w:val="1"/>
                <w:szCs w:val="1"/>
                <w:color w:val="auto"/>
              </w:rPr>
            </w:pPr>
          </w:p>
        </w:tc>
      </w:tr>
      <w:tr>
        <w:trPr>
          <w:trHeight w:val="41"/>
        </w:trPr>
        <w:tc>
          <w:tcPr>
            <w:tcW w:w="2780" w:type="dxa"/>
            <w:vAlign w:val="bottom"/>
            <w:vMerge w:val="restart"/>
          </w:tcPr>
          <w:p>
            <w:pPr>
              <w:ind w:left="20"/>
              <w:spacing w:after="0"/>
              <w:rPr>
                <w:sz w:val="20"/>
                <w:szCs w:val="20"/>
                <w:color w:val="auto"/>
              </w:rPr>
            </w:pPr>
            <w:r>
              <w:rPr>
                <w:rFonts w:ascii="Arial" w:cs="Arial" w:eastAsia="Arial" w:hAnsi="Arial"/>
                <w:sz w:val="14"/>
                <w:szCs w:val="14"/>
                <w:color w:val="060606"/>
              </w:rPr>
              <w:t>September 30, 2026</w:t>
            </w:r>
          </w:p>
        </w:tc>
        <w:tc>
          <w:tcPr>
            <w:tcW w:w="900" w:type="dxa"/>
            <w:vAlign w:val="bottom"/>
            <w:vMerge w:val="restart"/>
          </w:tcPr>
          <w:p>
            <w:pPr>
              <w:jc w:val="center"/>
              <w:spacing w:after="0"/>
              <w:rPr>
                <w:sz w:val="20"/>
                <w:szCs w:val="20"/>
                <w:color w:val="auto"/>
              </w:rPr>
            </w:pPr>
            <w:r>
              <w:rPr>
                <w:rFonts w:ascii="Arial" w:cs="Arial" w:eastAsia="Arial" w:hAnsi="Arial"/>
                <w:sz w:val="13"/>
                <w:szCs w:val="13"/>
                <w:color w:val="060606"/>
                <w:w w:val="98"/>
              </w:rPr>
              <w:t>Measures</w:t>
            </w:r>
          </w:p>
        </w:tc>
        <w:tc>
          <w:tcPr>
            <w:tcW w:w="980" w:type="dxa"/>
            <w:vAlign w:val="bottom"/>
            <w:vMerge w:val="restart"/>
          </w:tcPr>
          <w:p>
            <w:pPr>
              <w:jc w:val="center"/>
              <w:spacing w:after="0" w:line="175" w:lineRule="exact"/>
              <w:rPr>
                <w:sz w:val="20"/>
                <w:szCs w:val="20"/>
                <w:color w:val="auto"/>
              </w:rPr>
            </w:pPr>
            <w:r>
              <w:rPr>
                <w:rFonts w:ascii="Arial" w:cs="Arial" w:eastAsia="Arial" w:hAnsi="Arial"/>
                <w:sz w:val="13"/>
                <w:szCs w:val="13"/>
                <w:color w:val="060606"/>
                <w:w w:val="95"/>
              </w:rPr>
              <w:t xml:space="preserve">Expense </w:t>
            </w:r>
            <w:r>
              <w:rPr>
                <w:rFonts w:ascii="Arial" w:cs="Arial" w:eastAsia="Arial" w:hAnsi="Arial"/>
                <w:sz w:val="16"/>
                <w:szCs w:val="16"/>
                <w:color w:val="060606"/>
                <w:w w:val="95"/>
                <w:vertAlign w:val="superscript"/>
              </w:rPr>
              <w:t>(1)</w:t>
            </w:r>
          </w:p>
        </w:tc>
        <w:tc>
          <w:tcPr>
            <w:tcW w:w="880" w:type="dxa"/>
            <w:vAlign w:val="bottom"/>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060606"/>
                <w:w w:val="99"/>
              </w:rPr>
              <w:t>Consideration</w:t>
            </w:r>
          </w:p>
        </w:tc>
        <w:tc>
          <w:tcPr>
            <w:tcW w:w="180" w:type="dxa"/>
            <w:vAlign w:val="bottom"/>
            <w:vMerge w:val="continue"/>
          </w:tcPr>
          <w:p>
            <w:pPr>
              <w:spacing w:after="0"/>
              <w:rPr>
                <w:sz w:val="3"/>
                <w:szCs w:val="3"/>
                <w:color w:val="auto"/>
              </w:rPr>
            </w:pPr>
          </w:p>
        </w:tc>
        <w:tc>
          <w:tcPr>
            <w:tcW w:w="980" w:type="dxa"/>
            <w:vAlign w:val="bottom"/>
            <w:vMerge w:val="restart"/>
          </w:tcPr>
          <w:p>
            <w:pPr>
              <w:jc w:val="center"/>
              <w:spacing w:after="0" w:line="175" w:lineRule="exact"/>
              <w:rPr>
                <w:sz w:val="20"/>
                <w:szCs w:val="20"/>
                <w:color w:val="auto"/>
              </w:rPr>
            </w:pPr>
            <w:r>
              <w:rPr>
                <w:rFonts w:ascii="Arial" w:cs="Arial" w:eastAsia="Arial" w:hAnsi="Arial"/>
                <w:sz w:val="13"/>
                <w:szCs w:val="13"/>
                <w:color w:val="060606"/>
                <w:w w:val="92"/>
              </w:rPr>
              <w:t xml:space="preserve">Costs </w:t>
            </w:r>
            <w:r>
              <w:rPr>
                <w:rFonts w:ascii="Arial" w:cs="Arial" w:eastAsia="Arial" w:hAnsi="Arial"/>
                <w:sz w:val="16"/>
                <w:szCs w:val="16"/>
                <w:color w:val="060606"/>
                <w:w w:val="92"/>
                <w:vertAlign w:val="superscript"/>
              </w:rPr>
              <w:t>(5)</w:t>
            </w:r>
          </w:p>
        </w:tc>
        <w:tc>
          <w:tcPr>
            <w:tcW w:w="960" w:type="dxa"/>
            <w:vAlign w:val="bottom"/>
            <w:vMerge w:val="restart"/>
          </w:tcPr>
          <w:p>
            <w:pPr>
              <w:jc w:val="center"/>
              <w:spacing w:after="0" w:line="175" w:lineRule="exact"/>
              <w:rPr>
                <w:sz w:val="20"/>
                <w:szCs w:val="20"/>
                <w:color w:val="auto"/>
              </w:rPr>
            </w:pPr>
            <w:r>
              <w:rPr>
                <w:rFonts w:ascii="Arial" w:cs="Arial" w:eastAsia="Arial" w:hAnsi="Arial"/>
                <w:sz w:val="13"/>
                <w:szCs w:val="13"/>
                <w:color w:val="060606"/>
                <w:w w:val="92"/>
              </w:rPr>
              <w:t xml:space="preserve">Costs </w:t>
            </w:r>
            <w:r>
              <w:rPr>
                <w:rFonts w:ascii="Arial" w:cs="Arial" w:eastAsia="Arial" w:hAnsi="Arial"/>
                <w:sz w:val="16"/>
                <w:szCs w:val="16"/>
                <w:color w:val="060606"/>
                <w:w w:val="92"/>
                <w:vertAlign w:val="superscript"/>
              </w:rPr>
              <w:t>(6)</w:t>
            </w:r>
          </w:p>
        </w:tc>
        <w:tc>
          <w:tcPr>
            <w:tcW w:w="760" w:type="dxa"/>
            <w:vAlign w:val="bottom"/>
            <w:vMerge w:val="restart"/>
          </w:tcPr>
          <w:p>
            <w:pPr>
              <w:ind w:left="40"/>
              <w:spacing w:after="0"/>
              <w:rPr>
                <w:sz w:val="20"/>
                <w:szCs w:val="20"/>
                <w:color w:val="auto"/>
              </w:rPr>
            </w:pPr>
            <w:r>
              <w:rPr>
                <w:rFonts w:ascii="Arial" w:cs="Arial" w:eastAsia="Arial" w:hAnsi="Arial"/>
                <w:sz w:val="13"/>
                <w:szCs w:val="13"/>
                <w:color w:val="060606"/>
                <w:w w:val="97"/>
              </w:rPr>
              <w:t>Adjustments</w:t>
            </w:r>
          </w:p>
        </w:tc>
        <w:tc>
          <w:tcPr>
            <w:tcW w:w="180" w:type="dxa"/>
            <w:vAlign w:val="bottom"/>
          </w:tcPr>
          <w:p>
            <w:pPr>
              <w:jc w:val="right"/>
              <w:ind w:right="40"/>
              <w:spacing w:after="0" w:line="41" w:lineRule="exact"/>
              <w:rPr>
                <w:sz w:val="20"/>
                <w:szCs w:val="20"/>
                <w:color w:val="auto"/>
              </w:rPr>
            </w:pPr>
            <w:r>
              <w:rPr>
                <w:rFonts w:ascii="Arial" w:cs="Arial" w:eastAsia="Arial" w:hAnsi="Arial"/>
                <w:sz w:val="4"/>
                <w:szCs w:val="4"/>
                <w:color w:val="060606"/>
              </w:rPr>
              <w:t>(7)</w:t>
            </w:r>
          </w:p>
        </w:tc>
        <w:tc>
          <w:tcPr>
            <w:tcW w:w="880" w:type="dxa"/>
            <w:vAlign w:val="bottom"/>
            <w:vMerge w:val="restart"/>
          </w:tcPr>
          <w:p>
            <w:pPr>
              <w:jc w:val="center"/>
              <w:spacing w:after="0"/>
              <w:rPr>
                <w:sz w:val="20"/>
                <w:szCs w:val="20"/>
                <w:color w:val="auto"/>
              </w:rPr>
            </w:pPr>
            <w:r>
              <w:rPr>
                <w:rFonts w:ascii="Arial" w:cs="Arial" w:eastAsia="Arial" w:hAnsi="Arial"/>
                <w:sz w:val="13"/>
                <w:szCs w:val="13"/>
                <w:color w:val="060606"/>
                <w:w w:val="98"/>
              </w:rPr>
              <w:t>Measures</w:t>
            </w:r>
          </w:p>
        </w:tc>
        <w:tc>
          <w:tcPr>
            <w:tcW w:w="0" w:type="dxa"/>
            <w:vAlign w:val="bottom"/>
          </w:tcPr>
          <w:p>
            <w:pPr>
              <w:spacing w:after="0"/>
              <w:rPr>
                <w:sz w:val="1"/>
                <w:szCs w:val="1"/>
                <w:color w:val="auto"/>
              </w:rPr>
            </w:pPr>
          </w:p>
        </w:tc>
      </w:tr>
      <w:tr>
        <w:trPr>
          <w:trHeight w:val="135"/>
        </w:trPr>
        <w:tc>
          <w:tcPr>
            <w:tcW w:w="2780" w:type="dxa"/>
            <w:vAlign w:val="bottom"/>
            <w:tcBorders>
              <w:bottom w:val="single" w:sz="8" w:color="auto"/>
            </w:tcBorders>
            <w:vMerge w:val="continue"/>
          </w:tcPr>
          <w:p>
            <w:pPr>
              <w:spacing w:after="0"/>
              <w:rPr>
                <w:sz w:val="11"/>
                <w:szCs w:val="11"/>
                <w:color w:val="auto"/>
              </w:rPr>
            </w:pPr>
          </w:p>
        </w:tc>
        <w:tc>
          <w:tcPr>
            <w:tcW w:w="900" w:type="dxa"/>
            <w:vAlign w:val="bottom"/>
            <w:tcBorders>
              <w:bottom w:val="single" w:sz="8" w:color="auto"/>
            </w:tcBorders>
            <w:vMerge w:val="continue"/>
          </w:tcPr>
          <w:p>
            <w:pPr>
              <w:spacing w:after="0"/>
              <w:rPr>
                <w:sz w:val="11"/>
                <w:szCs w:val="11"/>
                <w:color w:val="auto"/>
              </w:rPr>
            </w:pPr>
          </w:p>
        </w:tc>
        <w:tc>
          <w:tcPr>
            <w:tcW w:w="980" w:type="dxa"/>
            <w:vAlign w:val="bottom"/>
            <w:tcBorders>
              <w:bottom w:val="single" w:sz="8" w:color="auto"/>
            </w:tcBorders>
            <w:vMerge w:val="continue"/>
          </w:tcPr>
          <w:p>
            <w:pPr>
              <w:spacing w:after="0"/>
              <w:rPr>
                <w:sz w:val="11"/>
                <w:szCs w:val="11"/>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8"/>
                <w:szCs w:val="8"/>
                <w:color w:val="060606"/>
              </w:rPr>
              <w:t>(2)</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8"/>
                <w:szCs w:val="8"/>
                <w:color w:val="060606"/>
              </w:rPr>
              <w:t>(3)</w:t>
            </w:r>
          </w:p>
        </w:tc>
        <w:tc>
          <w:tcPr>
            <w:tcW w:w="840" w:type="dxa"/>
            <w:vAlign w:val="bottom"/>
            <w:tcBorders>
              <w:bottom w:val="single" w:sz="8" w:color="auto"/>
            </w:tcBorders>
            <w:vMerge w:val="continue"/>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vMerge w:val="continue"/>
          </w:tcPr>
          <w:p>
            <w:pPr>
              <w:spacing w:after="0"/>
              <w:rPr>
                <w:sz w:val="11"/>
                <w:szCs w:val="11"/>
                <w:color w:val="auto"/>
              </w:rPr>
            </w:pPr>
          </w:p>
        </w:tc>
        <w:tc>
          <w:tcPr>
            <w:tcW w:w="960" w:type="dxa"/>
            <w:vAlign w:val="bottom"/>
            <w:tcBorders>
              <w:bottom w:val="single" w:sz="8" w:color="auto"/>
            </w:tcBorders>
            <w:vMerge w:val="continue"/>
          </w:tcPr>
          <w:p>
            <w:pPr>
              <w:spacing w:after="0"/>
              <w:rPr>
                <w:sz w:val="11"/>
                <w:szCs w:val="11"/>
                <w:color w:val="auto"/>
              </w:rPr>
            </w:pPr>
          </w:p>
        </w:tc>
        <w:tc>
          <w:tcPr>
            <w:tcW w:w="760" w:type="dxa"/>
            <w:vAlign w:val="bottom"/>
            <w:tcBorders>
              <w:bottom w:val="single" w:sz="8" w:color="auto"/>
            </w:tcBorders>
            <w:vMerge w:val="continue"/>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1"/>
        </w:trPr>
        <w:tc>
          <w:tcPr>
            <w:tcW w:w="2780" w:type="dxa"/>
            <w:vAlign w:val="bottom"/>
          </w:tcPr>
          <w:p>
            <w:pPr>
              <w:ind w:left="20"/>
              <w:spacing w:after="0"/>
              <w:rPr>
                <w:sz w:val="20"/>
                <w:szCs w:val="20"/>
                <w:color w:val="auto"/>
              </w:rPr>
            </w:pPr>
            <w:r>
              <w:rPr>
                <w:rFonts w:ascii="Arial" w:cs="Arial" w:eastAsia="Arial" w:hAnsi="Arial"/>
                <w:sz w:val="14"/>
                <w:szCs w:val="14"/>
                <w:color w:val="060606"/>
              </w:rPr>
              <w:t>Cost of sales</w:t>
            </w:r>
          </w:p>
        </w:tc>
        <w:tc>
          <w:tcPr>
            <w:tcW w:w="900" w:type="dxa"/>
            <w:vAlign w:val="bottom"/>
          </w:tcPr>
          <w:p>
            <w:pPr>
              <w:jc w:val="right"/>
              <w:ind w:right="111"/>
              <w:spacing w:after="0"/>
              <w:rPr>
                <w:sz w:val="20"/>
                <w:szCs w:val="20"/>
                <w:color w:val="auto"/>
              </w:rPr>
            </w:pPr>
            <w:r>
              <w:rPr>
                <w:rFonts w:ascii="Arial" w:cs="Arial" w:eastAsia="Arial" w:hAnsi="Arial"/>
                <w:sz w:val="14"/>
                <w:szCs w:val="14"/>
                <w:color w:val="060606"/>
              </w:rPr>
              <w:t>$363.5</w:t>
            </w:r>
          </w:p>
        </w:tc>
        <w:tc>
          <w:tcPr>
            <w:tcW w:w="980" w:type="dxa"/>
            <w:vAlign w:val="bottom"/>
          </w:tcPr>
          <w:p>
            <w:pPr>
              <w:jc w:val="right"/>
              <w:ind w:right="91"/>
              <w:spacing w:after="0"/>
              <w:rPr>
                <w:sz w:val="20"/>
                <w:szCs w:val="20"/>
                <w:color w:val="auto"/>
              </w:rPr>
            </w:pPr>
            <w:r>
              <w:rPr>
                <w:rFonts w:ascii="Arial" w:cs="Arial" w:eastAsia="Arial" w:hAnsi="Arial"/>
                <w:sz w:val="14"/>
                <w:szCs w:val="14"/>
                <w:color w:val="060606"/>
              </w:rPr>
              <w:t>($9.4)</w:t>
            </w:r>
          </w:p>
        </w:tc>
        <w:tc>
          <w:tcPr>
            <w:tcW w:w="880" w:type="dxa"/>
            <w:vAlign w:val="bottom"/>
          </w:tcPr>
          <w:p>
            <w:pPr>
              <w:ind w:left="440"/>
              <w:spacing w:after="0"/>
              <w:rPr>
                <w:sz w:val="20"/>
                <w:szCs w:val="20"/>
                <w:color w:val="auto"/>
              </w:rPr>
            </w:pPr>
            <w:r>
              <w:rPr>
                <w:rFonts w:ascii="Arial" w:cs="Arial" w:eastAsia="Arial" w:hAnsi="Arial"/>
                <w:sz w:val="14"/>
                <w:szCs w:val="14"/>
                <w:color w:val="060606"/>
              </w:rPr>
              <w:t>$—</w:t>
            </w:r>
          </w:p>
        </w:tc>
        <w:tc>
          <w:tcPr>
            <w:tcW w:w="920" w:type="dxa"/>
            <w:vAlign w:val="bottom"/>
          </w:tcPr>
          <w:p>
            <w:pPr>
              <w:jc w:val="right"/>
              <w:ind w:right="131"/>
              <w:spacing w:after="0"/>
              <w:rPr>
                <w:sz w:val="20"/>
                <w:szCs w:val="20"/>
                <w:color w:val="auto"/>
              </w:rPr>
            </w:pPr>
            <w:r>
              <w:rPr>
                <w:rFonts w:ascii="Arial" w:cs="Arial" w:eastAsia="Arial" w:hAnsi="Arial"/>
                <w:sz w:val="14"/>
                <w:szCs w:val="14"/>
                <w:color w:val="060606"/>
              </w:rPr>
              <w:t>$—</w:t>
            </w:r>
          </w:p>
        </w:tc>
        <w:tc>
          <w:tcPr>
            <w:tcW w:w="1020" w:type="dxa"/>
            <w:vAlign w:val="bottom"/>
            <w:gridSpan w:val="2"/>
          </w:tcPr>
          <w:p>
            <w:pPr>
              <w:jc w:val="right"/>
              <w:ind w:right="119"/>
              <w:spacing w:after="0"/>
              <w:rPr>
                <w:sz w:val="20"/>
                <w:szCs w:val="20"/>
                <w:color w:val="auto"/>
              </w:rPr>
            </w:pPr>
            <w:r>
              <w:rPr>
                <w:rFonts w:ascii="Arial" w:cs="Arial" w:eastAsia="Arial" w:hAnsi="Arial"/>
                <w:sz w:val="14"/>
                <w:szCs w:val="14"/>
                <w:color w:val="060606"/>
              </w:rPr>
              <w:t>($3.3)</w:t>
            </w:r>
          </w:p>
        </w:tc>
        <w:tc>
          <w:tcPr>
            <w:tcW w:w="980" w:type="dxa"/>
            <w:vAlign w:val="bottom"/>
          </w:tcPr>
          <w:p>
            <w:pPr>
              <w:jc w:val="right"/>
              <w:ind w:right="151"/>
              <w:spacing w:after="0"/>
              <w:rPr>
                <w:sz w:val="20"/>
                <w:szCs w:val="20"/>
                <w:color w:val="auto"/>
              </w:rPr>
            </w:pPr>
            <w:r>
              <w:rPr>
                <w:rFonts w:ascii="Arial" w:cs="Arial" w:eastAsia="Arial" w:hAnsi="Arial"/>
                <w:sz w:val="14"/>
                <w:szCs w:val="14"/>
                <w:color w:val="060606"/>
              </w:rPr>
              <w:t>$—</w:t>
            </w:r>
          </w:p>
        </w:tc>
        <w:tc>
          <w:tcPr>
            <w:tcW w:w="960" w:type="dxa"/>
            <w:vAlign w:val="bottom"/>
          </w:tcPr>
          <w:p>
            <w:pPr>
              <w:jc w:val="right"/>
              <w:ind w:right="91"/>
              <w:spacing w:after="0"/>
              <w:rPr>
                <w:sz w:val="20"/>
                <w:szCs w:val="20"/>
                <w:color w:val="auto"/>
              </w:rPr>
            </w:pPr>
            <w:r>
              <w:rPr>
                <w:rFonts w:ascii="Arial" w:cs="Arial" w:eastAsia="Arial" w:hAnsi="Arial"/>
                <w:sz w:val="14"/>
                <w:szCs w:val="14"/>
                <w:color w:val="060606"/>
              </w:rPr>
              <w:t>($1.9)</w:t>
            </w:r>
          </w:p>
        </w:tc>
        <w:tc>
          <w:tcPr>
            <w:tcW w:w="760" w:type="dxa"/>
            <w:vAlign w:val="bottom"/>
          </w:tcPr>
          <w:p>
            <w:pPr>
              <w:ind w:left="540"/>
              <w:spacing w:after="0"/>
              <w:rPr>
                <w:sz w:val="20"/>
                <w:szCs w:val="20"/>
                <w:color w:val="auto"/>
              </w:rPr>
            </w:pPr>
            <w:r>
              <w:rPr>
                <w:rFonts w:ascii="Arial" w:cs="Arial" w:eastAsia="Arial" w:hAnsi="Arial"/>
                <w:sz w:val="14"/>
                <w:szCs w:val="14"/>
                <w:color w:val="060606"/>
                <w:w w:val="91"/>
              </w:rPr>
              <w:t>$—</w:t>
            </w:r>
          </w:p>
        </w:tc>
        <w:tc>
          <w:tcPr>
            <w:tcW w:w="180" w:type="dxa"/>
            <w:vAlign w:val="bottom"/>
          </w:tcPr>
          <w:p>
            <w:pPr>
              <w:spacing w:after="0"/>
              <w:rPr>
                <w:sz w:val="17"/>
                <w:szCs w:val="17"/>
                <w:color w:val="auto"/>
              </w:rPr>
            </w:pPr>
          </w:p>
        </w:tc>
        <w:tc>
          <w:tcPr>
            <w:tcW w:w="880" w:type="dxa"/>
            <w:vAlign w:val="bottom"/>
          </w:tcPr>
          <w:p>
            <w:pPr>
              <w:jc w:val="right"/>
              <w:ind w:right="111"/>
              <w:spacing w:after="0"/>
              <w:rPr>
                <w:sz w:val="20"/>
                <w:szCs w:val="20"/>
                <w:color w:val="auto"/>
              </w:rPr>
            </w:pPr>
            <w:r>
              <w:rPr>
                <w:rFonts w:ascii="Arial" w:cs="Arial" w:eastAsia="Arial" w:hAnsi="Arial"/>
                <w:sz w:val="14"/>
                <w:szCs w:val="14"/>
                <w:color w:val="060606"/>
              </w:rPr>
              <w:t>$348.8</w:t>
            </w:r>
          </w:p>
        </w:tc>
        <w:tc>
          <w:tcPr>
            <w:tcW w:w="0" w:type="dxa"/>
            <w:vAlign w:val="bottom"/>
          </w:tcPr>
          <w:p>
            <w:pPr>
              <w:spacing w:after="0"/>
              <w:rPr>
                <w:sz w:val="1"/>
                <w:szCs w:val="1"/>
                <w:color w:val="auto"/>
              </w:rPr>
            </w:pPr>
          </w:p>
        </w:tc>
      </w:tr>
      <w:tr>
        <w:trPr>
          <w:trHeight w:val="216"/>
        </w:trPr>
        <w:tc>
          <w:tcPr>
            <w:tcW w:w="2780" w:type="dxa"/>
            <w:vAlign w:val="bottom"/>
          </w:tcPr>
          <w:p>
            <w:pPr>
              <w:ind w:left="20"/>
              <w:spacing w:after="0"/>
              <w:rPr>
                <w:sz w:val="20"/>
                <w:szCs w:val="20"/>
                <w:color w:val="auto"/>
              </w:rPr>
            </w:pPr>
            <w:r>
              <w:rPr>
                <w:rFonts w:ascii="Arial" w:cs="Arial" w:eastAsia="Arial" w:hAnsi="Arial"/>
                <w:sz w:val="14"/>
                <w:szCs w:val="14"/>
                <w:color w:val="060606"/>
              </w:rPr>
              <w:t>Gross profit percent</w:t>
            </w:r>
          </w:p>
        </w:tc>
        <w:tc>
          <w:tcPr>
            <w:tcW w:w="900" w:type="dxa"/>
            <w:vAlign w:val="bottom"/>
          </w:tcPr>
          <w:p>
            <w:pPr>
              <w:jc w:val="right"/>
              <w:spacing w:after="0"/>
              <w:rPr>
                <w:sz w:val="20"/>
                <w:szCs w:val="20"/>
                <w:color w:val="auto"/>
              </w:rPr>
            </w:pPr>
            <w:r>
              <w:rPr>
                <w:rFonts w:ascii="Arial" w:cs="Arial" w:eastAsia="Arial" w:hAnsi="Arial"/>
                <w:sz w:val="14"/>
                <w:szCs w:val="14"/>
                <w:color w:val="060606"/>
              </w:rPr>
              <w:t>68.3 %</w:t>
            </w:r>
          </w:p>
        </w:tc>
        <w:tc>
          <w:tcPr>
            <w:tcW w:w="980" w:type="dxa"/>
            <w:vAlign w:val="bottom"/>
          </w:tcPr>
          <w:p>
            <w:pPr>
              <w:jc w:val="right"/>
              <w:spacing w:after="0"/>
              <w:rPr>
                <w:sz w:val="20"/>
                <w:szCs w:val="20"/>
                <w:color w:val="auto"/>
              </w:rPr>
            </w:pPr>
            <w:r>
              <w:rPr>
                <w:rFonts w:ascii="Arial" w:cs="Arial" w:eastAsia="Arial" w:hAnsi="Arial"/>
                <w:sz w:val="14"/>
                <w:szCs w:val="14"/>
                <w:color w:val="060606"/>
              </w:rPr>
              <w:t>0.8 %</w:t>
            </w:r>
          </w:p>
        </w:tc>
        <w:tc>
          <w:tcPr>
            <w:tcW w:w="880" w:type="dxa"/>
            <w:vAlign w:val="bottom"/>
          </w:tcPr>
          <w:p>
            <w:pPr>
              <w:ind w:left="520"/>
              <w:spacing w:after="0"/>
              <w:rPr>
                <w:sz w:val="20"/>
                <w:szCs w:val="20"/>
                <w:color w:val="auto"/>
              </w:rPr>
            </w:pPr>
            <w:r>
              <w:rPr>
                <w:rFonts w:ascii="Arial" w:cs="Arial" w:eastAsia="Arial" w:hAnsi="Arial"/>
                <w:sz w:val="14"/>
                <w:szCs w:val="14"/>
                <w:color w:val="060606"/>
              </w:rPr>
              <w:t>— %</w:t>
            </w:r>
          </w:p>
        </w:tc>
        <w:tc>
          <w:tcPr>
            <w:tcW w:w="920" w:type="dxa"/>
            <w:vAlign w:val="bottom"/>
          </w:tcPr>
          <w:p>
            <w:pPr>
              <w:jc w:val="right"/>
              <w:spacing w:after="0"/>
              <w:rPr>
                <w:sz w:val="20"/>
                <w:szCs w:val="20"/>
                <w:color w:val="auto"/>
              </w:rPr>
            </w:pPr>
            <w:r>
              <w:rPr>
                <w:rFonts w:ascii="Arial" w:cs="Arial" w:eastAsia="Arial" w:hAnsi="Arial"/>
                <w:sz w:val="14"/>
                <w:szCs w:val="14"/>
                <w:color w:val="060606"/>
              </w:rPr>
              <w:t>— %</w:t>
            </w:r>
          </w:p>
        </w:tc>
        <w:tc>
          <w:tcPr>
            <w:tcW w:w="1020" w:type="dxa"/>
            <w:vAlign w:val="bottom"/>
            <w:gridSpan w:val="2"/>
          </w:tcPr>
          <w:p>
            <w:pPr>
              <w:jc w:val="right"/>
              <w:spacing w:after="0"/>
              <w:rPr>
                <w:sz w:val="20"/>
                <w:szCs w:val="20"/>
                <w:color w:val="auto"/>
              </w:rPr>
            </w:pPr>
            <w:r>
              <w:rPr>
                <w:rFonts w:ascii="Arial" w:cs="Arial" w:eastAsia="Arial" w:hAnsi="Arial"/>
                <w:sz w:val="14"/>
                <w:szCs w:val="14"/>
                <w:color w:val="060606"/>
              </w:rPr>
              <w:t>0.3 %</w:t>
            </w:r>
          </w:p>
        </w:tc>
        <w:tc>
          <w:tcPr>
            <w:tcW w:w="980" w:type="dxa"/>
            <w:vAlign w:val="bottom"/>
          </w:tcPr>
          <w:p>
            <w:pPr>
              <w:jc w:val="right"/>
              <w:spacing w:after="0"/>
              <w:rPr>
                <w:sz w:val="20"/>
                <w:szCs w:val="20"/>
                <w:color w:val="auto"/>
              </w:rPr>
            </w:pPr>
            <w:r>
              <w:rPr>
                <w:rFonts w:ascii="Arial" w:cs="Arial" w:eastAsia="Arial" w:hAnsi="Arial"/>
                <w:sz w:val="14"/>
                <w:szCs w:val="14"/>
                <w:color w:val="060606"/>
              </w:rPr>
              <w:t>— %</w:t>
            </w:r>
          </w:p>
        </w:tc>
        <w:tc>
          <w:tcPr>
            <w:tcW w:w="960" w:type="dxa"/>
            <w:vAlign w:val="bottom"/>
          </w:tcPr>
          <w:p>
            <w:pPr>
              <w:jc w:val="right"/>
              <w:spacing w:after="0"/>
              <w:rPr>
                <w:sz w:val="20"/>
                <w:szCs w:val="20"/>
                <w:color w:val="auto"/>
              </w:rPr>
            </w:pPr>
            <w:r>
              <w:rPr>
                <w:rFonts w:ascii="Arial" w:cs="Arial" w:eastAsia="Arial" w:hAnsi="Arial"/>
                <w:sz w:val="14"/>
                <w:szCs w:val="14"/>
                <w:color w:val="060606"/>
              </w:rPr>
              <w:t>0.2 %</w:t>
            </w:r>
          </w:p>
        </w:tc>
        <w:tc>
          <w:tcPr>
            <w:tcW w:w="940" w:type="dxa"/>
            <w:vAlign w:val="bottom"/>
            <w:gridSpan w:val="2"/>
          </w:tcPr>
          <w:p>
            <w:pPr>
              <w:ind w:left="620"/>
              <w:spacing w:after="0"/>
              <w:rPr>
                <w:sz w:val="20"/>
                <w:szCs w:val="20"/>
                <w:color w:val="auto"/>
              </w:rPr>
            </w:pPr>
            <w:r>
              <w:rPr>
                <w:rFonts w:ascii="Arial" w:cs="Arial" w:eastAsia="Arial" w:hAnsi="Arial"/>
                <w:sz w:val="14"/>
                <w:szCs w:val="14"/>
                <w:color w:val="060606"/>
                <w:w w:val="98"/>
              </w:rPr>
              <w:t>— %</w:t>
            </w:r>
          </w:p>
        </w:tc>
        <w:tc>
          <w:tcPr>
            <w:tcW w:w="880" w:type="dxa"/>
            <w:vAlign w:val="bottom"/>
          </w:tcPr>
          <w:p>
            <w:pPr>
              <w:jc w:val="right"/>
              <w:spacing w:after="0"/>
              <w:rPr>
                <w:sz w:val="20"/>
                <w:szCs w:val="20"/>
                <w:color w:val="auto"/>
              </w:rPr>
            </w:pPr>
            <w:r>
              <w:rPr>
                <w:rFonts w:ascii="Arial" w:cs="Arial" w:eastAsia="Arial" w:hAnsi="Arial"/>
                <w:sz w:val="14"/>
                <w:szCs w:val="14"/>
                <w:color w:val="060606"/>
              </w:rPr>
              <w:t>69.6 %</w:t>
            </w:r>
          </w:p>
        </w:tc>
        <w:tc>
          <w:tcPr>
            <w:tcW w:w="0" w:type="dxa"/>
            <w:vAlign w:val="bottom"/>
          </w:tcPr>
          <w:p>
            <w:pPr>
              <w:spacing w:after="0"/>
              <w:rPr>
                <w:sz w:val="1"/>
                <w:szCs w:val="1"/>
                <w:color w:val="auto"/>
              </w:rPr>
            </w:pPr>
          </w:p>
        </w:tc>
      </w:tr>
      <w:tr>
        <w:trPr>
          <w:trHeight w:val="216"/>
        </w:trPr>
        <w:tc>
          <w:tcPr>
            <w:tcW w:w="2780" w:type="dxa"/>
            <w:vAlign w:val="bottom"/>
          </w:tcPr>
          <w:p>
            <w:pPr>
              <w:ind w:left="20"/>
              <w:spacing w:after="0"/>
              <w:rPr>
                <w:sz w:val="20"/>
                <w:szCs w:val="20"/>
                <w:color w:val="auto"/>
              </w:rPr>
            </w:pPr>
            <w:r>
              <w:rPr>
                <w:rFonts w:ascii="Arial" w:cs="Arial" w:eastAsia="Arial" w:hAnsi="Arial"/>
                <w:sz w:val="14"/>
                <w:szCs w:val="14"/>
                <w:color w:val="060606"/>
              </w:rPr>
              <w:t>Selling, general, and administrative</w:t>
            </w:r>
          </w:p>
        </w:tc>
        <w:tc>
          <w:tcPr>
            <w:tcW w:w="900" w:type="dxa"/>
            <w:vAlign w:val="bottom"/>
          </w:tcPr>
          <w:p>
            <w:pPr>
              <w:jc w:val="right"/>
              <w:ind w:right="111"/>
              <w:spacing w:after="0"/>
              <w:rPr>
                <w:sz w:val="20"/>
                <w:szCs w:val="20"/>
                <w:color w:val="auto"/>
              </w:rPr>
            </w:pPr>
            <w:r>
              <w:rPr>
                <w:rFonts w:ascii="Arial" w:cs="Arial" w:eastAsia="Arial" w:hAnsi="Arial"/>
                <w:sz w:val="14"/>
                <w:szCs w:val="14"/>
                <w:color w:val="060606"/>
              </w:rPr>
              <w:t>456.6</w:t>
            </w:r>
          </w:p>
        </w:tc>
        <w:tc>
          <w:tcPr>
            <w:tcW w:w="980" w:type="dxa"/>
            <w:vAlign w:val="bottom"/>
          </w:tcPr>
          <w:p>
            <w:pPr>
              <w:jc w:val="right"/>
              <w:ind w:right="91"/>
              <w:spacing w:after="0"/>
              <w:rPr>
                <w:sz w:val="20"/>
                <w:szCs w:val="20"/>
                <w:color w:val="auto"/>
              </w:rPr>
            </w:pPr>
            <w:r>
              <w:rPr>
                <w:rFonts w:ascii="Arial" w:cs="Arial" w:eastAsia="Arial" w:hAnsi="Arial"/>
                <w:sz w:val="14"/>
                <w:szCs w:val="14"/>
                <w:color w:val="060606"/>
              </w:rPr>
              <w:t>(7.8)</w:t>
            </w:r>
          </w:p>
        </w:tc>
        <w:tc>
          <w:tcPr>
            <w:tcW w:w="880" w:type="dxa"/>
            <w:vAlign w:val="bottom"/>
          </w:tcPr>
          <w:p>
            <w:pPr>
              <w:ind w:left="520"/>
              <w:spacing w:after="0"/>
              <w:rPr>
                <w:sz w:val="20"/>
                <w:szCs w:val="20"/>
                <w:color w:val="auto"/>
              </w:rPr>
            </w:pPr>
            <w:r>
              <w:rPr>
                <w:rFonts w:ascii="Arial" w:cs="Arial" w:eastAsia="Arial" w:hAnsi="Arial"/>
                <w:sz w:val="14"/>
                <w:szCs w:val="14"/>
                <w:color w:val="060606"/>
              </w:rPr>
              <w:t>—</w:t>
            </w:r>
          </w:p>
        </w:tc>
        <w:tc>
          <w:tcPr>
            <w:tcW w:w="920" w:type="dxa"/>
            <w:vAlign w:val="bottom"/>
          </w:tcPr>
          <w:p>
            <w:pPr>
              <w:jc w:val="right"/>
              <w:ind w:right="131"/>
              <w:spacing w:after="0"/>
              <w:rPr>
                <w:sz w:val="20"/>
                <w:szCs w:val="20"/>
                <w:color w:val="auto"/>
              </w:rPr>
            </w:pPr>
            <w:r>
              <w:rPr>
                <w:rFonts w:ascii="Arial" w:cs="Arial" w:eastAsia="Arial" w:hAnsi="Arial"/>
                <w:sz w:val="14"/>
                <w:szCs w:val="14"/>
                <w:color w:val="060606"/>
              </w:rPr>
              <w:t>—</w:t>
            </w:r>
          </w:p>
        </w:tc>
        <w:tc>
          <w:tcPr>
            <w:tcW w:w="840" w:type="dxa"/>
            <w:vAlign w:val="bottom"/>
          </w:tcPr>
          <w:p>
            <w:pPr>
              <w:jc w:val="right"/>
              <w:spacing w:after="0"/>
              <w:rPr>
                <w:sz w:val="20"/>
                <w:szCs w:val="20"/>
                <w:color w:val="auto"/>
              </w:rPr>
            </w:pPr>
            <w:r>
              <w:rPr>
                <w:rFonts w:ascii="Arial" w:cs="Arial" w:eastAsia="Arial" w:hAnsi="Arial"/>
                <w:sz w:val="14"/>
                <w:szCs w:val="14"/>
                <w:color w:val="060606"/>
              </w:rPr>
              <w:t>—</w:t>
            </w:r>
          </w:p>
        </w:tc>
        <w:tc>
          <w:tcPr>
            <w:tcW w:w="180" w:type="dxa"/>
            <w:vAlign w:val="bottom"/>
          </w:tcPr>
          <w:p>
            <w:pPr>
              <w:spacing w:after="0"/>
              <w:rPr>
                <w:sz w:val="18"/>
                <w:szCs w:val="18"/>
                <w:color w:val="auto"/>
              </w:rPr>
            </w:pPr>
          </w:p>
        </w:tc>
        <w:tc>
          <w:tcPr>
            <w:tcW w:w="980" w:type="dxa"/>
            <w:vAlign w:val="bottom"/>
          </w:tcPr>
          <w:p>
            <w:pPr>
              <w:jc w:val="right"/>
              <w:ind w:right="111"/>
              <w:spacing w:after="0"/>
              <w:rPr>
                <w:sz w:val="20"/>
                <w:szCs w:val="20"/>
                <w:color w:val="auto"/>
              </w:rPr>
            </w:pPr>
            <w:r>
              <w:rPr>
                <w:rFonts w:ascii="Arial" w:cs="Arial" w:eastAsia="Arial" w:hAnsi="Arial"/>
                <w:sz w:val="14"/>
                <w:szCs w:val="14"/>
                <w:color w:val="060606"/>
              </w:rPr>
              <w:t>(17.3)</w:t>
            </w:r>
          </w:p>
        </w:tc>
        <w:tc>
          <w:tcPr>
            <w:tcW w:w="960" w:type="dxa"/>
            <w:vAlign w:val="bottom"/>
          </w:tcPr>
          <w:p>
            <w:pPr>
              <w:jc w:val="right"/>
              <w:ind w:right="91"/>
              <w:spacing w:after="0"/>
              <w:rPr>
                <w:sz w:val="20"/>
                <w:szCs w:val="20"/>
                <w:color w:val="auto"/>
              </w:rPr>
            </w:pPr>
            <w:r>
              <w:rPr>
                <w:rFonts w:ascii="Arial" w:cs="Arial" w:eastAsia="Arial" w:hAnsi="Arial"/>
                <w:sz w:val="14"/>
                <w:szCs w:val="14"/>
                <w:color w:val="060606"/>
              </w:rPr>
              <w:t>(30.2)</w:t>
            </w:r>
          </w:p>
        </w:tc>
        <w:tc>
          <w:tcPr>
            <w:tcW w:w="760" w:type="dxa"/>
            <w:vAlign w:val="bottom"/>
          </w:tcPr>
          <w:p>
            <w:pPr>
              <w:ind w:left="620"/>
              <w:spacing w:after="0"/>
              <w:rPr>
                <w:sz w:val="20"/>
                <w:szCs w:val="20"/>
                <w:color w:val="auto"/>
              </w:rPr>
            </w:pPr>
            <w:r>
              <w:rPr>
                <w:rFonts w:ascii="Arial" w:cs="Arial" w:eastAsia="Arial" w:hAnsi="Arial"/>
                <w:sz w:val="14"/>
                <w:szCs w:val="14"/>
                <w:color w:val="060606"/>
                <w:w w:val="85"/>
              </w:rPr>
              <w:t>—</w:t>
            </w:r>
          </w:p>
        </w:tc>
        <w:tc>
          <w:tcPr>
            <w:tcW w:w="180" w:type="dxa"/>
            <w:vAlign w:val="bottom"/>
          </w:tcPr>
          <w:p>
            <w:pPr>
              <w:spacing w:after="0"/>
              <w:rPr>
                <w:sz w:val="18"/>
                <w:szCs w:val="18"/>
                <w:color w:val="auto"/>
              </w:rPr>
            </w:pPr>
          </w:p>
        </w:tc>
        <w:tc>
          <w:tcPr>
            <w:tcW w:w="880" w:type="dxa"/>
            <w:vAlign w:val="bottom"/>
          </w:tcPr>
          <w:p>
            <w:pPr>
              <w:jc w:val="right"/>
              <w:ind w:right="111"/>
              <w:spacing w:after="0"/>
              <w:rPr>
                <w:sz w:val="20"/>
                <w:szCs w:val="20"/>
                <w:color w:val="auto"/>
              </w:rPr>
            </w:pPr>
            <w:r>
              <w:rPr>
                <w:rFonts w:ascii="Arial" w:cs="Arial" w:eastAsia="Arial" w:hAnsi="Arial"/>
                <w:sz w:val="14"/>
                <w:szCs w:val="14"/>
                <w:color w:val="060606"/>
              </w:rPr>
              <w:t>401.3</w:t>
            </w:r>
          </w:p>
        </w:tc>
        <w:tc>
          <w:tcPr>
            <w:tcW w:w="0" w:type="dxa"/>
            <w:vAlign w:val="bottom"/>
          </w:tcPr>
          <w:p>
            <w:pPr>
              <w:spacing w:after="0"/>
              <w:rPr>
                <w:sz w:val="1"/>
                <w:szCs w:val="1"/>
                <w:color w:val="auto"/>
              </w:rPr>
            </w:pPr>
          </w:p>
        </w:tc>
      </w:tr>
      <w:tr>
        <w:trPr>
          <w:trHeight w:val="174"/>
        </w:trPr>
        <w:tc>
          <w:tcPr>
            <w:tcW w:w="2780" w:type="dxa"/>
            <w:vAlign w:val="bottom"/>
          </w:tcPr>
          <w:p>
            <w:pPr>
              <w:ind w:left="20"/>
              <w:spacing w:after="0"/>
              <w:rPr>
                <w:sz w:val="20"/>
                <w:szCs w:val="20"/>
                <w:color w:val="auto"/>
              </w:rPr>
            </w:pPr>
            <w:r>
              <w:rPr>
                <w:rFonts w:ascii="Arial" w:cs="Arial" w:eastAsia="Arial" w:hAnsi="Arial"/>
                <w:sz w:val="14"/>
                <w:szCs w:val="14"/>
                <w:color w:val="060606"/>
              </w:rPr>
              <w:t>Selling, general, and administrative as a</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060606"/>
              </w:rPr>
              <w:t>39.8 %</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060606"/>
              </w:rPr>
              <w:t>(0.7)%</w:t>
            </w:r>
          </w:p>
        </w:tc>
        <w:tc>
          <w:tcPr>
            <w:tcW w:w="880" w:type="dxa"/>
            <w:vAlign w:val="bottom"/>
            <w:vMerge w:val="restart"/>
          </w:tcPr>
          <w:p>
            <w:pPr>
              <w:ind w:left="520"/>
              <w:spacing w:after="0"/>
              <w:rPr>
                <w:sz w:val="20"/>
                <w:szCs w:val="20"/>
                <w:color w:val="auto"/>
              </w:rPr>
            </w:pPr>
            <w:r>
              <w:rPr>
                <w:rFonts w:ascii="Arial" w:cs="Arial" w:eastAsia="Arial" w:hAnsi="Arial"/>
                <w:sz w:val="14"/>
                <w:szCs w:val="14"/>
                <w:color w:val="060606"/>
              </w:rPr>
              <w:t>— %</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060606"/>
              </w:rPr>
              <w:t>— %</w:t>
            </w:r>
          </w:p>
        </w:tc>
        <w:tc>
          <w:tcPr>
            <w:tcW w:w="1020" w:type="dxa"/>
            <w:vAlign w:val="bottom"/>
            <w:gridSpan w:val="2"/>
            <w:vMerge w:val="restart"/>
          </w:tcPr>
          <w:p>
            <w:pPr>
              <w:jc w:val="right"/>
              <w:spacing w:after="0"/>
              <w:rPr>
                <w:sz w:val="20"/>
                <w:szCs w:val="20"/>
                <w:color w:val="auto"/>
              </w:rPr>
            </w:pPr>
            <w:r>
              <w:rPr>
                <w:rFonts w:ascii="Arial" w:cs="Arial" w:eastAsia="Arial" w:hAnsi="Arial"/>
                <w:sz w:val="14"/>
                <w:szCs w:val="14"/>
                <w:color w:val="060606"/>
              </w:rPr>
              <w:t>— %</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060606"/>
              </w:rPr>
              <w:t>(1.5)%</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060606"/>
              </w:rPr>
              <w:t>(2.6)%</w:t>
            </w:r>
          </w:p>
        </w:tc>
        <w:tc>
          <w:tcPr>
            <w:tcW w:w="940" w:type="dxa"/>
            <w:vAlign w:val="bottom"/>
            <w:gridSpan w:val="2"/>
            <w:vMerge w:val="restart"/>
          </w:tcPr>
          <w:p>
            <w:pPr>
              <w:ind w:left="620"/>
              <w:spacing w:after="0"/>
              <w:rPr>
                <w:sz w:val="20"/>
                <w:szCs w:val="20"/>
                <w:color w:val="auto"/>
              </w:rPr>
            </w:pPr>
            <w:r>
              <w:rPr>
                <w:rFonts w:ascii="Arial" w:cs="Arial" w:eastAsia="Arial" w:hAnsi="Arial"/>
                <w:sz w:val="14"/>
                <w:szCs w:val="14"/>
                <w:color w:val="060606"/>
                <w:w w:val="98"/>
              </w:rPr>
              <w:t>— %</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060606"/>
              </w:rPr>
              <w:t>35.0 %</w:t>
            </w:r>
          </w:p>
        </w:tc>
        <w:tc>
          <w:tcPr>
            <w:tcW w:w="0" w:type="dxa"/>
            <w:vAlign w:val="bottom"/>
          </w:tcPr>
          <w:p>
            <w:pPr>
              <w:spacing w:after="0"/>
              <w:rPr>
                <w:sz w:val="1"/>
                <w:szCs w:val="1"/>
                <w:color w:val="auto"/>
              </w:rPr>
            </w:pPr>
          </w:p>
        </w:tc>
      </w:tr>
      <w:tr>
        <w:trPr>
          <w:trHeight w:val="190"/>
        </w:trPr>
        <w:tc>
          <w:tcPr>
            <w:tcW w:w="2780" w:type="dxa"/>
            <w:vAlign w:val="bottom"/>
          </w:tcPr>
          <w:p>
            <w:pPr>
              <w:ind w:left="20"/>
              <w:spacing w:after="0"/>
              <w:rPr>
                <w:sz w:val="20"/>
                <w:szCs w:val="20"/>
                <w:color w:val="auto"/>
              </w:rPr>
            </w:pPr>
            <w:r>
              <w:rPr>
                <w:rFonts w:ascii="Arial" w:cs="Arial" w:eastAsia="Arial" w:hAnsi="Arial"/>
                <w:sz w:val="14"/>
                <w:szCs w:val="14"/>
                <w:color w:val="060606"/>
              </w:rPr>
              <w:t>percent of net revenue</w:t>
            </w:r>
          </w:p>
        </w:tc>
        <w:tc>
          <w:tcPr>
            <w:tcW w:w="90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780" w:type="dxa"/>
            <w:vAlign w:val="bottom"/>
          </w:tcPr>
          <w:p>
            <w:pPr>
              <w:ind w:left="20"/>
              <w:spacing w:after="0"/>
              <w:rPr>
                <w:sz w:val="20"/>
                <w:szCs w:val="20"/>
                <w:color w:val="auto"/>
              </w:rPr>
            </w:pPr>
            <w:r>
              <w:rPr>
                <w:rFonts w:ascii="Arial" w:cs="Arial" w:eastAsia="Arial" w:hAnsi="Arial"/>
                <w:sz w:val="14"/>
                <w:szCs w:val="14"/>
                <w:color w:val="060606"/>
              </w:rPr>
              <w:t>Research and development</w:t>
            </w:r>
          </w:p>
        </w:tc>
        <w:tc>
          <w:tcPr>
            <w:tcW w:w="900" w:type="dxa"/>
            <w:vAlign w:val="bottom"/>
          </w:tcPr>
          <w:p>
            <w:pPr>
              <w:jc w:val="right"/>
              <w:ind w:right="111"/>
              <w:spacing w:after="0"/>
              <w:rPr>
                <w:sz w:val="20"/>
                <w:szCs w:val="20"/>
                <w:color w:val="auto"/>
              </w:rPr>
            </w:pPr>
            <w:r>
              <w:rPr>
                <w:rFonts w:ascii="Arial" w:cs="Arial" w:eastAsia="Arial" w:hAnsi="Arial"/>
                <w:sz w:val="14"/>
                <w:szCs w:val="14"/>
                <w:color w:val="060606"/>
              </w:rPr>
              <w:t>160.0</w:t>
            </w:r>
          </w:p>
        </w:tc>
        <w:tc>
          <w:tcPr>
            <w:tcW w:w="980" w:type="dxa"/>
            <w:vAlign w:val="bottom"/>
          </w:tcPr>
          <w:p>
            <w:pPr>
              <w:jc w:val="right"/>
              <w:ind w:right="131"/>
              <w:spacing w:after="0"/>
              <w:rPr>
                <w:sz w:val="20"/>
                <w:szCs w:val="20"/>
                <w:color w:val="auto"/>
              </w:rPr>
            </w:pPr>
            <w:r>
              <w:rPr>
                <w:rFonts w:ascii="Arial" w:cs="Arial" w:eastAsia="Arial" w:hAnsi="Arial"/>
                <w:sz w:val="14"/>
                <w:szCs w:val="14"/>
                <w:color w:val="060606"/>
              </w:rPr>
              <w:t>0.1</w:t>
            </w:r>
          </w:p>
        </w:tc>
        <w:tc>
          <w:tcPr>
            <w:tcW w:w="880" w:type="dxa"/>
            <w:vAlign w:val="bottom"/>
          </w:tcPr>
          <w:p>
            <w:pPr>
              <w:ind w:left="520"/>
              <w:spacing w:after="0"/>
              <w:rPr>
                <w:sz w:val="20"/>
                <w:szCs w:val="20"/>
                <w:color w:val="auto"/>
              </w:rPr>
            </w:pPr>
            <w:r>
              <w:rPr>
                <w:rFonts w:ascii="Arial" w:cs="Arial" w:eastAsia="Arial" w:hAnsi="Arial"/>
                <w:sz w:val="14"/>
                <w:szCs w:val="14"/>
                <w:color w:val="060606"/>
              </w:rPr>
              <w:t>—</w:t>
            </w:r>
          </w:p>
        </w:tc>
        <w:tc>
          <w:tcPr>
            <w:tcW w:w="920" w:type="dxa"/>
            <w:vAlign w:val="bottom"/>
          </w:tcPr>
          <w:p>
            <w:pPr>
              <w:jc w:val="right"/>
              <w:ind w:right="131"/>
              <w:spacing w:after="0"/>
              <w:rPr>
                <w:sz w:val="20"/>
                <w:szCs w:val="20"/>
                <w:color w:val="auto"/>
              </w:rPr>
            </w:pPr>
            <w:r>
              <w:rPr>
                <w:rFonts w:ascii="Arial" w:cs="Arial" w:eastAsia="Arial" w:hAnsi="Arial"/>
                <w:sz w:val="14"/>
                <w:szCs w:val="14"/>
                <w:color w:val="060606"/>
              </w:rPr>
              <w:t>—</w:t>
            </w:r>
          </w:p>
        </w:tc>
        <w:tc>
          <w:tcPr>
            <w:tcW w:w="1020" w:type="dxa"/>
            <w:vAlign w:val="bottom"/>
            <w:gridSpan w:val="2"/>
          </w:tcPr>
          <w:p>
            <w:pPr>
              <w:jc w:val="right"/>
              <w:ind w:right="119"/>
              <w:spacing w:after="0"/>
              <w:rPr>
                <w:sz w:val="20"/>
                <w:szCs w:val="20"/>
                <w:color w:val="auto"/>
              </w:rPr>
            </w:pPr>
            <w:r>
              <w:rPr>
                <w:rFonts w:ascii="Arial" w:cs="Arial" w:eastAsia="Arial" w:hAnsi="Arial"/>
                <w:sz w:val="14"/>
                <w:szCs w:val="14"/>
                <w:color w:val="060606"/>
              </w:rPr>
              <w:t>(10.4)</w:t>
            </w:r>
          </w:p>
        </w:tc>
        <w:tc>
          <w:tcPr>
            <w:tcW w:w="980" w:type="dxa"/>
            <w:vAlign w:val="bottom"/>
          </w:tcPr>
          <w:p>
            <w:pPr>
              <w:jc w:val="right"/>
              <w:ind w:right="111"/>
              <w:spacing w:after="0"/>
              <w:rPr>
                <w:sz w:val="20"/>
                <w:szCs w:val="20"/>
                <w:color w:val="auto"/>
              </w:rPr>
            </w:pPr>
            <w:r>
              <w:rPr>
                <w:rFonts w:ascii="Arial" w:cs="Arial" w:eastAsia="Arial" w:hAnsi="Arial"/>
                <w:sz w:val="14"/>
                <w:szCs w:val="14"/>
                <w:color w:val="060606"/>
              </w:rPr>
              <w:t>(0.4)</w:t>
            </w:r>
          </w:p>
        </w:tc>
        <w:tc>
          <w:tcPr>
            <w:tcW w:w="960" w:type="dxa"/>
            <w:vAlign w:val="bottom"/>
          </w:tcPr>
          <w:p>
            <w:pPr>
              <w:jc w:val="right"/>
              <w:ind w:right="91"/>
              <w:spacing w:after="0"/>
              <w:rPr>
                <w:sz w:val="20"/>
                <w:szCs w:val="20"/>
                <w:color w:val="auto"/>
              </w:rPr>
            </w:pPr>
            <w:r>
              <w:rPr>
                <w:rFonts w:ascii="Arial" w:cs="Arial" w:eastAsia="Arial" w:hAnsi="Arial"/>
                <w:sz w:val="14"/>
                <w:szCs w:val="14"/>
                <w:color w:val="060606"/>
              </w:rPr>
              <w:t>(7.6)</w:t>
            </w:r>
          </w:p>
        </w:tc>
        <w:tc>
          <w:tcPr>
            <w:tcW w:w="760" w:type="dxa"/>
            <w:vAlign w:val="bottom"/>
          </w:tcPr>
          <w:p>
            <w:pPr>
              <w:ind w:left="620"/>
              <w:spacing w:after="0"/>
              <w:rPr>
                <w:sz w:val="20"/>
                <w:szCs w:val="20"/>
                <w:color w:val="auto"/>
              </w:rPr>
            </w:pPr>
            <w:r>
              <w:rPr>
                <w:rFonts w:ascii="Arial" w:cs="Arial" w:eastAsia="Arial" w:hAnsi="Arial"/>
                <w:sz w:val="14"/>
                <w:szCs w:val="14"/>
                <w:color w:val="060606"/>
                <w:w w:val="85"/>
              </w:rPr>
              <w:t>—</w:t>
            </w:r>
          </w:p>
        </w:tc>
        <w:tc>
          <w:tcPr>
            <w:tcW w:w="180" w:type="dxa"/>
            <w:vAlign w:val="bottom"/>
          </w:tcPr>
          <w:p>
            <w:pPr>
              <w:spacing w:after="0"/>
              <w:rPr>
                <w:sz w:val="17"/>
                <w:szCs w:val="17"/>
                <w:color w:val="auto"/>
              </w:rPr>
            </w:pPr>
          </w:p>
        </w:tc>
        <w:tc>
          <w:tcPr>
            <w:tcW w:w="880" w:type="dxa"/>
            <w:vAlign w:val="bottom"/>
          </w:tcPr>
          <w:p>
            <w:pPr>
              <w:jc w:val="right"/>
              <w:ind w:right="111"/>
              <w:spacing w:after="0"/>
              <w:rPr>
                <w:sz w:val="20"/>
                <w:szCs w:val="20"/>
                <w:color w:val="auto"/>
              </w:rPr>
            </w:pPr>
            <w:r>
              <w:rPr>
                <w:rFonts w:ascii="Arial" w:cs="Arial" w:eastAsia="Arial" w:hAnsi="Arial"/>
                <w:sz w:val="14"/>
                <w:szCs w:val="14"/>
                <w:color w:val="060606"/>
              </w:rPr>
              <w:t>141.8</w:t>
            </w:r>
          </w:p>
        </w:tc>
        <w:tc>
          <w:tcPr>
            <w:tcW w:w="0" w:type="dxa"/>
            <w:vAlign w:val="bottom"/>
          </w:tcPr>
          <w:p>
            <w:pPr>
              <w:spacing w:after="0"/>
              <w:rPr>
                <w:sz w:val="1"/>
                <w:szCs w:val="1"/>
                <w:color w:val="auto"/>
              </w:rPr>
            </w:pPr>
          </w:p>
        </w:tc>
      </w:tr>
      <w:tr>
        <w:trPr>
          <w:trHeight w:val="174"/>
        </w:trPr>
        <w:tc>
          <w:tcPr>
            <w:tcW w:w="2780" w:type="dxa"/>
            <w:vAlign w:val="bottom"/>
          </w:tcPr>
          <w:p>
            <w:pPr>
              <w:ind w:left="20"/>
              <w:spacing w:after="0"/>
              <w:rPr>
                <w:sz w:val="20"/>
                <w:szCs w:val="20"/>
                <w:color w:val="auto"/>
              </w:rPr>
            </w:pPr>
            <w:r>
              <w:rPr>
                <w:rFonts w:ascii="Arial" w:cs="Arial" w:eastAsia="Arial" w:hAnsi="Arial"/>
                <w:sz w:val="14"/>
                <w:szCs w:val="14"/>
                <w:color w:val="060606"/>
              </w:rPr>
              <w:t>Research and development as a percent</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060606"/>
              </w:rPr>
              <w:t>14.0 %</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060606"/>
              </w:rPr>
              <w:t>— %</w:t>
            </w:r>
          </w:p>
        </w:tc>
        <w:tc>
          <w:tcPr>
            <w:tcW w:w="880" w:type="dxa"/>
            <w:vAlign w:val="bottom"/>
            <w:vMerge w:val="restart"/>
          </w:tcPr>
          <w:p>
            <w:pPr>
              <w:ind w:left="520"/>
              <w:spacing w:after="0"/>
              <w:rPr>
                <w:sz w:val="20"/>
                <w:szCs w:val="20"/>
                <w:color w:val="auto"/>
              </w:rPr>
            </w:pPr>
            <w:r>
              <w:rPr>
                <w:rFonts w:ascii="Arial" w:cs="Arial" w:eastAsia="Arial" w:hAnsi="Arial"/>
                <w:sz w:val="14"/>
                <w:szCs w:val="14"/>
                <w:color w:val="060606"/>
              </w:rPr>
              <w:t>— %</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060606"/>
              </w:rPr>
              <w:t>— %</w:t>
            </w:r>
          </w:p>
        </w:tc>
        <w:tc>
          <w:tcPr>
            <w:tcW w:w="1020" w:type="dxa"/>
            <w:vAlign w:val="bottom"/>
            <w:gridSpan w:val="2"/>
            <w:vMerge w:val="restart"/>
          </w:tcPr>
          <w:p>
            <w:pPr>
              <w:jc w:val="right"/>
              <w:spacing w:after="0"/>
              <w:rPr>
                <w:sz w:val="20"/>
                <w:szCs w:val="20"/>
                <w:color w:val="auto"/>
              </w:rPr>
            </w:pPr>
            <w:r>
              <w:rPr>
                <w:rFonts w:ascii="Arial" w:cs="Arial" w:eastAsia="Arial" w:hAnsi="Arial"/>
                <w:sz w:val="14"/>
                <w:szCs w:val="14"/>
                <w:color w:val="060606"/>
              </w:rPr>
              <w:t>(0.9)%</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060606"/>
              </w:rPr>
              <w:t>— %</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060606"/>
              </w:rPr>
              <w:t>(0.7)%</w:t>
            </w:r>
          </w:p>
        </w:tc>
        <w:tc>
          <w:tcPr>
            <w:tcW w:w="940" w:type="dxa"/>
            <w:vAlign w:val="bottom"/>
            <w:gridSpan w:val="2"/>
            <w:vMerge w:val="restart"/>
          </w:tcPr>
          <w:p>
            <w:pPr>
              <w:ind w:left="620"/>
              <w:spacing w:after="0"/>
              <w:rPr>
                <w:sz w:val="20"/>
                <w:szCs w:val="20"/>
                <w:color w:val="auto"/>
              </w:rPr>
            </w:pPr>
            <w:r>
              <w:rPr>
                <w:rFonts w:ascii="Arial" w:cs="Arial" w:eastAsia="Arial" w:hAnsi="Arial"/>
                <w:sz w:val="14"/>
                <w:szCs w:val="14"/>
                <w:color w:val="060606"/>
                <w:w w:val="98"/>
              </w:rPr>
              <w:t>— %</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060606"/>
              </w:rPr>
              <w:t>12.4 %</w:t>
            </w:r>
          </w:p>
        </w:tc>
        <w:tc>
          <w:tcPr>
            <w:tcW w:w="0" w:type="dxa"/>
            <w:vAlign w:val="bottom"/>
          </w:tcPr>
          <w:p>
            <w:pPr>
              <w:spacing w:after="0"/>
              <w:rPr>
                <w:sz w:val="1"/>
                <w:szCs w:val="1"/>
                <w:color w:val="auto"/>
              </w:rPr>
            </w:pPr>
          </w:p>
        </w:tc>
      </w:tr>
      <w:tr>
        <w:trPr>
          <w:trHeight w:val="190"/>
        </w:trPr>
        <w:tc>
          <w:tcPr>
            <w:tcW w:w="2780" w:type="dxa"/>
            <w:vAlign w:val="bottom"/>
          </w:tcPr>
          <w:p>
            <w:pPr>
              <w:ind w:left="20"/>
              <w:spacing w:after="0"/>
              <w:rPr>
                <w:sz w:val="20"/>
                <w:szCs w:val="20"/>
                <w:color w:val="auto"/>
              </w:rPr>
            </w:pPr>
            <w:r>
              <w:rPr>
                <w:rFonts w:ascii="Arial" w:cs="Arial" w:eastAsia="Arial" w:hAnsi="Arial"/>
                <w:sz w:val="14"/>
                <w:szCs w:val="14"/>
                <w:color w:val="060606"/>
              </w:rPr>
              <w:t>of net revenue</w:t>
            </w:r>
          </w:p>
        </w:tc>
        <w:tc>
          <w:tcPr>
            <w:tcW w:w="90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780" w:type="dxa"/>
            <w:vAlign w:val="bottom"/>
          </w:tcPr>
          <w:p>
            <w:pPr>
              <w:ind w:left="20"/>
              <w:spacing w:after="0"/>
              <w:rPr>
                <w:sz w:val="20"/>
                <w:szCs w:val="20"/>
                <w:color w:val="auto"/>
              </w:rPr>
            </w:pPr>
            <w:r>
              <w:rPr>
                <w:rFonts w:ascii="Arial" w:cs="Arial" w:eastAsia="Arial" w:hAnsi="Arial"/>
                <w:sz w:val="14"/>
                <w:szCs w:val="14"/>
                <w:color w:val="060606"/>
              </w:rPr>
              <w:t>Other operating expense</w:t>
            </w:r>
          </w:p>
        </w:tc>
        <w:tc>
          <w:tcPr>
            <w:tcW w:w="900" w:type="dxa"/>
            <w:vAlign w:val="bottom"/>
          </w:tcPr>
          <w:p>
            <w:pPr>
              <w:jc w:val="right"/>
              <w:ind w:right="111"/>
              <w:spacing w:after="0"/>
              <w:rPr>
                <w:sz w:val="20"/>
                <w:szCs w:val="20"/>
                <w:color w:val="auto"/>
              </w:rPr>
            </w:pPr>
            <w:r>
              <w:rPr>
                <w:rFonts w:ascii="Arial" w:cs="Arial" w:eastAsia="Arial" w:hAnsi="Arial"/>
                <w:sz w:val="14"/>
                <w:szCs w:val="14"/>
                <w:color w:val="060606"/>
              </w:rPr>
              <w:t>46.4</w:t>
            </w:r>
          </w:p>
        </w:tc>
        <w:tc>
          <w:tcPr>
            <w:tcW w:w="980" w:type="dxa"/>
            <w:vAlign w:val="bottom"/>
          </w:tcPr>
          <w:p>
            <w:pPr>
              <w:jc w:val="right"/>
              <w:ind w:right="131"/>
              <w:spacing w:after="0"/>
              <w:rPr>
                <w:sz w:val="20"/>
                <w:szCs w:val="20"/>
                <w:color w:val="auto"/>
              </w:rPr>
            </w:pPr>
            <w:r>
              <w:rPr>
                <w:rFonts w:ascii="Arial" w:cs="Arial" w:eastAsia="Arial" w:hAnsi="Arial"/>
                <w:sz w:val="14"/>
                <w:szCs w:val="14"/>
                <w:color w:val="060606"/>
              </w:rPr>
              <w:t>—</w:t>
            </w:r>
          </w:p>
        </w:tc>
        <w:tc>
          <w:tcPr>
            <w:tcW w:w="880" w:type="dxa"/>
            <w:vAlign w:val="bottom"/>
          </w:tcPr>
          <w:p>
            <w:pPr>
              <w:ind w:left="520"/>
              <w:spacing w:after="0"/>
              <w:rPr>
                <w:sz w:val="20"/>
                <w:szCs w:val="20"/>
                <w:color w:val="auto"/>
              </w:rPr>
            </w:pPr>
            <w:r>
              <w:rPr>
                <w:rFonts w:ascii="Arial" w:cs="Arial" w:eastAsia="Arial" w:hAnsi="Arial"/>
                <w:sz w:val="14"/>
                <w:szCs w:val="14"/>
                <w:color w:val="060606"/>
              </w:rPr>
              <w:t>—</w:t>
            </w:r>
          </w:p>
        </w:tc>
        <w:tc>
          <w:tcPr>
            <w:tcW w:w="920" w:type="dxa"/>
            <w:vAlign w:val="bottom"/>
          </w:tcPr>
          <w:p>
            <w:pPr>
              <w:jc w:val="right"/>
              <w:ind w:right="131"/>
              <w:spacing w:after="0"/>
              <w:rPr>
                <w:sz w:val="20"/>
                <w:szCs w:val="20"/>
                <w:color w:val="auto"/>
              </w:rPr>
            </w:pPr>
            <w:r>
              <w:rPr>
                <w:rFonts w:ascii="Arial" w:cs="Arial" w:eastAsia="Arial" w:hAnsi="Arial"/>
                <w:sz w:val="14"/>
                <w:szCs w:val="14"/>
                <w:color w:val="060606"/>
              </w:rPr>
              <w:t>—</w:t>
            </w:r>
          </w:p>
        </w:tc>
        <w:tc>
          <w:tcPr>
            <w:tcW w:w="840" w:type="dxa"/>
            <w:vAlign w:val="bottom"/>
          </w:tcPr>
          <w:p>
            <w:pPr>
              <w:jc w:val="right"/>
              <w:spacing w:after="0"/>
              <w:rPr>
                <w:sz w:val="20"/>
                <w:szCs w:val="20"/>
                <w:color w:val="auto"/>
              </w:rPr>
            </w:pPr>
            <w:r>
              <w:rPr>
                <w:rFonts w:ascii="Arial" w:cs="Arial" w:eastAsia="Arial" w:hAnsi="Arial"/>
                <w:sz w:val="14"/>
                <w:szCs w:val="14"/>
                <w:color w:val="060606"/>
              </w:rPr>
              <w:t>—</w:t>
            </w:r>
          </w:p>
        </w:tc>
        <w:tc>
          <w:tcPr>
            <w:tcW w:w="180" w:type="dxa"/>
            <w:vAlign w:val="bottom"/>
          </w:tcPr>
          <w:p>
            <w:pPr>
              <w:spacing w:after="0"/>
              <w:rPr>
                <w:sz w:val="17"/>
                <w:szCs w:val="17"/>
                <w:color w:val="auto"/>
              </w:rPr>
            </w:pPr>
          </w:p>
        </w:tc>
        <w:tc>
          <w:tcPr>
            <w:tcW w:w="980" w:type="dxa"/>
            <w:vAlign w:val="bottom"/>
          </w:tcPr>
          <w:p>
            <w:pPr>
              <w:jc w:val="right"/>
              <w:ind w:right="111"/>
              <w:spacing w:after="0"/>
              <w:rPr>
                <w:sz w:val="20"/>
                <w:szCs w:val="20"/>
                <w:color w:val="auto"/>
              </w:rPr>
            </w:pPr>
            <w:r>
              <w:rPr>
                <w:rFonts w:ascii="Arial" w:cs="Arial" w:eastAsia="Arial" w:hAnsi="Arial"/>
                <w:sz w:val="14"/>
                <w:szCs w:val="14"/>
                <w:color w:val="060606"/>
              </w:rPr>
              <w:t>(46.4)</w:t>
            </w:r>
          </w:p>
        </w:tc>
        <w:tc>
          <w:tcPr>
            <w:tcW w:w="960" w:type="dxa"/>
            <w:vAlign w:val="bottom"/>
          </w:tcPr>
          <w:p>
            <w:pPr>
              <w:jc w:val="right"/>
              <w:ind w:right="131"/>
              <w:spacing w:after="0"/>
              <w:rPr>
                <w:sz w:val="20"/>
                <w:szCs w:val="20"/>
                <w:color w:val="auto"/>
              </w:rPr>
            </w:pPr>
            <w:r>
              <w:rPr>
                <w:rFonts w:ascii="Arial" w:cs="Arial" w:eastAsia="Arial" w:hAnsi="Arial"/>
                <w:sz w:val="14"/>
                <w:szCs w:val="14"/>
                <w:color w:val="060606"/>
              </w:rPr>
              <w:t>—</w:t>
            </w:r>
          </w:p>
        </w:tc>
        <w:tc>
          <w:tcPr>
            <w:tcW w:w="760" w:type="dxa"/>
            <w:vAlign w:val="bottom"/>
          </w:tcPr>
          <w:p>
            <w:pPr>
              <w:ind w:left="620"/>
              <w:spacing w:after="0"/>
              <w:rPr>
                <w:sz w:val="20"/>
                <w:szCs w:val="20"/>
                <w:color w:val="auto"/>
              </w:rPr>
            </w:pPr>
            <w:r>
              <w:rPr>
                <w:rFonts w:ascii="Arial" w:cs="Arial" w:eastAsia="Arial" w:hAnsi="Arial"/>
                <w:sz w:val="14"/>
                <w:szCs w:val="14"/>
                <w:color w:val="060606"/>
                <w:w w:val="85"/>
              </w:rPr>
              <w:t>—</w:t>
            </w:r>
          </w:p>
        </w:tc>
        <w:tc>
          <w:tcPr>
            <w:tcW w:w="180" w:type="dxa"/>
            <w:vAlign w:val="bottom"/>
          </w:tcPr>
          <w:p>
            <w:pPr>
              <w:spacing w:after="0"/>
              <w:rPr>
                <w:sz w:val="17"/>
                <w:szCs w:val="17"/>
                <w:color w:val="auto"/>
              </w:rPr>
            </w:pPr>
          </w:p>
        </w:tc>
        <w:tc>
          <w:tcPr>
            <w:tcW w:w="880" w:type="dxa"/>
            <w:vAlign w:val="bottom"/>
          </w:tcPr>
          <w:p>
            <w:pPr>
              <w:jc w:val="right"/>
              <w:ind w:right="111"/>
              <w:spacing w:after="0"/>
              <w:rPr>
                <w:sz w:val="20"/>
                <w:szCs w:val="20"/>
                <w:color w:val="auto"/>
              </w:rPr>
            </w:pPr>
            <w:r>
              <w:rPr>
                <w:rFonts w:ascii="Arial" w:cs="Arial" w:eastAsia="Arial" w:hAnsi="Arial"/>
                <w:sz w:val="14"/>
                <w:szCs w:val="14"/>
                <w:color w:val="060606"/>
              </w:rPr>
              <w:t>—</w:t>
            </w:r>
          </w:p>
        </w:tc>
        <w:tc>
          <w:tcPr>
            <w:tcW w:w="0" w:type="dxa"/>
            <w:vAlign w:val="bottom"/>
          </w:tcPr>
          <w:p>
            <w:pPr>
              <w:spacing w:after="0"/>
              <w:rPr>
                <w:sz w:val="1"/>
                <w:szCs w:val="1"/>
                <w:color w:val="auto"/>
              </w:rPr>
            </w:pPr>
          </w:p>
        </w:tc>
      </w:tr>
      <w:tr>
        <w:trPr>
          <w:trHeight w:val="216"/>
        </w:trPr>
        <w:tc>
          <w:tcPr>
            <w:tcW w:w="2780" w:type="dxa"/>
            <w:vAlign w:val="bottom"/>
          </w:tcPr>
          <w:p>
            <w:pPr>
              <w:ind w:left="20"/>
              <w:spacing w:after="0"/>
              <w:rPr>
                <w:sz w:val="20"/>
                <w:szCs w:val="20"/>
                <w:color w:val="auto"/>
              </w:rPr>
            </w:pPr>
            <w:r>
              <w:rPr>
                <w:rFonts w:ascii="Arial" w:cs="Arial" w:eastAsia="Arial" w:hAnsi="Arial"/>
                <w:sz w:val="14"/>
                <w:szCs w:val="14"/>
                <w:color w:val="060606"/>
              </w:rPr>
              <w:t>Operating income</w:t>
            </w:r>
          </w:p>
        </w:tc>
        <w:tc>
          <w:tcPr>
            <w:tcW w:w="900" w:type="dxa"/>
            <w:vAlign w:val="bottom"/>
          </w:tcPr>
          <w:p>
            <w:pPr>
              <w:jc w:val="right"/>
              <w:ind w:right="111"/>
              <w:spacing w:after="0"/>
              <w:rPr>
                <w:sz w:val="20"/>
                <w:szCs w:val="20"/>
                <w:color w:val="auto"/>
              </w:rPr>
            </w:pPr>
            <w:r>
              <w:rPr>
                <w:rFonts w:ascii="Arial" w:cs="Arial" w:eastAsia="Arial" w:hAnsi="Arial"/>
                <w:sz w:val="14"/>
                <w:szCs w:val="14"/>
                <w:color w:val="060606"/>
              </w:rPr>
              <w:t>119.4</w:t>
            </w:r>
          </w:p>
        </w:tc>
        <w:tc>
          <w:tcPr>
            <w:tcW w:w="980" w:type="dxa"/>
            <w:vAlign w:val="bottom"/>
          </w:tcPr>
          <w:p>
            <w:pPr>
              <w:jc w:val="right"/>
              <w:ind w:right="131"/>
              <w:spacing w:after="0"/>
              <w:rPr>
                <w:sz w:val="20"/>
                <w:szCs w:val="20"/>
                <w:color w:val="auto"/>
              </w:rPr>
            </w:pPr>
            <w:r>
              <w:rPr>
                <w:rFonts w:ascii="Arial" w:cs="Arial" w:eastAsia="Arial" w:hAnsi="Arial"/>
                <w:sz w:val="14"/>
                <w:szCs w:val="14"/>
                <w:color w:val="060606"/>
              </w:rPr>
              <w:t>17.1</w:t>
            </w:r>
          </w:p>
        </w:tc>
        <w:tc>
          <w:tcPr>
            <w:tcW w:w="880" w:type="dxa"/>
            <w:vAlign w:val="bottom"/>
          </w:tcPr>
          <w:p>
            <w:pPr>
              <w:ind w:left="520"/>
              <w:spacing w:after="0"/>
              <w:rPr>
                <w:sz w:val="20"/>
                <w:szCs w:val="20"/>
                <w:color w:val="auto"/>
              </w:rPr>
            </w:pPr>
            <w:r>
              <w:rPr>
                <w:rFonts w:ascii="Arial" w:cs="Arial" w:eastAsia="Arial" w:hAnsi="Arial"/>
                <w:sz w:val="14"/>
                <w:szCs w:val="14"/>
                <w:color w:val="060606"/>
              </w:rPr>
              <w:t>—</w:t>
            </w:r>
          </w:p>
        </w:tc>
        <w:tc>
          <w:tcPr>
            <w:tcW w:w="920" w:type="dxa"/>
            <w:vAlign w:val="bottom"/>
          </w:tcPr>
          <w:p>
            <w:pPr>
              <w:jc w:val="right"/>
              <w:ind w:right="131"/>
              <w:spacing w:after="0"/>
              <w:rPr>
                <w:sz w:val="20"/>
                <w:szCs w:val="20"/>
                <w:color w:val="auto"/>
              </w:rPr>
            </w:pPr>
            <w:r>
              <w:rPr>
                <w:rFonts w:ascii="Arial" w:cs="Arial" w:eastAsia="Arial" w:hAnsi="Arial"/>
                <w:sz w:val="14"/>
                <w:szCs w:val="14"/>
                <w:color w:val="060606"/>
              </w:rPr>
              <w:t>—</w:t>
            </w:r>
          </w:p>
        </w:tc>
        <w:tc>
          <w:tcPr>
            <w:tcW w:w="840" w:type="dxa"/>
            <w:vAlign w:val="bottom"/>
          </w:tcPr>
          <w:p>
            <w:pPr>
              <w:jc w:val="right"/>
              <w:spacing w:after="0"/>
              <w:rPr>
                <w:sz w:val="20"/>
                <w:szCs w:val="20"/>
                <w:color w:val="auto"/>
              </w:rPr>
            </w:pPr>
            <w:r>
              <w:rPr>
                <w:rFonts w:ascii="Arial" w:cs="Arial" w:eastAsia="Arial" w:hAnsi="Arial"/>
                <w:sz w:val="14"/>
                <w:szCs w:val="14"/>
                <w:color w:val="060606"/>
              </w:rPr>
              <w:t>13.8</w:t>
            </w:r>
          </w:p>
        </w:tc>
        <w:tc>
          <w:tcPr>
            <w:tcW w:w="180" w:type="dxa"/>
            <w:vAlign w:val="bottom"/>
          </w:tcPr>
          <w:p>
            <w:pPr>
              <w:spacing w:after="0"/>
              <w:rPr>
                <w:sz w:val="18"/>
                <w:szCs w:val="18"/>
                <w:color w:val="auto"/>
              </w:rPr>
            </w:pPr>
          </w:p>
        </w:tc>
        <w:tc>
          <w:tcPr>
            <w:tcW w:w="980" w:type="dxa"/>
            <w:vAlign w:val="bottom"/>
          </w:tcPr>
          <w:p>
            <w:pPr>
              <w:jc w:val="right"/>
              <w:ind w:right="151"/>
              <w:spacing w:after="0"/>
              <w:rPr>
                <w:sz w:val="20"/>
                <w:szCs w:val="20"/>
                <w:color w:val="auto"/>
              </w:rPr>
            </w:pPr>
            <w:r>
              <w:rPr>
                <w:rFonts w:ascii="Arial" w:cs="Arial" w:eastAsia="Arial" w:hAnsi="Arial"/>
                <w:sz w:val="14"/>
                <w:szCs w:val="14"/>
                <w:color w:val="060606"/>
              </w:rPr>
              <w:t>64.2</w:t>
            </w:r>
          </w:p>
        </w:tc>
        <w:tc>
          <w:tcPr>
            <w:tcW w:w="960" w:type="dxa"/>
            <w:vAlign w:val="bottom"/>
          </w:tcPr>
          <w:p>
            <w:pPr>
              <w:jc w:val="right"/>
              <w:ind w:right="131"/>
              <w:spacing w:after="0"/>
              <w:rPr>
                <w:sz w:val="20"/>
                <w:szCs w:val="20"/>
                <w:color w:val="auto"/>
              </w:rPr>
            </w:pPr>
            <w:r>
              <w:rPr>
                <w:rFonts w:ascii="Arial" w:cs="Arial" w:eastAsia="Arial" w:hAnsi="Arial"/>
                <w:sz w:val="14"/>
                <w:szCs w:val="14"/>
                <w:color w:val="060606"/>
              </w:rPr>
              <w:t>39.7</w:t>
            </w:r>
          </w:p>
        </w:tc>
        <w:tc>
          <w:tcPr>
            <w:tcW w:w="760" w:type="dxa"/>
            <w:vAlign w:val="bottom"/>
          </w:tcPr>
          <w:p>
            <w:pPr>
              <w:ind w:left="620"/>
              <w:spacing w:after="0"/>
              <w:rPr>
                <w:sz w:val="20"/>
                <w:szCs w:val="20"/>
                <w:color w:val="auto"/>
              </w:rPr>
            </w:pPr>
            <w:r>
              <w:rPr>
                <w:rFonts w:ascii="Arial" w:cs="Arial" w:eastAsia="Arial" w:hAnsi="Arial"/>
                <w:sz w:val="14"/>
                <w:szCs w:val="14"/>
                <w:color w:val="060606"/>
                <w:w w:val="85"/>
              </w:rPr>
              <w:t>—</w:t>
            </w:r>
          </w:p>
        </w:tc>
        <w:tc>
          <w:tcPr>
            <w:tcW w:w="180" w:type="dxa"/>
            <w:vAlign w:val="bottom"/>
          </w:tcPr>
          <w:p>
            <w:pPr>
              <w:spacing w:after="0"/>
              <w:rPr>
                <w:sz w:val="18"/>
                <w:szCs w:val="18"/>
                <w:color w:val="auto"/>
              </w:rPr>
            </w:pPr>
          </w:p>
        </w:tc>
        <w:tc>
          <w:tcPr>
            <w:tcW w:w="880" w:type="dxa"/>
            <w:vAlign w:val="bottom"/>
          </w:tcPr>
          <w:p>
            <w:pPr>
              <w:jc w:val="right"/>
              <w:ind w:right="111"/>
              <w:spacing w:after="0"/>
              <w:rPr>
                <w:sz w:val="20"/>
                <w:szCs w:val="20"/>
                <w:color w:val="auto"/>
              </w:rPr>
            </w:pPr>
            <w:r>
              <w:rPr>
                <w:rFonts w:ascii="Arial" w:cs="Arial" w:eastAsia="Arial" w:hAnsi="Arial"/>
                <w:sz w:val="14"/>
                <w:szCs w:val="14"/>
                <w:color w:val="060606"/>
              </w:rPr>
              <w:t>254.1</w:t>
            </w:r>
          </w:p>
        </w:tc>
        <w:tc>
          <w:tcPr>
            <w:tcW w:w="0" w:type="dxa"/>
            <w:vAlign w:val="bottom"/>
          </w:tcPr>
          <w:p>
            <w:pPr>
              <w:spacing w:after="0"/>
              <w:rPr>
                <w:sz w:val="1"/>
                <w:szCs w:val="1"/>
                <w:color w:val="auto"/>
              </w:rPr>
            </w:pPr>
          </w:p>
        </w:tc>
      </w:tr>
      <w:tr>
        <w:trPr>
          <w:trHeight w:val="216"/>
        </w:trPr>
        <w:tc>
          <w:tcPr>
            <w:tcW w:w="2780" w:type="dxa"/>
            <w:vAlign w:val="bottom"/>
          </w:tcPr>
          <w:p>
            <w:pPr>
              <w:ind w:left="20"/>
              <w:spacing w:after="0"/>
              <w:rPr>
                <w:sz w:val="20"/>
                <w:szCs w:val="20"/>
                <w:color w:val="auto"/>
              </w:rPr>
            </w:pPr>
            <w:r>
              <w:rPr>
                <w:rFonts w:ascii="Arial" w:cs="Arial" w:eastAsia="Arial" w:hAnsi="Arial"/>
                <w:sz w:val="14"/>
                <w:szCs w:val="14"/>
                <w:color w:val="060606"/>
              </w:rPr>
              <w:t>Operating margin percent</w:t>
            </w:r>
          </w:p>
        </w:tc>
        <w:tc>
          <w:tcPr>
            <w:tcW w:w="900" w:type="dxa"/>
            <w:vAlign w:val="bottom"/>
          </w:tcPr>
          <w:p>
            <w:pPr>
              <w:jc w:val="right"/>
              <w:spacing w:after="0"/>
              <w:rPr>
                <w:sz w:val="20"/>
                <w:szCs w:val="20"/>
                <w:color w:val="auto"/>
              </w:rPr>
            </w:pPr>
            <w:r>
              <w:rPr>
                <w:rFonts w:ascii="Arial" w:cs="Arial" w:eastAsia="Arial" w:hAnsi="Arial"/>
                <w:sz w:val="14"/>
                <w:szCs w:val="14"/>
                <w:color w:val="060606"/>
              </w:rPr>
              <w:t>10.4 %</w:t>
            </w:r>
          </w:p>
        </w:tc>
        <w:tc>
          <w:tcPr>
            <w:tcW w:w="980" w:type="dxa"/>
            <w:vAlign w:val="bottom"/>
          </w:tcPr>
          <w:p>
            <w:pPr>
              <w:jc w:val="right"/>
              <w:spacing w:after="0"/>
              <w:rPr>
                <w:sz w:val="20"/>
                <w:szCs w:val="20"/>
                <w:color w:val="auto"/>
              </w:rPr>
            </w:pPr>
            <w:r>
              <w:rPr>
                <w:rFonts w:ascii="Arial" w:cs="Arial" w:eastAsia="Arial" w:hAnsi="Arial"/>
                <w:sz w:val="14"/>
                <w:szCs w:val="14"/>
                <w:color w:val="060606"/>
              </w:rPr>
              <w:t>1.5 %</w:t>
            </w:r>
          </w:p>
        </w:tc>
        <w:tc>
          <w:tcPr>
            <w:tcW w:w="880" w:type="dxa"/>
            <w:vAlign w:val="bottom"/>
          </w:tcPr>
          <w:p>
            <w:pPr>
              <w:ind w:left="520"/>
              <w:spacing w:after="0"/>
              <w:rPr>
                <w:sz w:val="20"/>
                <w:szCs w:val="20"/>
                <w:color w:val="auto"/>
              </w:rPr>
            </w:pPr>
            <w:r>
              <w:rPr>
                <w:rFonts w:ascii="Arial" w:cs="Arial" w:eastAsia="Arial" w:hAnsi="Arial"/>
                <w:sz w:val="14"/>
                <w:szCs w:val="14"/>
                <w:color w:val="060606"/>
              </w:rPr>
              <w:t>— %</w:t>
            </w:r>
          </w:p>
        </w:tc>
        <w:tc>
          <w:tcPr>
            <w:tcW w:w="920" w:type="dxa"/>
            <w:vAlign w:val="bottom"/>
          </w:tcPr>
          <w:p>
            <w:pPr>
              <w:jc w:val="right"/>
              <w:spacing w:after="0"/>
              <w:rPr>
                <w:sz w:val="20"/>
                <w:szCs w:val="20"/>
                <w:color w:val="auto"/>
              </w:rPr>
            </w:pPr>
            <w:r>
              <w:rPr>
                <w:rFonts w:ascii="Arial" w:cs="Arial" w:eastAsia="Arial" w:hAnsi="Arial"/>
                <w:sz w:val="14"/>
                <w:szCs w:val="14"/>
                <w:color w:val="060606"/>
              </w:rPr>
              <w:t>— %</w:t>
            </w:r>
          </w:p>
        </w:tc>
        <w:tc>
          <w:tcPr>
            <w:tcW w:w="1020" w:type="dxa"/>
            <w:vAlign w:val="bottom"/>
            <w:gridSpan w:val="2"/>
          </w:tcPr>
          <w:p>
            <w:pPr>
              <w:jc w:val="right"/>
              <w:spacing w:after="0"/>
              <w:rPr>
                <w:sz w:val="20"/>
                <w:szCs w:val="20"/>
                <w:color w:val="auto"/>
              </w:rPr>
            </w:pPr>
            <w:r>
              <w:rPr>
                <w:rFonts w:ascii="Arial" w:cs="Arial" w:eastAsia="Arial" w:hAnsi="Arial"/>
                <w:sz w:val="14"/>
                <w:szCs w:val="14"/>
                <w:color w:val="060606"/>
              </w:rPr>
              <w:t>1.2 %</w:t>
            </w:r>
          </w:p>
        </w:tc>
        <w:tc>
          <w:tcPr>
            <w:tcW w:w="980" w:type="dxa"/>
            <w:vAlign w:val="bottom"/>
          </w:tcPr>
          <w:p>
            <w:pPr>
              <w:jc w:val="right"/>
              <w:spacing w:after="0"/>
              <w:rPr>
                <w:sz w:val="20"/>
                <w:szCs w:val="20"/>
                <w:color w:val="auto"/>
              </w:rPr>
            </w:pPr>
            <w:r>
              <w:rPr>
                <w:rFonts w:ascii="Arial" w:cs="Arial" w:eastAsia="Arial" w:hAnsi="Arial"/>
                <w:sz w:val="14"/>
                <w:szCs w:val="14"/>
                <w:color w:val="060606"/>
              </w:rPr>
              <w:t>5.6 %</w:t>
            </w:r>
          </w:p>
        </w:tc>
        <w:tc>
          <w:tcPr>
            <w:tcW w:w="960" w:type="dxa"/>
            <w:vAlign w:val="bottom"/>
          </w:tcPr>
          <w:p>
            <w:pPr>
              <w:jc w:val="right"/>
              <w:spacing w:after="0"/>
              <w:rPr>
                <w:sz w:val="20"/>
                <w:szCs w:val="20"/>
                <w:color w:val="auto"/>
              </w:rPr>
            </w:pPr>
            <w:r>
              <w:rPr>
                <w:rFonts w:ascii="Arial" w:cs="Arial" w:eastAsia="Arial" w:hAnsi="Arial"/>
                <w:sz w:val="14"/>
                <w:szCs w:val="14"/>
                <w:color w:val="060606"/>
              </w:rPr>
              <w:t>3.5 %</w:t>
            </w:r>
          </w:p>
        </w:tc>
        <w:tc>
          <w:tcPr>
            <w:tcW w:w="940" w:type="dxa"/>
            <w:vAlign w:val="bottom"/>
            <w:gridSpan w:val="2"/>
          </w:tcPr>
          <w:p>
            <w:pPr>
              <w:ind w:left="620"/>
              <w:spacing w:after="0"/>
              <w:rPr>
                <w:sz w:val="20"/>
                <w:szCs w:val="20"/>
                <w:color w:val="auto"/>
              </w:rPr>
            </w:pPr>
            <w:r>
              <w:rPr>
                <w:rFonts w:ascii="Arial" w:cs="Arial" w:eastAsia="Arial" w:hAnsi="Arial"/>
                <w:sz w:val="14"/>
                <w:szCs w:val="14"/>
                <w:color w:val="060606"/>
                <w:w w:val="98"/>
              </w:rPr>
              <w:t>— %</w:t>
            </w:r>
          </w:p>
        </w:tc>
        <w:tc>
          <w:tcPr>
            <w:tcW w:w="880" w:type="dxa"/>
            <w:vAlign w:val="bottom"/>
          </w:tcPr>
          <w:p>
            <w:pPr>
              <w:jc w:val="right"/>
              <w:spacing w:after="0"/>
              <w:rPr>
                <w:sz w:val="20"/>
                <w:szCs w:val="20"/>
                <w:color w:val="auto"/>
              </w:rPr>
            </w:pPr>
            <w:r>
              <w:rPr>
                <w:rFonts w:ascii="Arial" w:cs="Arial" w:eastAsia="Arial" w:hAnsi="Arial"/>
                <w:sz w:val="14"/>
                <w:szCs w:val="14"/>
                <w:color w:val="060606"/>
              </w:rPr>
              <w:t>22.2 %</w:t>
            </w:r>
          </w:p>
        </w:tc>
        <w:tc>
          <w:tcPr>
            <w:tcW w:w="0" w:type="dxa"/>
            <w:vAlign w:val="bottom"/>
          </w:tcPr>
          <w:p>
            <w:pPr>
              <w:spacing w:after="0"/>
              <w:rPr>
                <w:sz w:val="1"/>
                <w:szCs w:val="1"/>
                <w:color w:val="auto"/>
              </w:rPr>
            </w:pPr>
          </w:p>
        </w:tc>
      </w:tr>
      <w:tr>
        <w:trPr>
          <w:trHeight w:val="216"/>
        </w:trPr>
        <w:tc>
          <w:tcPr>
            <w:tcW w:w="2780" w:type="dxa"/>
            <w:vAlign w:val="bottom"/>
          </w:tcPr>
          <w:p>
            <w:pPr>
              <w:ind w:left="20"/>
              <w:spacing w:after="0"/>
              <w:rPr>
                <w:sz w:val="20"/>
                <w:szCs w:val="20"/>
                <w:color w:val="auto"/>
              </w:rPr>
            </w:pPr>
            <w:r>
              <w:rPr>
                <w:rFonts w:ascii="Arial" w:cs="Arial" w:eastAsia="Arial" w:hAnsi="Arial"/>
                <w:sz w:val="14"/>
                <w:szCs w:val="14"/>
                <w:color w:val="060606"/>
              </w:rPr>
              <w:t>Net income</w:t>
            </w:r>
          </w:p>
        </w:tc>
        <w:tc>
          <w:tcPr>
            <w:tcW w:w="900" w:type="dxa"/>
            <w:vAlign w:val="bottom"/>
          </w:tcPr>
          <w:p>
            <w:pPr>
              <w:jc w:val="right"/>
              <w:ind w:right="111"/>
              <w:spacing w:after="0"/>
              <w:rPr>
                <w:sz w:val="20"/>
                <w:szCs w:val="20"/>
                <w:color w:val="auto"/>
              </w:rPr>
            </w:pPr>
            <w:r>
              <w:rPr>
                <w:rFonts w:ascii="Arial" w:cs="Arial" w:eastAsia="Arial" w:hAnsi="Arial"/>
                <w:sz w:val="14"/>
                <w:szCs w:val="14"/>
                <w:color w:val="060606"/>
              </w:rPr>
              <w:t>165.2</w:t>
            </w:r>
          </w:p>
        </w:tc>
        <w:tc>
          <w:tcPr>
            <w:tcW w:w="980" w:type="dxa"/>
            <w:vAlign w:val="bottom"/>
          </w:tcPr>
          <w:p>
            <w:pPr>
              <w:jc w:val="right"/>
              <w:ind w:right="131"/>
              <w:spacing w:after="0"/>
              <w:rPr>
                <w:sz w:val="20"/>
                <w:szCs w:val="20"/>
                <w:color w:val="auto"/>
              </w:rPr>
            </w:pPr>
            <w:r>
              <w:rPr>
                <w:rFonts w:ascii="Arial" w:cs="Arial" w:eastAsia="Arial" w:hAnsi="Arial"/>
                <w:sz w:val="14"/>
                <w:szCs w:val="14"/>
                <w:color w:val="060606"/>
              </w:rPr>
              <w:t>17.1</w:t>
            </w:r>
          </w:p>
        </w:tc>
        <w:tc>
          <w:tcPr>
            <w:tcW w:w="880" w:type="dxa"/>
            <w:vAlign w:val="bottom"/>
          </w:tcPr>
          <w:p>
            <w:pPr>
              <w:jc w:val="right"/>
              <w:ind w:right="111"/>
              <w:spacing w:after="0"/>
              <w:rPr>
                <w:sz w:val="20"/>
                <w:szCs w:val="20"/>
                <w:color w:val="auto"/>
              </w:rPr>
            </w:pPr>
            <w:r>
              <w:rPr>
                <w:rFonts w:ascii="Arial" w:cs="Arial" w:eastAsia="Arial" w:hAnsi="Arial"/>
                <w:sz w:val="14"/>
                <w:szCs w:val="14"/>
                <w:color w:val="060606"/>
              </w:rPr>
              <w:t>(12.7)</w:t>
            </w:r>
          </w:p>
        </w:tc>
        <w:tc>
          <w:tcPr>
            <w:tcW w:w="920" w:type="dxa"/>
            <w:vAlign w:val="bottom"/>
          </w:tcPr>
          <w:p>
            <w:pPr>
              <w:jc w:val="right"/>
              <w:ind w:right="131"/>
              <w:spacing w:after="0"/>
              <w:rPr>
                <w:sz w:val="20"/>
                <w:szCs w:val="20"/>
                <w:color w:val="auto"/>
              </w:rPr>
            </w:pPr>
            <w:r>
              <w:rPr>
                <w:rFonts w:ascii="Arial" w:cs="Arial" w:eastAsia="Arial" w:hAnsi="Arial"/>
                <w:sz w:val="14"/>
                <w:szCs w:val="14"/>
                <w:color w:val="060606"/>
              </w:rPr>
              <w:t>40.5</w:t>
            </w:r>
          </w:p>
        </w:tc>
        <w:tc>
          <w:tcPr>
            <w:tcW w:w="840" w:type="dxa"/>
            <w:vAlign w:val="bottom"/>
          </w:tcPr>
          <w:p>
            <w:pPr>
              <w:jc w:val="right"/>
              <w:spacing w:after="0"/>
              <w:rPr>
                <w:sz w:val="20"/>
                <w:szCs w:val="20"/>
                <w:color w:val="auto"/>
              </w:rPr>
            </w:pPr>
            <w:r>
              <w:rPr>
                <w:rFonts w:ascii="Arial" w:cs="Arial" w:eastAsia="Arial" w:hAnsi="Arial"/>
                <w:sz w:val="14"/>
                <w:szCs w:val="14"/>
                <w:color w:val="060606"/>
              </w:rPr>
              <w:t>13.8</w:t>
            </w:r>
          </w:p>
        </w:tc>
        <w:tc>
          <w:tcPr>
            <w:tcW w:w="180" w:type="dxa"/>
            <w:vAlign w:val="bottom"/>
          </w:tcPr>
          <w:p>
            <w:pPr>
              <w:spacing w:after="0"/>
              <w:rPr>
                <w:sz w:val="18"/>
                <w:szCs w:val="18"/>
                <w:color w:val="auto"/>
              </w:rPr>
            </w:pPr>
          </w:p>
        </w:tc>
        <w:tc>
          <w:tcPr>
            <w:tcW w:w="980" w:type="dxa"/>
            <w:vAlign w:val="bottom"/>
          </w:tcPr>
          <w:p>
            <w:pPr>
              <w:jc w:val="right"/>
              <w:ind w:right="151"/>
              <w:spacing w:after="0"/>
              <w:rPr>
                <w:sz w:val="20"/>
                <w:szCs w:val="20"/>
                <w:color w:val="auto"/>
              </w:rPr>
            </w:pPr>
            <w:r>
              <w:rPr>
                <w:rFonts w:ascii="Arial" w:cs="Arial" w:eastAsia="Arial" w:hAnsi="Arial"/>
                <w:sz w:val="14"/>
                <w:szCs w:val="14"/>
                <w:color w:val="060606"/>
              </w:rPr>
              <w:t>64.2</w:t>
            </w:r>
          </w:p>
        </w:tc>
        <w:tc>
          <w:tcPr>
            <w:tcW w:w="960" w:type="dxa"/>
            <w:vAlign w:val="bottom"/>
          </w:tcPr>
          <w:p>
            <w:pPr>
              <w:jc w:val="right"/>
              <w:ind w:right="131"/>
              <w:spacing w:after="0"/>
              <w:rPr>
                <w:sz w:val="20"/>
                <w:szCs w:val="20"/>
                <w:color w:val="auto"/>
              </w:rPr>
            </w:pPr>
            <w:r>
              <w:rPr>
                <w:rFonts w:ascii="Arial" w:cs="Arial" w:eastAsia="Arial" w:hAnsi="Arial"/>
                <w:sz w:val="14"/>
                <w:szCs w:val="14"/>
                <w:color w:val="060606"/>
              </w:rPr>
              <w:t>39.7</w:t>
            </w: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060606"/>
              </w:rPr>
              <w:t>(131.5)</w:t>
            </w:r>
          </w:p>
        </w:tc>
        <w:tc>
          <w:tcPr>
            <w:tcW w:w="880" w:type="dxa"/>
            <w:vAlign w:val="bottom"/>
          </w:tcPr>
          <w:p>
            <w:pPr>
              <w:jc w:val="right"/>
              <w:ind w:right="111"/>
              <w:spacing w:after="0"/>
              <w:rPr>
                <w:sz w:val="20"/>
                <w:szCs w:val="20"/>
                <w:color w:val="auto"/>
              </w:rPr>
            </w:pPr>
            <w:r>
              <w:rPr>
                <w:rFonts w:ascii="Arial" w:cs="Arial" w:eastAsia="Arial" w:hAnsi="Arial"/>
                <w:sz w:val="14"/>
                <w:szCs w:val="14"/>
                <w:color w:val="060606"/>
              </w:rPr>
              <w:t>196.2</w:t>
            </w:r>
          </w:p>
        </w:tc>
        <w:tc>
          <w:tcPr>
            <w:tcW w:w="0" w:type="dxa"/>
            <w:vAlign w:val="bottom"/>
          </w:tcPr>
          <w:p>
            <w:pPr>
              <w:spacing w:after="0"/>
              <w:rPr>
                <w:sz w:val="1"/>
                <w:szCs w:val="1"/>
                <w:color w:val="auto"/>
              </w:rPr>
            </w:pPr>
          </w:p>
        </w:tc>
      </w:tr>
      <w:tr>
        <w:trPr>
          <w:trHeight w:val="216"/>
        </w:trPr>
        <w:tc>
          <w:tcPr>
            <w:tcW w:w="2780" w:type="dxa"/>
            <w:vAlign w:val="bottom"/>
          </w:tcPr>
          <w:p>
            <w:pPr>
              <w:ind w:left="20"/>
              <w:spacing w:after="0"/>
              <w:rPr>
                <w:sz w:val="20"/>
                <w:szCs w:val="20"/>
                <w:color w:val="auto"/>
              </w:rPr>
            </w:pPr>
            <w:r>
              <w:rPr>
                <w:rFonts w:ascii="Arial" w:cs="Arial" w:eastAsia="Arial" w:hAnsi="Arial"/>
                <w:sz w:val="14"/>
                <w:szCs w:val="14"/>
                <w:color w:val="060606"/>
              </w:rPr>
              <w:t>Net income as a percent of net revenue</w:t>
            </w:r>
          </w:p>
        </w:tc>
        <w:tc>
          <w:tcPr>
            <w:tcW w:w="900" w:type="dxa"/>
            <w:vAlign w:val="bottom"/>
          </w:tcPr>
          <w:p>
            <w:pPr>
              <w:jc w:val="right"/>
              <w:spacing w:after="0"/>
              <w:rPr>
                <w:sz w:val="20"/>
                <w:szCs w:val="20"/>
                <w:color w:val="auto"/>
              </w:rPr>
            </w:pPr>
            <w:r>
              <w:rPr>
                <w:rFonts w:ascii="Arial" w:cs="Arial" w:eastAsia="Arial" w:hAnsi="Arial"/>
                <w:sz w:val="14"/>
                <w:szCs w:val="14"/>
                <w:color w:val="060606"/>
              </w:rPr>
              <w:t>14.4 %</w:t>
            </w:r>
          </w:p>
        </w:tc>
        <w:tc>
          <w:tcPr>
            <w:tcW w:w="980" w:type="dxa"/>
            <w:vAlign w:val="bottom"/>
          </w:tcPr>
          <w:p>
            <w:pPr>
              <w:jc w:val="right"/>
              <w:spacing w:after="0"/>
              <w:rPr>
                <w:sz w:val="20"/>
                <w:szCs w:val="20"/>
                <w:color w:val="auto"/>
              </w:rPr>
            </w:pPr>
            <w:r>
              <w:rPr>
                <w:rFonts w:ascii="Arial" w:cs="Arial" w:eastAsia="Arial" w:hAnsi="Arial"/>
                <w:sz w:val="14"/>
                <w:szCs w:val="14"/>
                <w:color w:val="060606"/>
              </w:rPr>
              <w:t>1.5 %</w:t>
            </w:r>
          </w:p>
        </w:tc>
        <w:tc>
          <w:tcPr>
            <w:tcW w:w="880" w:type="dxa"/>
            <w:vAlign w:val="bottom"/>
          </w:tcPr>
          <w:p>
            <w:pPr>
              <w:jc w:val="right"/>
              <w:spacing w:after="0"/>
              <w:rPr>
                <w:sz w:val="20"/>
                <w:szCs w:val="20"/>
                <w:color w:val="auto"/>
              </w:rPr>
            </w:pPr>
            <w:r>
              <w:rPr>
                <w:rFonts w:ascii="Arial" w:cs="Arial" w:eastAsia="Arial" w:hAnsi="Arial"/>
                <w:sz w:val="14"/>
                <w:szCs w:val="14"/>
                <w:color w:val="060606"/>
              </w:rPr>
              <w:t>(1.1)%</w:t>
            </w:r>
          </w:p>
        </w:tc>
        <w:tc>
          <w:tcPr>
            <w:tcW w:w="920" w:type="dxa"/>
            <w:vAlign w:val="bottom"/>
          </w:tcPr>
          <w:p>
            <w:pPr>
              <w:jc w:val="right"/>
              <w:spacing w:after="0"/>
              <w:rPr>
                <w:sz w:val="20"/>
                <w:szCs w:val="20"/>
                <w:color w:val="auto"/>
              </w:rPr>
            </w:pPr>
            <w:r>
              <w:rPr>
                <w:rFonts w:ascii="Arial" w:cs="Arial" w:eastAsia="Arial" w:hAnsi="Arial"/>
                <w:sz w:val="14"/>
                <w:szCs w:val="14"/>
                <w:color w:val="060606"/>
              </w:rPr>
              <w:t>3.5 %</w:t>
            </w:r>
          </w:p>
        </w:tc>
        <w:tc>
          <w:tcPr>
            <w:tcW w:w="1020" w:type="dxa"/>
            <w:vAlign w:val="bottom"/>
            <w:gridSpan w:val="2"/>
          </w:tcPr>
          <w:p>
            <w:pPr>
              <w:jc w:val="right"/>
              <w:spacing w:after="0"/>
              <w:rPr>
                <w:sz w:val="20"/>
                <w:szCs w:val="20"/>
                <w:color w:val="auto"/>
              </w:rPr>
            </w:pPr>
            <w:r>
              <w:rPr>
                <w:rFonts w:ascii="Arial" w:cs="Arial" w:eastAsia="Arial" w:hAnsi="Arial"/>
                <w:sz w:val="14"/>
                <w:szCs w:val="14"/>
                <w:color w:val="060606"/>
              </w:rPr>
              <w:t>1.2 %</w:t>
            </w:r>
          </w:p>
        </w:tc>
        <w:tc>
          <w:tcPr>
            <w:tcW w:w="980" w:type="dxa"/>
            <w:vAlign w:val="bottom"/>
          </w:tcPr>
          <w:p>
            <w:pPr>
              <w:jc w:val="right"/>
              <w:spacing w:after="0"/>
              <w:rPr>
                <w:sz w:val="20"/>
                <w:szCs w:val="20"/>
                <w:color w:val="auto"/>
              </w:rPr>
            </w:pPr>
            <w:r>
              <w:rPr>
                <w:rFonts w:ascii="Arial" w:cs="Arial" w:eastAsia="Arial" w:hAnsi="Arial"/>
                <w:sz w:val="14"/>
                <w:szCs w:val="14"/>
                <w:color w:val="060606"/>
              </w:rPr>
              <w:t>5.6 %</w:t>
            </w:r>
          </w:p>
        </w:tc>
        <w:tc>
          <w:tcPr>
            <w:tcW w:w="960" w:type="dxa"/>
            <w:vAlign w:val="bottom"/>
          </w:tcPr>
          <w:p>
            <w:pPr>
              <w:jc w:val="right"/>
              <w:spacing w:after="0"/>
              <w:rPr>
                <w:sz w:val="20"/>
                <w:szCs w:val="20"/>
                <w:color w:val="auto"/>
              </w:rPr>
            </w:pPr>
            <w:r>
              <w:rPr>
                <w:rFonts w:ascii="Arial" w:cs="Arial" w:eastAsia="Arial" w:hAnsi="Arial"/>
                <w:sz w:val="14"/>
                <w:szCs w:val="14"/>
                <w:color w:val="060606"/>
              </w:rPr>
              <w:t>3.5 %</w:t>
            </w:r>
          </w:p>
        </w:tc>
        <w:tc>
          <w:tcPr>
            <w:tcW w:w="940" w:type="dxa"/>
            <w:vAlign w:val="bottom"/>
            <w:gridSpan w:val="2"/>
          </w:tcPr>
          <w:p>
            <w:pPr>
              <w:jc w:val="right"/>
              <w:spacing w:after="0"/>
              <w:rPr>
                <w:sz w:val="20"/>
                <w:szCs w:val="20"/>
                <w:color w:val="auto"/>
              </w:rPr>
            </w:pPr>
            <w:r>
              <w:rPr>
                <w:rFonts w:ascii="Arial" w:cs="Arial" w:eastAsia="Arial" w:hAnsi="Arial"/>
                <w:sz w:val="14"/>
                <w:szCs w:val="14"/>
                <w:color w:val="060606"/>
              </w:rPr>
              <w:t>(11.5)%</w:t>
            </w:r>
          </w:p>
        </w:tc>
        <w:tc>
          <w:tcPr>
            <w:tcW w:w="880" w:type="dxa"/>
            <w:vAlign w:val="bottom"/>
          </w:tcPr>
          <w:p>
            <w:pPr>
              <w:jc w:val="right"/>
              <w:spacing w:after="0"/>
              <w:rPr>
                <w:sz w:val="20"/>
                <w:szCs w:val="20"/>
                <w:color w:val="auto"/>
              </w:rPr>
            </w:pPr>
            <w:r>
              <w:rPr>
                <w:rFonts w:ascii="Arial" w:cs="Arial" w:eastAsia="Arial" w:hAnsi="Arial"/>
                <w:sz w:val="14"/>
                <w:szCs w:val="14"/>
                <w:color w:val="060606"/>
              </w:rPr>
              <w:t>17.1 %</w:t>
            </w:r>
          </w:p>
        </w:tc>
        <w:tc>
          <w:tcPr>
            <w:tcW w:w="0" w:type="dxa"/>
            <w:vAlign w:val="bottom"/>
          </w:tcPr>
          <w:p>
            <w:pPr>
              <w:spacing w:after="0"/>
              <w:rPr>
                <w:sz w:val="1"/>
                <w:szCs w:val="1"/>
                <w:color w:val="auto"/>
              </w:rPr>
            </w:pPr>
          </w:p>
        </w:tc>
      </w:tr>
      <w:tr>
        <w:trPr>
          <w:trHeight w:val="216"/>
        </w:trPr>
        <w:tc>
          <w:tcPr>
            <w:tcW w:w="2780" w:type="dxa"/>
            <w:vAlign w:val="bottom"/>
          </w:tcPr>
          <w:p>
            <w:pPr>
              <w:ind w:left="20"/>
              <w:spacing w:after="0"/>
              <w:rPr>
                <w:sz w:val="20"/>
                <w:szCs w:val="20"/>
                <w:color w:val="auto"/>
              </w:rPr>
            </w:pPr>
            <w:r>
              <w:rPr>
                <w:rFonts w:ascii="Arial" w:cs="Arial" w:eastAsia="Arial" w:hAnsi="Arial"/>
                <w:sz w:val="14"/>
                <w:szCs w:val="14"/>
                <w:color w:val="060606"/>
              </w:rPr>
              <w:t>Diluted earnings per share</w:t>
            </w:r>
          </w:p>
        </w:tc>
        <w:tc>
          <w:tcPr>
            <w:tcW w:w="900" w:type="dxa"/>
            <w:vAlign w:val="bottom"/>
          </w:tcPr>
          <w:p>
            <w:pPr>
              <w:jc w:val="right"/>
              <w:ind w:right="111"/>
              <w:spacing w:after="0"/>
              <w:rPr>
                <w:sz w:val="20"/>
                <w:szCs w:val="20"/>
                <w:color w:val="auto"/>
              </w:rPr>
            </w:pPr>
            <w:r>
              <w:rPr>
                <w:rFonts w:ascii="Arial" w:cs="Arial" w:eastAsia="Arial" w:hAnsi="Arial"/>
                <w:sz w:val="14"/>
                <w:szCs w:val="14"/>
                <w:color w:val="060606"/>
              </w:rPr>
              <w:t>$2.93</w:t>
            </w:r>
          </w:p>
        </w:tc>
        <w:tc>
          <w:tcPr>
            <w:tcW w:w="980" w:type="dxa"/>
            <w:vAlign w:val="bottom"/>
          </w:tcPr>
          <w:p>
            <w:pPr>
              <w:jc w:val="right"/>
              <w:ind w:right="131"/>
              <w:spacing w:after="0"/>
              <w:rPr>
                <w:sz w:val="20"/>
                <w:szCs w:val="20"/>
                <w:color w:val="auto"/>
              </w:rPr>
            </w:pPr>
            <w:r>
              <w:rPr>
                <w:rFonts w:ascii="Arial" w:cs="Arial" w:eastAsia="Arial" w:hAnsi="Arial"/>
                <w:sz w:val="14"/>
                <w:szCs w:val="14"/>
                <w:color w:val="060606"/>
              </w:rPr>
              <w:t>$0.30</w:t>
            </w:r>
          </w:p>
        </w:tc>
        <w:tc>
          <w:tcPr>
            <w:tcW w:w="880" w:type="dxa"/>
            <w:vAlign w:val="bottom"/>
          </w:tcPr>
          <w:p>
            <w:pPr>
              <w:jc w:val="right"/>
              <w:ind w:right="111"/>
              <w:spacing w:after="0"/>
              <w:rPr>
                <w:sz w:val="20"/>
                <w:szCs w:val="20"/>
                <w:color w:val="auto"/>
              </w:rPr>
            </w:pPr>
            <w:r>
              <w:rPr>
                <w:rFonts w:ascii="Arial" w:cs="Arial" w:eastAsia="Arial" w:hAnsi="Arial"/>
                <w:sz w:val="14"/>
                <w:szCs w:val="14"/>
                <w:color w:val="060606"/>
              </w:rPr>
              <w:t>($0.23)</w:t>
            </w:r>
          </w:p>
        </w:tc>
        <w:tc>
          <w:tcPr>
            <w:tcW w:w="920" w:type="dxa"/>
            <w:vAlign w:val="bottom"/>
          </w:tcPr>
          <w:p>
            <w:pPr>
              <w:jc w:val="right"/>
              <w:ind w:right="131"/>
              <w:spacing w:after="0"/>
              <w:rPr>
                <w:sz w:val="20"/>
                <w:szCs w:val="20"/>
                <w:color w:val="auto"/>
              </w:rPr>
            </w:pPr>
            <w:r>
              <w:rPr>
                <w:rFonts w:ascii="Arial" w:cs="Arial" w:eastAsia="Arial" w:hAnsi="Arial"/>
                <w:sz w:val="14"/>
                <w:szCs w:val="14"/>
                <w:color w:val="060606"/>
              </w:rPr>
              <w:t>$0.72</w:t>
            </w:r>
          </w:p>
        </w:tc>
        <w:tc>
          <w:tcPr>
            <w:tcW w:w="840" w:type="dxa"/>
            <w:vAlign w:val="bottom"/>
          </w:tcPr>
          <w:p>
            <w:pPr>
              <w:jc w:val="right"/>
              <w:spacing w:after="0"/>
              <w:rPr>
                <w:sz w:val="20"/>
                <w:szCs w:val="20"/>
                <w:color w:val="auto"/>
              </w:rPr>
            </w:pPr>
            <w:r>
              <w:rPr>
                <w:rFonts w:ascii="Arial" w:cs="Arial" w:eastAsia="Arial" w:hAnsi="Arial"/>
                <w:sz w:val="14"/>
                <w:szCs w:val="14"/>
                <w:color w:val="060606"/>
              </w:rPr>
              <w:t>$0.24</w:t>
            </w:r>
          </w:p>
        </w:tc>
        <w:tc>
          <w:tcPr>
            <w:tcW w:w="180" w:type="dxa"/>
            <w:vAlign w:val="bottom"/>
          </w:tcPr>
          <w:p>
            <w:pPr>
              <w:spacing w:after="0"/>
              <w:rPr>
                <w:sz w:val="18"/>
                <w:szCs w:val="18"/>
                <w:color w:val="auto"/>
              </w:rPr>
            </w:pPr>
          </w:p>
        </w:tc>
        <w:tc>
          <w:tcPr>
            <w:tcW w:w="980" w:type="dxa"/>
            <w:vAlign w:val="bottom"/>
          </w:tcPr>
          <w:p>
            <w:pPr>
              <w:jc w:val="right"/>
              <w:ind w:right="151"/>
              <w:spacing w:after="0"/>
              <w:rPr>
                <w:sz w:val="20"/>
                <w:szCs w:val="20"/>
                <w:color w:val="auto"/>
              </w:rPr>
            </w:pPr>
            <w:r>
              <w:rPr>
                <w:rFonts w:ascii="Arial" w:cs="Arial" w:eastAsia="Arial" w:hAnsi="Arial"/>
                <w:sz w:val="14"/>
                <w:szCs w:val="14"/>
                <w:color w:val="060606"/>
              </w:rPr>
              <w:t>$1.14</w:t>
            </w:r>
          </w:p>
        </w:tc>
        <w:tc>
          <w:tcPr>
            <w:tcW w:w="960" w:type="dxa"/>
            <w:vAlign w:val="bottom"/>
          </w:tcPr>
          <w:p>
            <w:pPr>
              <w:jc w:val="right"/>
              <w:ind w:right="131"/>
              <w:spacing w:after="0"/>
              <w:rPr>
                <w:sz w:val="20"/>
                <w:szCs w:val="20"/>
                <w:color w:val="auto"/>
              </w:rPr>
            </w:pPr>
            <w:r>
              <w:rPr>
                <w:rFonts w:ascii="Arial" w:cs="Arial" w:eastAsia="Arial" w:hAnsi="Arial"/>
                <w:sz w:val="14"/>
                <w:szCs w:val="14"/>
                <w:color w:val="060606"/>
              </w:rPr>
              <w:t>$0.71</w:t>
            </w: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060606"/>
              </w:rPr>
              <w:t>($2.33)</w:t>
            </w:r>
          </w:p>
        </w:tc>
        <w:tc>
          <w:tcPr>
            <w:tcW w:w="880" w:type="dxa"/>
            <w:vAlign w:val="bottom"/>
          </w:tcPr>
          <w:p>
            <w:pPr>
              <w:jc w:val="right"/>
              <w:ind w:right="111"/>
              <w:spacing w:after="0"/>
              <w:rPr>
                <w:sz w:val="20"/>
                <w:szCs w:val="20"/>
                <w:color w:val="auto"/>
              </w:rPr>
            </w:pPr>
            <w:r>
              <w:rPr>
                <w:rFonts w:ascii="Arial" w:cs="Arial" w:eastAsia="Arial" w:hAnsi="Arial"/>
                <w:sz w:val="14"/>
                <w:szCs w:val="14"/>
                <w:color w:val="060606"/>
              </w:rPr>
              <w:t>$3.48</w:t>
            </w:r>
          </w:p>
        </w:tc>
        <w:tc>
          <w:tcPr>
            <w:tcW w:w="0" w:type="dxa"/>
            <w:vAlign w:val="bottom"/>
          </w:tcPr>
          <w:p>
            <w:pPr>
              <w:spacing w:after="0"/>
              <w:rPr>
                <w:sz w:val="1"/>
                <w:szCs w:val="1"/>
                <w:color w:val="auto"/>
              </w:rPr>
            </w:pPr>
          </w:p>
        </w:tc>
      </w:tr>
    </w:tbl>
    <w:p>
      <w:pPr>
        <w:spacing w:after="0" w:line="304" w:lineRule="exact"/>
        <w:rPr>
          <w:sz w:val="20"/>
          <w:szCs w:val="20"/>
          <w:color w:val="auto"/>
        </w:rPr>
      </w:pPr>
    </w:p>
    <w:p>
      <w:pPr>
        <w:spacing w:after="0"/>
        <w:rPr>
          <w:sz w:val="20"/>
          <w:szCs w:val="20"/>
          <w:color w:val="auto"/>
        </w:rPr>
      </w:pPr>
      <w:r>
        <w:rPr>
          <w:rFonts w:ascii="Arial" w:cs="Arial" w:eastAsia="Arial" w:hAnsi="Arial"/>
          <w:sz w:val="16"/>
          <w:szCs w:val="16"/>
          <w:color w:val="060606"/>
        </w:rPr>
        <w:t>GAAP results for the nine months ended September 30, 2026 include:</w:t>
      </w:r>
    </w:p>
    <w:p>
      <w:pPr>
        <w:ind w:left="320" w:hanging="312"/>
        <w:spacing w:after="0" w:line="231" w:lineRule="auto"/>
        <w:tabs>
          <w:tab w:leader="none" w:pos="320" w:val="left"/>
        </w:tabs>
        <w:numPr>
          <w:ilvl w:val="0"/>
          <w:numId w:val="15"/>
        </w:numPr>
        <w:rPr>
          <w:rFonts w:ascii="Arial" w:cs="Arial" w:eastAsia="Arial" w:hAnsi="Arial"/>
          <w:sz w:val="21"/>
          <w:szCs w:val="21"/>
          <w:color w:val="060606"/>
          <w:vertAlign w:val="superscript"/>
        </w:rPr>
      </w:pPr>
      <w:r>
        <w:rPr>
          <w:rFonts w:ascii="Arial" w:cs="Arial" w:eastAsia="Arial" w:hAnsi="Arial"/>
          <w:sz w:val="16"/>
          <w:szCs w:val="16"/>
          <w:color w:val="060606"/>
        </w:rPr>
        <w:t>Depreciation and amortization associated with purchase price accounting</w:t>
      </w:r>
    </w:p>
    <w:p>
      <w:pPr>
        <w:spacing w:after="0" w:line="4" w:lineRule="exact"/>
        <w:rPr>
          <w:rFonts w:ascii="Arial" w:cs="Arial" w:eastAsia="Arial" w:hAnsi="Arial"/>
          <w:sz w:val="21"/>
          <w:szCs w:val="21"/>
          <w:color w:val="060606"/>
          <w:vertAlign w:val="superscript"/>
        </w:rPr>
      </w:pPr>
    </w:p>
    <w:p>
      <w:pPr>
        <w:ind w:left="320" w:hanging="312"/>
        <w:spacing w:after="0" w:line="197" w:lineRule="auto"/>
        <w:tabs>
          <w:tab w:leader="none" w:pos="320" w:val="left"/>
        </w:tabs>
        <w:numPr>
          <w:ilvl w:val="0"/>
          <w:numId w:val="15"/>
        </w:numPr>
        <w:rPr>
          <w:rFonts w:ascii="Arial" w:cs="Arial" w:eastAsia="Arial" w:hAnsi="Arial"/>
          <w:sz w:val="21"/>
          <w:szCs w:val="21"/>
          <w:color w:val="060606"/>
          <w:vertAlign w:val="superscript"/>
        </w:rPr>
      </w:pPr>
      <w:r>
        <w:rPr>
          <w:rFonts w:ascii="Arial" w:cs="Arial" w:eastAsia="Arial" w:hAnsi="Arial"/>
          <w:sz w:val="16"/>
          <w:szCs w:val="16"/>
          <w:color w:val="060606"/>
        </w:rPr>
        <w:t>Gain on sale of investment, partially offset by impairment of investment without readily determinable fair value</w:t>
      </w:r>
    </w:p>
    <w:p>
      <w:pPr>
        <w:spacing w:after="0" w:line="4" w:lineRule="exact"/>
        <w:rPr>
          <w:rFonts w:ascii="Arial" w:cs="Arial" w:eastAsia="Arial" w:hAnsi="Arial"/>
          <w:sz w:val="21"/>
          <w:szCs w:val="21"/>
          <w:color w:val="060606"/>
          <w:vertAlign w:val="superscript"/>
        </w:rPr>
      </w:pPr>
    </w:p>
    <w:p>
      <w:pPr>
        <w:ind w:left="320" w:hanging="312"/>
        <w:spacing w:after="0" w:line="197" w:lineRule="auto"/>
        <w:tabs>
          <w:tab w:leader="none" w:pos="320" w:val="left"/>
        </w:tabs>
        <w:numPr>
          <w:ilvl w:val="0"/>
          <w:numId w:val="15"/>
        </w:numPr>
        <w:rPr>
          <w:rFonts w:ascii="Arial" w:cs="Arial" w:eastAsia="Arial" w:hAnsi="Arial"/>
          <w:sz w:val="21"/>
          <w:szCs w:val="21"/>
          <w:color w:val="060606"/>
          <w:vertAlign w:val="superscript"/>
        </w:rPr>
      </w:pPr>
      <w:r>
        <w:rPr>
          <w:rFonts w:ascii="Arial" w:cs="Arial" w:eastAsia="Arial" w:hAnsi="Arial"/>
          <w:sz w:val="16"/>
          <w:szCs w:val="16"/>
          <w:color w:val="060606"/>
        </w:rPr>
        <w:t>Mark-to-market adjustments for the 2029 Notes embedded and capped call derivatives, non-cash interest expense, and loss on debt extinguishment</w:t>
      </w:r>
    </w:p>
    <w:p>
      <w:pPr>
        <w:spacing w:after="0" w:line="4" w:lineRule="exact"/>
        <w:rPr>
          <w:rFonts w:ascii="Arial" w:cs="Arial" w:eastAsia="Arial" w:hAnsi="Arial"/>
          <w:sz w:val="21"/>
          <w:szCs w:val="21"/>
          <w:color w:val="060606"/>
          <w:vertAlign w:val="superscript"/>
        </w:rPr>
      </w:pPr>
    </w:p>
    <w:p>
      <w:pPr>
        <w:ind w:left="320" w:hanging="312"/>
        <w:spacing w:after="0" w:line="197" w:lineRule="auto"/>
        <w:tabs>
          <w:tab w:leader="none" w:pos="320" w:val="left"/>
        </w:tabs>
        <w:numPr>
          <w:ilvl w:val="0"/>
          <w:numId w:val="15"/>
        </w:numPr>
        <w:rPr>
          <w:rFonts w:ascii="Arial" w:cs="Arial" w:eastAsia="Arial" w:hAnsi="Arial"/>
          <w:sz w:val="21"/>
          <w:szCs w:val="21"/>
          <w:color w:val="060606"/>
          <w:vertAlign w:val="superscript"/>
        </w:rPr>
      </w:pPr>
      <w:r>
        <w:rPr>
          <w:rFonts w:ascii="Arial" w:cs="Arial" w:eastAsia="Arial" w:hAnsi="Arial"/>
          <w:sz w:val="16"/>
          <w:szCs w:val="16"/>
          <w:color w:val="060606"/>
        </w:rPr>
        <w:t>Remeasurement of contingent consideration related to the ImThera acquisition</w:t>
      </w:r>
    </w:p>
    <w:p>
      <w:pPr>
        <w:spacing w:after="0" w:line="4" w:lineRule="exact"/>
        <w:rPr>
          <w:rFonts w:ascii="Arial" w:cs="Arial" w:eastAsia="Arial" w:hAnsi="Arial"/>
          <w:sz w:val="21"/>
          <w:szCs w:val="21"/>
          <w:color w:val="060606"/>
          <w:vertAlign w:val="superscript"/>
        </w:rPr>
      </w:pPr>
    </w:p>
    <w:p>
      <w:pPr>
        <w:ind w:left="340" w:hanging="332"/>
        <w:spacing w:after="0" w:line="226" w:lineRule="auto"/>
        <w:tabs>
          <w:tab w:leader="none" w:pos="333" w:val="left"/>
        </w:tabs>
        <w:numPr>
          <w:ilvl w:val="0"/>
          <w:numId w:val="15"/>
        </w:numPr>
        <w:rPr>
          <w:rFonts w:ascii="Arial" w:cs="Arial" w:eastAsia="Arial" w:hAnsi="Arial"/>
          <w:sz w:val="21"/>
          <w:szCs w:val="21"/>
          <w:color w:val="060606"/>
          <w:vertAlign w:val="superscript"/>
        </w:rPr>
      </w:pPr>
      <w:r>
        <w:rPr>
          <w:rFonts w:ascii="Arial" w:cs="Arial" w:eastAsia="Arial" w:hAnsi="Arial"/>
          <w:sz w:val="16"/>
          <w:szCs w:val="16"/>
          <w:color w:val="060606"/>
        </w:rPr>
        <w:t>Legal expenses primarily related to 3T Heater-Cooler defense, 3T Heater-Cooler litigation provision, Saluggia site remediation provision, and Medical Device Regulation ("MDR") costs</w:t>
      </w:r>
    </w:p>
    <w:p>
      <w:pPr>
        <w:ind w:left="320" w:hanging="312"/>
        <w:spacing w:after="0" w:line="201" w:lineRule="auto"/>
        <w:tabs>
          <w:tab w:leader="none" w:pos="320" w:val="left"/>
        </w:tabs>
        <w:numPr>
          <w:ilvl w:val="0"/>
          <w:numId w:val="15"/>
        </w:numPr>
        <w:rPr>
          <w:rFonts w:ascii="Arial" w:cs="Arial" w:eastAsia="Arial" w:hAnsi="Arial"/>
          <w:sz w:val="21"/>
          <w:szCs w:val="21"/>
          <w:color w:val="060606"/>
          <w:vertAlign w:val="superscript"/>
        </w:rPr>
      </w:pPr>
      <w:r>
        <w:rPr>
          <w:rFonts w:ascii="Arial" w:cs="Arial" w:eastAsia="Arial" w:hAnsi="Arial"/>
          <w:sz w:val="16"/>
          <w:szCs w:val="16"/>
          <w:color w:val="060606"/>
        </w:rPr>
        <w:t>Non-cash expenses associated with share-based compensation costs</w:t>
      </w:r>
    </w:p>
    <w:p>
      <w:pPr>
        <w:spacing w:after="0" w:line="4" w:lineRule="exact"/>
        <w:rPr>
          <w:rFonts w:ascii="Arial" w:cs="Arial" w:eastAsia="Arial" w:hAnsi="Arial"/>
          <w:sz w:val="21"/>
          <w:szCs w:val="21"/>
          <w:color w:val="060606"/>
          <w:vertAlign w:val="superscript"/>
        </w:rPr>
      </w:pPr>
    </w:p>
    <w:p>
      <w:pPr>
        <w:ind w:left="320" w:hanging="312"/>
        <w:spacing w:after="0" w:line="197" w:lineRule="auto"/>
        <w:tabs>
          <w:tab w:leader="none" w:pos="320" w:val="left"/>
        </w:tabs>
        <w:numPr>
          <w:ilvl w:val="0"/>
          <w:numId w:val="15"/>
        </w:numPr>
        <w:rPr>
          <w:rFonts w:ascii="Arial" w:cs="Arial" w:eastAsia="Arial" w:hAnsi="Arial"/>
          <w:sz w:val="21"/>
          <w:szCs w:val="21"/>
          <w:color w:val="060606"/>
          <w:vertAlign w:val="superscript"/>
        </w:rPr>
      </w:pPr>
      <w:r>
        <w:rPr>
          <w:rFonts w:ascii="Arial" w:cs="Arial" w:eastAsia="Arial" w:hAnsi="Arial"/>
          <w:sz w:val="16"/>
          <w:szCs w:val="16"/>
          <w:color w:val="060606"/>
        </w:rPr>
        <w:t>The impact of valuation allowances, discrete tax items, the tax impact of intercompany transactions, and the tax impact on non-GAAP adjustments</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060606"/>
        </w:rPr>
        <w:t>• Numbers may not add precisely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2"/>
          <w:szCs w:val="22"/>
          <w:color w:val="060606"/>
        </w:rPr>
        <w:t>16</w:t>
      </w:r>
    </w:p>
    <w:p>
      <w:pPr>
        <w:sectPr>
          <w:pgSz w:w="11900" w:h="16838" w:orient="portrait"/>
          <w:cols w:equalWidth="0" w:num="1">
            <w:col w:w="11240"/>
          </w:cols>
          <w:pgMar w:left="320" w:top="1440" w:right="339" w:bottom="1440" w:gutter="0" w:footer="0" w:header="0"/>
        </w:sectPr>
      </w:pPr>
    </w:p>
    <w:bookmarkStart w:id="19" w:name="page20"/>
    <w:bookmarkEnd w:id="19"/>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20"/>
        <w:spacing w:after="0"/>
        <w:rPr>
          <w:sz w:val="20"/>
          <w:szCs w:val="20"/>
          <w:color w:val="auto"/>
        </w:rPr>
      </w:pPr>
      <w:r>
        <w:rPr>
          <w:rFonts w:ascii="Arial" w:cs="Arial" w:eastAsia="Arial" w:hAnsi="Arial"/>
          <w:sz w:val="14"/>
          <w:szCs w:val="14"/>
          <w:color w:val="060606"/>
        </w:rPr>
        <w:t>RECONCILIATION OF GAAP TO NON-GAAP FINANCIAL MEASURES - UNAUDITED</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4"/>
          <w:szCs w:val="14"/>
          <w:color w:val="060606"/>
        </w:rPr>
        <w:t>(In millions, except for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 w:lineRule="exact"/>
        <w:rPr>
          <w:sz w:val="20"/>
          <w:szCs w:val="20"/>
          <w:color w:val="auto"/>
        </w:rPr>
      </w:pPr>
    </w:p>
    <w:p>
      <w:pPr>
        <w:ind w:left="5940"/>
        <w:spacing w:after="0"/>
        <w:rPr>
          <w:sz w:val="20"/>
          <w:szCs w:val="20"/>
          <w:color w:val="auto"/>
        </w:rPr>
      </w:pPr>
      <w:r>
        <w:rPr>
          <w:rFonts w:ascii="Arial" w:cs="Arial" w:eastAsia="Arial" w:hAnsi="Arial"/>
          <w:sz w:val="14"/>
          <w:szCs w:val="14"/>
          <w:color w:val="060606"/>
        </w:rPr>
        <w:t>Non-GAAP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1916430</wp:posOffset>
            </wp:positionH>
            <wp:positionV relativeFrom="paragraph">
              <wp:posOffset>23495</wp:posOffset>
            </wp:positionV>
            <wp:extent cx="46888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688840" cy="8255"/>
                    </a:xfrm>
                    <a:prstGeom prst="rect">
                      <a:avLst/>
                    </a:prstGeom>
                    <a:noFill/>
                  </pic:spPr>
                </pic:pic>
              </a:graphicData>
            </a:graphic>
          </wp:anchor>
        </w:drawing>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240" w:type="dxa"/>
            <w:vAlign w:val="bottom"/>
          </w:tcPr>
          <w:p>
            <w:pPr>
              <w:spacing w:after="0"/>
              <w:rPr>
                <w:sz w:val="13"/>
                <w:szCs w:val="13"/>
                <w:color w:val="auto"/>
              </w:rPr>
            </w:pPr>
          </w:p>
        </w:tc>
        <w:tc>
          <w:tcPr>
            <w:tcW w:w="820" w:type="dxa"/>
            <w:vAlign w:val="bottom"/>
            <w:vMerge w:val="restart"/>
          </w:tcPr>
          <w:p>
            <w:pPr>
              <w:jc w:val="center"/>
              <w:spacing w:after="0"/>
              <w:rPr>
                <w:sz w:val="20"/>
                <w:szCs w:val="20"/>
                <w:color w:val="auto"/>
              </w:rPr>
            </w:pPr>
            <w:r>
              <w:rPr>
                <w:rFonts w:ascii="Arial" w:cs="Arial" w:eastAsia="Arial" w:hAnsi="Arial"/>
                <w:sz w:val="13"/>
                <w:szCs w:val="13"/>
                <w:color w:val="060606"/>
                <w:w w:val="93"/>
              </w:rPr>
              <w:t>GAAP</w:t>
            </w: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jc w:val="center"/>
              <w:ind w:right="11"/>
              <w:spacing w:after="0"/>
              <w:rPr>
                <w:sz w:val="20"/>
                <w:szCs w:val="20"/>
                <w:color w:val="auto"/>
              </w:rPr>
            </w:pPr>
            <w:r>
              <w:rPr>
                <w:rFonts w:ascii="Arial" w:cs="Arial" w:eastAsia="Arial" w:hAnsi="Arial"/>
                <w:sz w:val="13"/>
                <w:szCs w:val="13"/>
                <w:color w:val="060606"/>
                <w:w w:val="95"/>
              </w:rPr>
              <w:t>Depreciation</w:t>
            </w:r>
          </w:p>
        </w:tc>
        <w:tc>
          <w:tcPr>
            <w:tcW w:w="9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00" w:type="dxa"/>
            <w:vAlign w:val="bottom"/>
            <w:vMerge w:val="restart"/>
          </w:tcPr>
          <w:p>
            <w:pPr>
              <w:jc w:val="center"/>
              <w:spacing w:after="0"/>
              <w:rPr>
                <w:sz w:val="20"/>
                <w:szCs w:val="20"/>
                <w:color w:val="auto"/>
              </w:rPr>
            </w:pPr>
            <w:r>
              <w:rPr>
                <w:rFonts w:ascii="Arial" w:cs="Arial" w:eastAsia="Arial" w:hAnsi="Arial"/>
                <w:sz w:val="13"/>
                <w:szCs w:val="13"/>
                <w:color w:val="060606"/>
                <w:w w:val="95"/>
              </w:rPr>
              <w:t>Certain Legal</w:t>
            </w:r>
          </w:p>
        </w:tc>
        <w:tc>
          <w:tcPr>
            <w:tcW w:w="960" w:type="dxa"/>
            <w:vAlign w:val="bottom"/>
            <w:vMerge w:val="restart"/>
          </w:tcPr>
          <w:p>
            <w:pPr>
              <w:jc w:val="center"/>
              <w:spacing w:after="0"/>
              <w:rPr>
                <w:sz w:val="20"/>
                <w:szCs w:val="20"/>
                <w:color w:val="auto"/>
              </w:rPr>
            </w:pPr>
            <w:r>
              <w:rPr>
                <w:rFonts w:ascii="Arial" w:cs="Arial" w:eastAsia="Arial" w:hAnsi="Arial"/>
                <w:sz w:val="13"/>
                <w:szCs w:val="13"/>
                <w:color w:val="060606"/>
                <w:w w:val="96"/>
              </w:rPr>
              <w:t>Share-based</w:t>
            </w: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vMerge w:val="restart"/>
          </w:tcPr>
          <w:p>
            <w:pPr>
              <w:jc w:val="center"/>
              <w:spacing w:after="0"/>
              <w:rPr>
                <w:sz w:val="20"/>
                <w:szCs w:val="20"/>
                <w:color w:val="auto"/>
              </w:rPr>
            </w:pPr>
            <w:r>
              <w:rPr>
                <w:rFonts w:ascii="Arial" w:cs="Arial" w:eastAsia="Arial" w:hAnsi="Arial"/>
                <w:sz w:val="13"/>
                <w:szCs w:val="13"/>
                <w:color w:val="060606"/>
                <w:w w:val="94"/>
              </w:rPr>
              <w:t>Adjusted</w:t>
            </w:r>
          </w:p>
        </w:tc>
        <w:tc>
          <w:tcPr>
            <w:tcW w:w="0" w:type="dxa"/>
            <w:vAlign w:val="bottom"/>
          </w:tcPr>
          <w:p>
            <w:pPr>
              <w:spacing w:after="0"/>
              <w:rPr>
                <w:sz w:val="1"/>
                <w:szCs w:val="1"/>
                <w:color w:val="auto"/>
              </w:rPr>
            </w:pPr>
          </w:p>
        </w:tc>
      </w:tr>
      <w:tr>
        <w:trPr>
          <w:trHeight w:val="153"/>
        </w:trPr>
        <w:tc>
          <w:tcPr>
            <w:tcW w:w="2240" w:type="dxa"/>
            <w:vAlign w:val="bottom"/>
            <w:vMerge w:val="restart"/>
          </w:tcPr>
          <w:p>
            <w:pPr>
              <w:ind w:left="20"/>
              <w:spacing w:after="0"/>
              <w:rPr>
                <w:sz w:val="20"/>
                <w:szCs w:val="20"/>
                <w:color w:val="auto"/>
              </w:rPr>
            </w:pPr>
            <w:r>
              <w:rPr>
                <w:rFonts w:ascii="Arial" w:cs="Arial" w:eastAsia="Arial" w:hAnsi="Arial"/>
                <w:sz w:val="14"/>
                <w:szCs w:val="14"/>
                <w:color w:val="060606"/>
              </w:rPr>
              <w:t>Nine Months Ended</w:t>
            </w:r>
          </w:p>
        </w:tc>
        <w:tc>
          <w:tcPr>
            <w:tcW w:w="820" w:type="dxa"/>
            <w:vAlign w:val="bottom"/>
            <w:vMerge w:val="continue"/>
          </w:tcPr>
          <w:p>
            <w:pPr>
              <w:spacing w:after="0"/>
              <w:rPr>
                <w:sz w:val="13"/>
                <w:szCs w:val="13"/>
                <w:color w:val="auto"/>
              </w:rPr>
            </w:pPr>
          </w:p>
        </w:tc>
        <w:tc>
          <w:tcPr>
            <w:tcW w:w="960" w:type="dxa"/>
            <w:vAlign w:val="bottom"/>
            <w:gridSpan w:val="2"/>
            <w:vMerge w:val="restart"/>
          </w:tcPr>
          <w:p>
            <w:pPr>
              <w:ind w:left="60"/>
              <w:spacing w:after="0"/>
              <w:rPr>
                <w:sz w:val="20"/>
                <w:szCs w:val="20"/>
                <w:color w:val="auto"/>
              </w:rPr>
            </w:pPr>
            <w:r>
              <w:rPr>
                <w:rFonts w:ascii="Arial" w:cs="Arial" w:eastAsia="Arial" w:hAnsi="Arial"/>
                <w:sz w:val="13"/>
                <w:szCs w:val="13"/>
                <w:color w:val="060606"/>
              </w:rPr>
              <w:t>Restructuring</w:t>
            </w:r>
          </w:p>
        </w:tc>
        <w:tc>
          <w:tcPr>
            <w:tcW w:w="900" w:type="dxa"/>
            <w:vAlign w:val="bottom"/>
          </w:tcPr>
          <w:p>
            <w:pPr>
              <w:jc w:val="center"/>
              <w:ind w:right="11"/>
              <w:spacing w:after="0"/>
              <w:rPr>
                <w:sz w:val="20"/>
                <w:szCs w:val="20"/>
                <w:color w:val="auto"/>
              </w:rPr>
            </w:pPr>
            <w:r>
              <w:rPr>
                <w:rFonts w:ascii="Arial" w:cs="Arial" w:eastAsia="Arial" w:hAnsi="Arial"/>
                <w:sz w:val="13"/>
                <w:szCs w:val="13"/>
                <w:color w:val="060606"/>
              </w:rPr>
              <w:t>and</w:t>
            </w:r>
          </w:p>
        </w:tc>
        <w:tc>
          <w:tcPr>
            <w:tcW w:w="900" w:type="dxa"/>
            <w:vAlign w:val="bottom"/>
          </w:tcPr>
          <w:p>
            <w:pPr>
              <w:jc w:val="center"/>
              <w:spacing w:after="0"/>
              <w:rPr>
                <w:sz w:val="20"/>
                <w:szCs w:val="20"/>
                <w:color w:val="auto"/>
              </w:rPr>
            </w:pPr>
            <w:r>
              <w:rPr>
                <w:rFonts w:ascii="Arial" w:cs="Arial" w:eastAsia="Arial" w:hAnsi="Arial"/>
                <w:sz w:val="13"/>
                <w:szCs w:val="13"/>
                <w:color w:val="060606"/>
                <w:w w:val="97"/>
              </w:rPr>
              <w:t>Investment</w:t>
            </w:r>
          </w:p>
        </w:tc>
        <w:tc>
          <w:tcPr>
            <w:tcW w:w="900" w:type="dxa"/>
            <w:vAlign w:val="bottom"/>
          </w:tcPr>
          <w:p>
            <w:pPr>
              <w:jc w:val="center"/>
              <w:spacing w:after="0"/>
              <w:rPr>
                <w:sz w:val="20"/>
                <w:szCs w:val="20"/>
                <w:color w:val="auto"/>
              </w:rPr>
            </w:pPr>
            <w:r>
              <w:rPr>
                <w:rFonts w:ascii="Arial" w:cs="Arial" w:eastAsia="Arial" w:hAnsi="Arial"/>
                <w:sz w:val="13"/>
                <w:szCs w:val="13"/>
                <w:color w:val="060606"/>
                <w:w w:val="99"/>
              </w:rPr>
              <w:t>Financing</w:t>
            </w:r>
          </w:p>
        </w:tc>
        <w:tc>
          <w:tcPr>
            <w:tcW w:w="920" w:type="dxa"/>
            <w:vAlign w:val="bottom"/>
          </w:tcPr>
          <w:p>
            <w:pPr>
              <w:jc w:val="center"/>
              <w:spacing w:after="0"/>
              <w:rPr>
                <w:sz w:val="20"/>
                <w:szCs w:val="20"/>
                <w:color w:val="auto"/>
              </w:rPr>
            </w:pPr>
            <w:r>
              <w:rPr>
                <w:rFonts w:ascii="Arial" w:cs="Arial" w:eastAsia="Arial" w:hAnsi="Arial"/>
                <w:sz w:val="13"/>
                <w:szCs w:val="13"/>
                <w:color w:val="060606"/>
                <w:w w:val="98"/>
              </w:rPr>
              <w:t>Contingent</w:t>
            </w:r>
          </w:p>
        </w:tc>
        <w:tc>
          <w:tcPr>
            <w:tcW w:w="90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960" w:type="dxa"/>
            <w:vAlign w:val="bottom"/>
            <w:gridSpan w:val="2"/>
            <w:vMerge w:val="restart"/>
          </w:tcPr>
          <w:p>
            <w:pPr>
              <w:ind w:left="120"/>
              <w:spacing w:after="0"/>
              <w:rPr>
                <w:sz w:val="20"/>
                <w:szCs w:val="20"/>
                <w:color w:val="auto"/>
              </w:rPr>
            </w:pPr>
            <w:r>
              <w:rPr>
                <w:rFonts w:ascii="Arial" w:cs="Arial" w:eastAsia="Arial" w:hAnsi="Arial"/>
                <w:sz w:val="13"/>
                <w:szCs w:val="13"/>
                <w:color w:val="060606"/>
              </w:rPr>
              <w:t>Certain Tax</w:t>
            </w:r>
          </w:p>
        </w:tc>
        <w:tc>
          <w:tcPr>
            <w:tcW w:w="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4"/>
        </w:trPr>
        <w:tc>
          <w:tcPr>
            <w:tcW w:w="2240" w:type="dxa"/>
            <w:vAlign w:val="bottom"/>
            <w:vMerge w:val="continue"/>
          </w:tcPr>
          <w:p>
            <w:pPr>
              <w:spacing w:after="0"/>
              <w:rPr>
                <w:sz w:val="8"/>
                <w:szCs w:val="8"/>
                <w:color w:val="auto"/>
              </w:rPr>
            </w:pPr>
          </w:p>
        </w:tc>
        <w:tc>
          <w:tcPr>
            <w:tcW w:w="820" w:type="dxa"/>
            <w:vAlign w:val="bottom"/>
          </w:tcPr>
          <w:p>
            <w:pPr>
              <w:jc w:val="center"/>
              <w:spacing w:after="0" w:line="95" w:lineRule="exact"/>
              <w:rPr>
                <w:sz w:val="20"/>
                <w:szCs w:val="20"/>
                <w:color w:val="auto"/>
              </w:rPr>
            </w:pPr>
            <w:r>
              <w:rPr>
                <w:rFonts w:ascii="Arial" w:cs="Arial" w:eastAsia="Arial" w:hAnsi="Arial"/>
                <w:sz w:val="10"/>
                <w:szCs w:val="10"/>
                <w:color w:val="060606"/>
              </w:rPr>
              <w:t>Financial</w:t>
            </w:r>
          </w:p>
        </w:tc>
        <w:tc>
          <w:tcPr>
            <w:tcW w:w="960" w:type="dxa"/>
            <w:vAlign w:val="bottom"/>
            <w:gridSpan w:val="2"/>
            <w:vMerge w:val="continue"/>
          </w:tcPr>
          <w:p>
            <w:pPr>
              <w:spacing w:after="0"/>
              <w:rPr>
                <w:sz w:val="8"/>
                <w:szCs w:val="8"/>
                <w:color w:val="auto"/>
              </w:rPr>
            </w:pPr>
          </w:p>
        </w:tc>
        <w:tc>
          <w:tcPr>
            <w:tcW w:w="900" w:type="dxa"/>
            <w:vAlign w:val="bottom"/>
          </w:tcPr>
          <w:p>
            <w:pPr>
              <w:jc w:val="center"/>
              <w:ind w:right="11"/>
              <w:spacing w:after="0" w:line="95" w:lineRule="exact"/>
              <w:rPr>
                <w:sz w:val="20"/>
                <w:szCs w:val="20"/>
                <w:color w:val="auto"/>
              </w:rPr>
            </w:pPr>
            <w:r>
              <w:rPr>
                <w:rFonts w:ascii="Arial" w:cs="Arial" w:eastAsia="Arial" w:hAnsi="Arial"/>
                <w:sz w:val="10"/>
                <w:szCs w:val="10"/>
                <w:color w:val="060606"/>
              </w:rPr>
              <w:t>Amortization</w:t>
            </w:r>
          </w:p>
        </w:tc>
        <w:tc>
          <w:tcPr>
            <w:tcW w:w="900" w:type="dxa"/>
            <w:vAlign w:val="bottom"/>
            <w:vMerge w:val="restart"/>
          </w:tcPr>
          <w:p>
            <w:pPr>
              <w:jc w:val="center"/>
              <w:spacing w:after="0" w:line="135" w:lineRule="exact"/>
              <w:rPr>
                <w:sz w:val="20"/>
                <w:szCs w:val="20"/>
                <w:color w:val="auto"/>
              </w:rPr>
            </w:pPr>
            <w:r>
              <w:rPr>
                <w:rFonts w:ascii="Arial" w:cs="Arial" w:eastAsia="Arial" w:hAnsi="Arial"/>
                <w:sz w:val="13"/>
                <w:szCs w:val="13"/>
                <w:color w:val="060606"/>
                <w:w w:val="97"/>
              </w:rPr>
              <w:t>Related Items</w:t>
            </w:r>
          </w:p>
        </w:tc>
        <w:tc>
          <w:tcPr>
            <w:tcW w:w="900" w:type="dxa"/>
            <w:vAlign w:val="bottom"/>
            <w:vMerge w:val="restart"/>
          </w:tcPr>
          <w:p>
            <w:pPr>
              <w:jc w:val="center"/>
              <w:ind w:right="11"/>
              <w:spacing w:after="0" w:line="135" w:lineRule="exact"/>
              <w:rPr>
                <w:sz w:val="20"/>
                <w:szCs w:val="20"/>
                <w:color w:val="auto"/>
              </w:rPr>
            </w:pPr>
            <w:r>
              <w:rPr>
                <w:rFonts w:ascii="Arial" w:cs="Arial" w:eastAsia="Arial" w:hAnsi="Arial"/>
                <w:sz w:val="13"/>
                <w:szCs w:val="13"/>
                <w:color w:val="060606"/>
                <w:w w:val="97"/>
              </w:rPr>
              <w:t>Related Items</w:t>
            </w:r>
          </w:p>
        </w:tc>
        <w:tc>
          <w:tcPr>
            <w:tcW w:w="920" w:type="dxa"/>
            <w:vAlign w:val="bottom"/>
            <w:vMerge w:val="restart"/>
          </w:tcPr>
          <w:p>
            <w:pPr>
              <w:jc w:val="center"/>
              <w:spacing w:after="0" w:line="135" w:lineRule="exact"/>
              <w:rPr>
                <w:sz w:val="20"/>
                <w:szCs w:val="20"/>
                <w:color w:val="auto"/>
              </w:rPr>
            </w:pPr>
            <w:r>
              <w:rPr>
                <w:rFonts w:ascii="Arial" w:cs="Arial" w:eastAsia="Arial" w:hAnsi="Arial"/>
                <w:sz w:val="13"/>
                <w:szCs w:val="13"/>
                <w:color w:val="060606"/>
                <w:w w:val="97"/>
              </w:rPr>
              <w:t>Consideration</w:t>
            </w:r>
          </w:p>
        </w:tc>
        <w:tc>
          <w:tcPr>
            <w:tcW w:w="900" w:type="dxa"/>
            <w:vAlign w:val="bottom"/>
          </w:tcPr>
          <w:p>
            <w:pPr>
              <w:jc w:val="center"/>
              <w:spacing w:after="0" w:line="95" w:lineRule="exact"/>
              <w:rPr>
                <w:sz w:val="20"/>
                <w:szCs w:val="20"/>
                <w:color w:val="auto"/>
              </w:rPr>
            </w:pPr>
            <w:r>
              <w:rPr>
                <w:rFonts w:ascii="Arial" w:cs="Arial" w:eastAsia="Arial" w:hAnsi="Arial"/>
                <w:sz w:val="10"/>
                <w:szCs w:val="10"/>
                <w:color w:val="060606"/>
              </w:rPr>
              <w:t>&amp; Regulatory</w:t>
            </w:r>
          </w:p>
        </w:tc>
        <w:tc>
          <w:tcPr>
            <w:tcW w:w="960" w:type="dxa"/>
            <w:vAlign w:val="bottom"/>
          </w:tcPr>
          <w:p>
            <w:pPr>
              <w:jc w:val="center"/>
              <w:spacing w:after="0" w:line="95" w:lineRule="exact"/>
              <w:rPr>
                <w:sz w:val="20"/>
                <w:szCs w:val="20"/>
                <w:color w:val="auto"/>
              </w:rPr>
            </w:pPr>
            <w:r>
              <w:rPr>
                <w:rFonts w:ascii="Arial" w:cs="Arial" w:eastAsia="Arial" w:hAnsi="Arial"/>
                <w:sz w:val="10"/>
                <w:szCs w:val="10"/>
                <w:color w:val="060606"/>
              </w:rPr>
              <w:t>Compensation</w:t>
            </w:r>
          </w:p>
        </w:tc>
        <w:tc>
          <w:tcPr>
            <w:tcW w:w="960" w:type="dxa"/>
            <w:vAlign w:val="bottom"/>
            <w:gridSpan w:val="2"/>
            <w:vMerge w:val="continue"/>
          </w:tcPr>
          <w:p>
            <w:pPr>
              <w:spacing w:after="0"/>
              <w:rPr>
                <w:sz w:val="8"/>
                <w:szCs w:val="8"/>
                <w:color w:val="auto"/>
              </w:rPr>
            </w:pPr>
          </w:p>
        </w:tc>
        <w:tc>
          <w:tcPr>
            <w:tcW w:w="780" w:type="dxa"/>
            <w:vAlign w:val="bottom"/>
          </w:tcPr>
          <w:p>
            <w:pPr>
              <w:jc w:val="center"/>
              <w:spacing w:after="0" w:line="95" w:lineRule="exact"/>
              <w:rPr>
                <w:sz w:val="20"/>
                <w:szCs w:val="20"/>
                <w:color w:val="auto"/>
              </w:rPr>
            </w:pPr>
            <w:r>
              <w:rPr>
                <w:rFonts w:ascii="Arial" w:cs="Arial" w:eastAsia="Arial" w:hAnsi="Arial"/>
                <w:sz w:val="10"/>
                <w:szCs w:val="10"/>
                <w:color w:val="060606"/>
              </w:rPr>
              <w:t>Financial</w:t>
            </w:r>
          </w:p>
        </w:tc>
        <w:tc>
          <w:tcPr>
            <w:tcW w:w="0" w:type="dxa"/>
            <w:vAlign w:val="bottom"/>
          </w:tcPr>
          <w:p>
            <w:pPr>
              <w:spacing w:after="0"/>
              <w:rPr>
                <w:sz w:val="1"/>
                <w:szCs w:val="1"/>
                <w:color w:val="auto"/>
              </w:rPr>
            </w:pPr>
          </w:p>
        </w:tc>
      </w:tr>
      <w:tr>
        <w:trPr>
          <w:trHeight w:val="41"/>
        </w:trPr>
        <w:tc>
          <w:tcPr>
            <w:tcW w:w="2240" w:type="dxa"/>
            <w:vAlign w:val="bottom"/>
            <w:vMerge w:val="restart"/>
          </w:tcPr>
          <w:p>
            <w:pPr>
              <w:ind w:left="20"/>
              <w:spacing w:after="0"/>
              <w:rPr>
                <w:sz w:val="20"/>
                <w:szCs w:val="20"/>
                <w:color w:val="auto"/>
              </w:rPr>
            </w:pPr>
            <w:r>
              <w:rPr>
                <w:rFonts w:ascii="Arial" w:cs="Arial" w:eastAsia="Arial" w:hAnsi="Arial"/>
                <w:sz w:val="14"/>
                <w:szCs w:val="14"/>
                <w:color w:val="060606"/>
              </w:rPr>
              <w:t>September 30, 2025</w:t>
            </w:r>
          </w:p>
        </w:tc>
        <w:tc>
          <w:tcPr>
            <w:tcW w:w="820" w:type="dxa"/>
            <w:vAlign w:val="bottom"/>
            <w:vMerge w:val="restart"/>
          </w:tcPr>
          <w:p>
            <w:pPr>
              <w:jc w:val="center"/>
              <w:spacing w:after="0"/>
              <w:rPr>
                <w:sz w:val="20"/>
                <w:szCs w:val="20"/>
                <w:color w:val="auto"/>
              </w:rPr>
            </w:pPr>
            <w:r>
              <w:rPr>
                <w:rFonts w:ascii="Arial" w:cs="Arial" w:eastAsia="Arial" w:hAnsi="Arial"/>
                <w:sz w:val="13"/>
                <w:szCs w:val="13"/>
                <w:color w:val="060606"/>
                <w:w w:val="94"/>
              </w:rPr>
              <w:t>Measures</w:t>
            </w:r>
          </w:p>
        </w:tc>
        <w:tc>
          <w:tcPr>
            <w:tcW w:w="620" w:type="dxa"/>
            <w:vAlign w:val="bottom"/>
            <w:vMerge w:val="restart"/>
          </w:tcPr>
          <w:p>
            <w:pPr>
              <w:ind w:left="120"/>
              <w:spacing w:after="0"/>
              <w:rPr>
                <w:sz w:val="20"/>
                <w:szCs w:val="20"/>
                <w:color w:val="auto"/>
              </w:rPr>
            </w:pPr>
            <w:r>
              <w:rPr>
                <w:rFonts w:ascii="Arial" w:cs="Arial" w:eastAsia="Arial" w:hAnsi="Arial"/>
                <w:sz w:val="13"/>
                <w:szCs w:val="13"/>
                <w:color w:val="060606"/>
                <w:w w:val="94"/>
              </w:rPr>
              <w:t>Expense</w:t>
            </w:r>
          </w:p>
        </w:tc>
        <w:tc>
          <w:tcPr>
            <w:tcW w:w="340" w:type="dxa"/>
            <w:vAlign w:val="bottom"/>
          </w:tcPr>
          <w:p>
            <w:pPr>
              <w:jc w:val="right"/>
              <w:ind w:right="200"/>
              <w:spacing w:after="0" w:line="41" w:lineRule="exact"/>
              <w:rPr>
                <w:sz w:val="20"/>
                <w:szCs w:val="20"/>
                <w:color w:val="auto"/>
              </w:rPr>
            </w:pPr>
            <w:r>
              <w:rPr>
                <w:rFonts w:ascii="Arial" w:cs="Arial" w:eastAsia="Arial" w:hAnsi="Arial"/>
                <w:sz w:val="4"/>
                <w:szCs w:val="4"/>
                <w:color w:val="060606"/>
              </w:rPr>
              <w:t>(1)</w:t>
            </w:r>
          </w:p>
        </w:tc>
        <w:tc>
          <w:tcPr>
            <w:tcW w:w="900" w:type="dxa"/>
            <w:vAlign w:val="bottom"/>
            <w:vMerge w:val="restart"/>
          </w:tcPr>
          <w:p>
            <w:pPr>
              <w:jc w:val="center"/>
              <w:ind w:right="11"/>
              <w:spacing w:after="0" w:line="175" w:lineRule="exact"/>
              <w:rPr>
                <w:sz w:val="20"/>
                <w:szCs w:val="20"/>
                <w:color w:val="auto"/>
              </w:rPr>
            </w:pPr>
            <w:r>
              <w:rPr>
                <w:rFonts w:ascii="Arial" w:cs="Arial" w:eastAsia="Arial" w:hAnsi="Arial"/>
                <w:sz w:val="13"/>
                <w:szCs w:val="13"/>
                <w:color w:val="060606"/>
                <w:w w:val="92"/>
              </w:rPr>
              <w:t xml:space="preserve">Expense </w:t>
            </w:r>
            <w:r>
              <w:rPr>
                <w:rFonts w:ascii="Arial" w:cs="Arial" w:eastAsia="Arial" w:hAnsi="Arial"/>
                <w:sz w:val="16"/>
                <w:szCs w:val="16"/>
                <w:color w:val="060606"/>
                <w:w w:val="92"/>
                <w:vertAlign w:val="superscript"/>
              </w:rPr>
              <w:t>(2)</w:t>
            </w:r>
          </w:p>
        </w:tc>
        <w:tc>
          <w:tcPr>
            <w:tcW w:w="90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900" w:type="dxa"/>
            <w:vAlign w:val="bottom"/>
            <w:vMerge w:val="restart"/>
          </w:tcPr>
          <w:p>
            <w:pPr>
              <w:jc w:val="center"/>
              <w:spacing w:after="0" w:line="175" w:lineRule="exact"/>
              <w:rPr>
                <w:sz w:val="20"/>
                <w:szCs w:val="20"/>
                <w:color w:val="auto"/>
              </w:rPr>
            </w:pPr>
            <w:r>
              <w:rPr>
                <w:rFonts w:ascii="Arial" w:cs="Arial" w:eastAsia="Arial" w:hAnsi="Arial"/>
                <w:sz w:val="13"/>
                <w:szCs w:val="13"/>
                <w:color w:val="060606"/>
                <w:w w:val="92"/>
              </w:rPr>
              <w:t xml:space="preserve">Costs </w:t>
            </w:r>
            <w:r>
              <w:rPr>
                <w:rFonts w:ascii="Arial" w:cs="Arial" w:eastAsia="Arial" w:hAnsi="Arial"/>
                <w:sz w:val="16"/>
                <w:szCs w:val="16"/>
                <w:color w:val="060606"/>
                <w:w w:val="92"/>
                <w:vertAlign w:val="superscript"/>
              </w:rPr>
              <w:t>(6)</w:t>
            </w:r>
          </w:p>
        </w:tc>
        <w:tc>
          <w:tcPr>
            <w:tcW w:w="960" w:type="dxa"/>
            <w:vAlign w:val="bottom"/>
            <w:vMerge w:val="restart"/>
          </w:tcPr>
          <w:p>
            <w:pPr>
              <w:jc w:val="center"/>
              <w:spacing w:after="0" w:line="175" w:lineRule="exact"/>
              <w:rPr>
                <w:sz w:val="20"/>
                <w:szCs w:val="20"/>
                <w:color w:val="auto"/>
              </w:rPr>
            </w:pPr>
            <w:r>
              <w:rPr>
                <w:rFonts w:ascii="Arial" w:cs="Arial" w:eastAsia="Arial" w:hAnsi="Arial"/>
                <w:sz w:val="13"/>
                <w:szCs w:val="13"/>
                <w:color w:val="060606"/>
                <w:w w:val="88"/>
              </w:rPr>
              <w:t xml:space="preserve">Costs </w:t>
            </w:r>
            <w:r>
              <w:rPr>
                <w:rFonts w:ascii="Arial" w:cs="Arial" w:eastAsia="Arial" w:hAnsi="Arial"/>
                <w:sz w:val="16"/>
                <w:szCs w:val="16"/>
                <w:color w:val="060606"/>
                <w:w w:val="88"/>
                <w:vertAlign w:val="superscript"/>
              </w:rPr>
              <w:t>(7)</w:t>
            </w:r>
          </w:p>
        </w:tc>
        <w:tc>
          <w:tcPr>
            <w:tcW w:w="760" w:type="dxa"/>
            <w:vAlign w:val="bottom"/>
            <w:vMerge w:val="restart"/>
          </w:tcPr>
          <w:p>
            <w:pPr>
              <w:ind w:left="40"/>
              <w:spacing w:after="0"/>
              <w:rPr>
                <w:sz w:val="20"/>
                <w:szCs w:val="20"/>
                <w:color w:val="auto"/>
              </w:rPr>
            </w:pPr>
            <w:r>
              <w:rPr>
                <w:rFonts w:ascii="Arial" w:cs="Arial" w:eastAsia="Arial" w:hAnsi="Arial"/>
                <w:sz w:val="13"/>
                <w:szCs w:val="13"/>
                <w:color w:val="060606"/>
                <w:w w:val="97"/>
              </w:rPr>
              <w:t>Adjustments</w:t>
            </w:r>
          </w:p>
        </w:tc>
        <w:tc>
          <w:tcPr>
            <w:tcW w:w="200" w:type="dxa"/>
            <w:vAlign w:val="bottom"/>
          </w:tcPr>
          <w:p>
            <w:pPr>
              <w:jc w:val="right"/>
              <w:ind w:right="80"/>
              <w:spacing w:after="0" w:line="41" w:lineRule="exact"/>
              <w:rPr>
                <w:sz w:val="20"/>
                <w:szCs w:val="20"/>
                <w:color w:val="auto"/>
              </w:rPr>
            </w:pPr>
            <w:r>
              <w:rPr>
                <w:rFonts w:ascii="Arial" w:cs="Arial" w:eastAsia="Arial" w:hAnsi="Arial"/>
                <w:sz w:val="4"/>
                <w:szCs w:val="4"/>
                <w:color w:val="060606"/>
              </w:rPr>
              <w:t>(8)</w:t>
            </w:r>
          </w:p>
        </w:tc>
        <w:tc>
          <w:tcPr>
            <w:tcW w:w="780" w:type="dxa"/>
            <w:vAlign w:val="bottom"/>
            <w:vMerge w:val="restart"/>
          </w:tcPr>
          <w:p>
            <w:pPr>
              <w:jc w:val="center"/>
              <w:spacing w:after="0"/>
              <w:rPr>
                <w:sz w:val="20"/>
                <w:szCs w:val="20"/>
                <w:color w:val="auto"/>
              </w:rPr>
            </w:pPr>
            <w:r>
              <w:rPr>
                <w:rFonts w:ascii="Arial" w:cs="Arial" w:eastAsia="Arial" w:hAnsi="Arial"/>
                <w:sz w:val="13"/>
                <w:szCs w:val="13"/>
                <w:color w:val="060606"/>
                <w:w w:val="98"/>
              </w:rPr>
              <w:t>Measures</w:t>
            </w:r>
          </w:p>
        </w:tc>
        <w:tc>
          <w:tcPr>
            <w:tcW w:w="0" w:type="dxa"/>
            <w:vAlign w:val="bottom"/>
          </w:tcPr>
          <w:p>
            <w:pPr>
              <w:spacing w:after="0"/>
              <w:rPr>
                <w:sz w:val="1"/>
                <w:szCs w:val="1"/>
                <w:color w:val="auto"/>
              </w:rPr>
            </w:pPr>
          </w:p>
        </w:tc>
      </w:tr>
      <w:tr>
        <w:trPr>
          <w:trHeight w:val="135"/>
        </w:trPr>
        <w:tc>
          <w:tcPr>
            <w:tcW w:w="2240" w:type="dxa"/>
            <w:vAlign w:val="bottom"/>
            <w:tcBorders>
              <w:bottom w:val="single" w:sz="8" w:color="auto"/>
            </w:tcBorders>
            <w:vMerge w:val="continue"/>
          </w:tcPr>
          <w:p>
            <w:pPr>
              <w:spacing w:after="0"/>
              <w:rPr>
                <w:sz w:val="11"/>
                <w:szCs w:val="11"/>
                <w:color w:val="auto"/>
              </w:rPr>
            </w:pPr>
          </w:p>
        </w:tc>
        <w:tc>
          <w:tcPr>
            <w:tcW w:w="820" w:type="dxa"/>
            <w:vAlign w:val="bottom"/>
            <w:tcBorders>
              <w:bottom w:val="single" w:sz="8" w:color="auto"/>
            </w:tcBorders>
            <w:vMerge w:val="continue"/>
          </w:tcPr>
          <w:p>
            <w:pPr>
              <w:spacing w:after="0"/>
              <w:rPr>
                <w:sz w:val="11"/>
                <w:szCs w:val="11"/>
                <w:color w:val="auto"/>
              </w:rPr>
            </w:pPr>
          </w:p>
        </w:tc>
        <w:tc>
          <w:tcPr>
            <w:tcW w:w="620" w:type="dxa"/>
            <w:vAlign w:val="bottom"/>
            <w:tcBorders>
              <w:bottom w:val="single" w:sz="8" w:color="auto"/>
            </w:tcBorders>
            <w:vMerge w:val="continue"/>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vMerge w:val="continue"/>
          </w:tcPr>
          <w:p>
            <w:pPr>
              <w:spacing w:after="0"/>
              <w:rPr>
                <w:sz w:val="11"/>
                <w:szCs w:val="11"/>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8"/>
                <w:szCs w:val="8"/>
                <w:color w:val="060606"/>
              </w:rPr>
              <w:t>(3)</w:t>
            </w:r>
          </w:p>
        </w:tc>
        <w:tc>
          <w:tcPr>
            <w:tcW w:w="900" w:type="dxa"/>
            <w:vAlign w:val="bottom"/>
            <w:tcBorders>
              <w:bottom w:val="single" w:sz="8" w:color="auto"/>
            </w:tcBorders>
          </w:tcPr>
          <w:p>
            <w:pPr>
              <w:jc w:val="center"/>
              <w:ind w:right="11"/>
              <w:spacing w:after="0"/>
              <w:rPr>
                <w:sz w:val="20"/>
                <w:szCs w:val="20"/>
                <w:color w:val="auto"/>
              </w:rPr>
            </w:pPr>
            <w:r>
              <w:rPr>
                <w:rFonts w:ascii="Arial" w:cs="Arial" w:eastAsia="Arial" w:hAnsi="Arial"/>
                <w:sz w:val="8"/>
                <w:szCs w:val="8"/>
                <w:color w:val="060606"/>
              </w:rPr>
              <w:t>(4)</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8"/>
                <w:szCs w:val="8"/>
                <w:color w:val="060606"/>
              </w:rPr>
              <w:t>(5)</w:t>
            </w:r>
          </w:p>
        </w:tc>
        <w:tc>
          <w:tcPr>
            <w:tcW w:w="900" w:type="dxa"/>
            <w:vAlign w:val="bottom"/>
            <w:tcBorders>
              <w:bottom w:val="single" w:sz="8" w:color="auto"/>
            </w:tcBorders>
            <w:vMerge w:val="continue"/>
          </w:tcPr>
          <w:p>
            <w:pPr>
              <w:spacing w:after="0"/>
              <w:rPr>
                <w:sz w:val="11"/>
                <w:szCs w:val="11"/>
                <w:color w:val="auto"/>
              </w:rPr>
            </w:pPr>
          </w:p>
        </w:tc>
        <w:tc>
          <w:tcPr>
            <w:tcW w:w="960" w:type="dxa"/>
            <w:vAlign w:val="bottom"/>
            <w:tcBorders>
              <w:bottom w:val="single" w:sz="8" w:color="auto"/>
            </w:tcBorders>
            <w:vMerge w:val="continue"/>
          </w:tcPr>
          <w:p>
            <w:pPr>
              <w:spacing w:after="0"/>
              <w:rPr>
                <w:sz w:val="11"/>
                <w:szCs w:val="11"/>
                <w:color w:val="auto"/>
              </w:rPr>
            </w:pPr>
          </w:p>
        </w:tc>
        <w:tc>
          <w:tcPr>
            <w:tcW w:w="760" w:type="dxa"/>
            <w:vAlign w:val="bottom"/>
            <w:tcBorders>
              <w:bottom w:val="single" w:sz="8" w:color="auto"/>
            </w:tcBorders>
            <w:vMerge w:val="continue"/>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1"/>
        </w:trPr>
        <w:tc>
          <w:tcPr>
            <w:tcW w:w="2240" w:type="dxa"/>
            <w:vAlign w:val="bottom"/>
          </w:tcPr>
          <w:p>
            <w:pPr>
              <w:ind w:left="20"/>
              <w:spacing w:after="0"/>
              <w:rPr>
                <w:sz w:val="20"/>
                <w:szCs w:val="20"/>
                <w:color w:val="auto"/>
              </w:rPr>
            </w:pPr>
            <w:r>
              <w:rPr>
                <w:rFonts w:ascii="Arial" w:cs="Arial" w:eastAsia="Arial" w:hAnsi="Arial"/>
                <w:sz w:val="14"/>
                <w:szCs w:val="14"/>
                <w:color w:val="060606"/>
              </w:rPr>
              <w:t>Cost of sales</w:t>
            </w:r>
          </w:p>
        </w:tc>
        <w:tc>
          <w:tcPr>
            <w:tcW w:w="820" w:type="dxa"/>
            <w:vAlign w:val="bottom"/>
          </w:tcPr>
          <w:p>
            <w:pPr>
              <w:jc w:val="right"/>
              <w:ind w:right="151"/>
              <w:spacing w:after="0"/>
              <w:rPr>
                <w:sz w:val="20"/>
                <w:szCs w:val="20"/>
                <w:color w:val="auto"/>
              </w:rPr>
            </w:pPr>
            <w:r>
              <w:rPr>
                <w:rFonts w:ascii="Arial" w:cs="Arial" w:eastAsia="Arial" w:hAnsi="Arial"/>
                <w:sz w:val="14"/>
                <w:szCs w:val="14"/>
                <w:color w:val="060606"/>
              </w:rPr>
              <w:t>$327.0</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060606"/>
              </w:rPr>
              <w:t>$—</w:t>
            </w:r>
          </w:p>
        </w:tc>
        <w:tc>
          <w:tcPr>
            <w:tcW w:w="900" w:type="dxa"/>
            <w:vAlign w:val="bottom"/>
          </w:tcPr>
          <w:p>
            <w:pPr>
              <w:jc w:val="right"/>
              <w:ind w:right="111"/>
              <w:spacing w:after="0"/>
              <w:rPr>
                <w:sz w:val="20"/>
                <w:szCs w:val="20"/>
                <w:color w:val="auto"/>
              </w:rPr>
            </w:pPr>
            <w:r>
              <w:rPr>
                <w:rFonts w:ascii="Arial" w:cs="Arial" w:eastAsia="Arial" w:hAnsi="Arial"/>
                <w:sz w:val="14"/>
                <w:szCs w:val="14"/>
                <w:color w:val="060606"/>
              </w:rPr>
              <w:t>($5.3)</w:t>
            </w:r>
          </w:p>
        </w:tc>
        <w:tc>
          <w:tcPr>
            <w:tcW w:w="900" w:type="dxa"/>
            <w:vAlign w:val="bottom"/>
          </w:tcPr>
          <w:p>
            <w:pPr>
              <w:jc w:val="right"/>
              <w:ind w:right="131"/>
              <w:spacing w:after="0"/>
              <w:rPr>
                <w:sz w:val="20"/>
                <w:szCs w:val="20"/>
                <w:color w:val="auto"/>
              </w:rPr>
            </w:pPr>
            <w:r>
              <w:rPr>
                <w:rFonts w:ascii="Arial" w:cs="Arial" w:eastAsia="Arial" w:hAnsi="Arial"/>
                <w:sz w:val="14"/>
                <w:szCs w:val="14"/>
                <w:color w:val="060606"/>
              </w:rPr>
              <w:t>$—</w:t>
            </w:r>
          </w:p>
        </w:tc>
        <w:tc>
          <w:tcPr>
            <w:tcW w:w="900" w:type="dxa"/>
            <w:vAlign w:val="bottom"/>
          </w:tcPr>
          <w:p>
            <w:pPr>
              <w:jc w:val="right"/>
              <w:ind w:right="171"/>
              <w:spacing w:after="0"/>
              <w:rPr>
                <w:sz w:val="20"/>
                <w:szCs w:val="20"/>
                <w:color w:val="auto"/>
              </w:rPr>
            </w:pPr>
            <w:r>
              <w:rPr>
                <w:rFonts w:ascii="Arial" w:cs="Arial" w:eastAsia="Arial" w:hAnsi="Arial"/>
                <w:sz w:val="14"/>
                <w:szCs w:val="14"/>
                <w:color w:val="060606"/>
              </w:rPr>
              <w:t>$—</w:t>
            </w:r>
          </w:p>
        </w:tc>
        <w:tc>
          <w:tcPr>
            <w:tcW w:w="920" w:type="dxa"/>
            <w:vAlign w:val="bottom"/>
          </w:tcPr>
          <w:p>
            <w:pPr>
              <w:jc w:val="right"/>
              <w:ind w:right="91"/>
              <w:spacing w:after="0"/>
              <w:rPr>
                <w:sz w:val="20"/>
                <w:szCs w:val="20"/>
                <w:color w:val="auto"/>
              </w:rPr>
            </w:pPr>
            <w:r>
              <w:rPr>
                <w:rFonts w:ascii="Arial" w:cs="Arial" w:eastAsia="Arial" w:hAnsi="Arial"/>
                <w:sz w:val="14"/>
                <w:szCs w:val="14"/>
                <w:color w:val="060606"/>
              </w:rPr>
              <w:t>($2.8)</w:t>
            </w:r>
          </w:p>
        </w:tc>
        <w:tc>
          <w:tcPr>
            <w:tcW w:w="900" w:type="dxa"/>
            <w:vAlign w:val="bottom"/>
          </w:tcPr>
          <w:p>
            <w:pPr>
              <w:jc w:val="right"/>
              <w:ind w:right="151"/>
              <w:spacing w:after="0"/>
              <w:rPr>
                <w:sz w:val="20"/>
                <w:szCs w:val="20"/>
                <w:color w:val="auto"/>
              </w:rPr>
            </w:pPr>
            <w:r>
              <w:rPr>
                <w:rFonts w:ascii="Arial" w:cs="Arial" w:eastAsia="Arial" w:hAnsi="Arial"/>
                <w:sz w:val="14"/>
                <w:szCs w:val="14"/>
                <w:color w:val="060606"/>
              </w:rPr>
              <w:t>$—</w:t>
            </w:r>
          </w:p>
        </w:tc>
        <w:tc>
          <w:tcPr>
            <w:tcW w:w="960" w:type="dxa"/>
            <w:vAlign w:val="bottom"/>
          </w:tcPr>
          <w:p>
            <w:pPr>
              <w:jc w:val="right"/>
              <w:ind w:right="91"/>
              <w:spacing w:after="0"/>
              <w:rPr>
                <w:sz w:val="20"/>
                <w:szCs w:val="20"/>
                <w:color w:val="auto"/>
              </w:rPr>
            </w:pPr>
            <w:r>
              <w:rPr>
                <w:rFonts w:ascii="Arial" w:cs="Arial" w:eastAsia="Arial" w:hAnsi="Arial"/>
                <w:sz w:val="14"/>
                <w:szCs w:val="14"/>
                <w:color w:val="060606"/>
              </w:rPr>
              <w:t>($1.2)</w:t>
            </w:r>
          </w:p>
        </w:tc>
        <w:tc>
          <w:tcPr>
            <w:tcW w:w="760" w:type="dxa"/>
            <w:vAlign w:val="bottom"/>
          </w:tcPr>
          <w:p>
            <w:pPr>
              <w:ind w:left="500"/>
              <w:spacing w:after="0"/>
              <w:rPr>
                <w:sz w:val="20"/>
                <w:szCs w:val="20"/>
                <w:color w:val="auto"/>
              </w:rPr>
            </w:pPr>
            <w:r>
              <w:rPr>
                <w:rFonts w:ascii="Arial" w:cs="Arial" w:eastAsia="Arial" w:hAnsi="Arial"/>
                <w:sz w:val="14"/>
                <w:szCs w:val="14"/>
                <w:color w:val="060606"/>
              </w:rPr>
              <w:t>$—</w:t>
            </w:r>
          </w:p>
        </w:tc>
        <w:tc>
          <w:tcPr>
            <w:tcW w:w="200" w:type="dxa"/>
            <w:vAlign w:val="bottom"/>
          </w:tcPr>
          <w:p>
            <w:pPr>
              <w:spacing w:after="0"/>
              <w:rPr>
                <w:sz w:val="17"/>
                <w:szCs w:val="17"/>
                <w:color w:val="auto"/>
              </w:rPr>
            </w:pPr>
          </w:p>
        </w:tc>
        <w:tc>
          <w:tcPr>
            <w:tcW w:w="780" w:type="dxa"/>
            <w:vAlign w:val="bottom"/>
          </w:tcPr>
          <w:p>
            <w:pPr>
              <w:jc w:val="right"/>
              <w:ind w:right="111"/>
              <w:spacing w:after="0"/>
              <w:rPr>
                <w:sz w:val="20"/>
                <w:szCs w:val="20"/>
                <w:color w:val="auto"/>
              </w:rPr>
            </w:pPr>
            <w:r>
              <w:rPr>
                <w:rFonts w:ascii="Arial" w:cs="Arial" w:eastAsia="Arial" w:hAnsi="Arial"/>
                <w:sz w:val="14"/>
                <w:szCs w:val="14"/>
                <w:color w:val="060606"/>
              </w:rPr>
              <w:t>$317.7</w:t>
            </w:r>
          </w:p>
        </w:tc>
        <w:tc>
          <w:tcPr>
            <w:tcW w:w="0" w:type="dxa"/>
            <w:vAlign w:val="bottom"/>
          </w:tcPr>
          <w:p>
            <w:pPr>
              <w:spacing w:after="0"/>
              <w:rPr>
                <w:sz w:val="1"/>
                <w:szCs w:val="1"/>
                <w:color w:val="auto"/>
              </w:rPr>
            </w:pPr>
          </w:p>
        </w:tc>
      </w:tr>
      <w:tr>
        <w:trPr>
          <w:trHeight w:val="216"/>
        </w:trPr>
        <w:tc>
          <w:tcPr>
            <w:tcW w:w="2240" w:type="dxa"/>
            <w:vAlign w:val="bottom"/>
          </w:tcPr>
          <w:p>
            <w:pPr>
              <w:ind w:left="20"/>
              <w:spacing w:after="0"/>
              <w:rPr>
                <w:sz w:val="20"/>
                <w:szCs w:val="20"/>
                <w:color w:val="auto"/>
              </w:rPr>
            </w:pPr>
            <w:r>
              <w:rPr>
                <w:rFonts w:ascii="Arial" w:cs="Arial" w:eastAsia="Arial" w:hAnsi="Arial"/>
                <w:sz w:val="14"/>
                <w:szCs w:val="14"/>
                <w:color w:val="060606"/>
              </w:rPr>
              <w:t>Gross profit percent</w:t>
            </w:r>
          </w:p>
        </w:tc>
        <w:tc>
          <w:tcPr>
            <w:tcW w:w="820" w:type="dxa"/>
            <w:vAlign w:val="bottom"/>
          </w:tcPr>
          <w:p>
            <w:pPr>
              <w:jc w:val="right"/>
              <w:spacing w:after="0"/>
              <w:rPr>
                <w:sz w:val="20"/>
                <w:szCs w:val="20"/>
                <w:color w:val="auto"/>
              </w:rPr>
            </w:pPr>
            <w:r>
              <w:rPr>
                <w:rFonts w:ascii="Arial" w:cs="Arial" w:eastAsia="Arial" w:hAnsi="Arial"/>
                <w:sz w:val="14"/>
                <w:szCs w:val="14"/>
                <w:color w:val="060606"/>
              </w:rPr>
              <w:t>68.2 %</w:t>
            </w:r>
          </w:p>
        </w:tc>
        <w:tc>
          <w:tcPr>
            <w:tcW w:w="960" w:type="dxa"/>
            <w:vAlign w:val="bottom"/>
            <w:gridSpan w:val="2"/>
          </w:tcPr>
          <w:p>
            <w:pPr>
              <w:ind w:left="580"/>
              <w:spacing w:after="0"/>
              <w:rPr>
                <w:sz w:val="20"/>
                <w:szCs w:val="20"/>
                <w:color w:val="auto"/>
              </w:rPr>
            </w:pPr>
            <w:r>
              <w:rPr>
                <w:rFonts w:ascii="Arial" w:cs="Arial" w:eastAsia="Arial" w:hAnsi="Arial"/>
                <w:sz w:val="14"/>
                <w:szCs w:val="14"/>
                <w:color w:val="060606"/>
              </w:rPr>
              <w:t>— %</w:t>
            </w:r>
          </w:p>
        </w:tc>
        <w:tc>
          <w:tcPr>
            <w:tcW w:w="900" w:type="dxa"/>
            <w:vAlign w:val="bottom"/>
          </w:tcPr>
          <w:p>
            <w:pPr>
              <w:jc w:val="right"/>
              <w:spacing w:after="0"/>
              <w:rPr>
                <w:sz w:val="20"/>
                <w:szCs w:val="20"/>
                <w:color w:val="auto"/>
              </w:rPr>
            </w:pPr>
            <w:r>
              <w:rPr>
                <w:rFonts w:ascii="Arial" w:cs="Arial" w:eastAsia="Arial" w:hAnsi="Arial"/>
                <w:sz w:val="14"/>
                <w:szCs w:val="14"/>
                <w:color w:val="060606"/>
              </w:rPr>
              <w:t>0.5 %</w:t>
            </w:r>
          </w:p>
        </w:tc>
        <w:tc>
          <w:tcPr>
            <w:tcW w:w="900" w:type="dxa"/>
            <w:vAlign w:val="bottom"/>
          </w:tcPr>
          <w:p>
            <w:pPr>
              <w:jc w:val="right"/>
              <w:spacing w:after="0"/>
              <w:rPr>
                <w:sz w:val="20"/>
                <w:szCs w:val="20"/>
                <w:color w:val="auto"/>
              </w:rPr>
            </w:pPr>
            <w:r>
              <w:rPr>
                <w:rFonts w:ascii="Arial" w:cs="Arial" w:eastAsia="Arial" w:hAnsi="Arial"/>
                <w:sz w:val="14"/>
                <w:szCs w:val="14"/>
                <w:color w:val="060606"/>
              </w:rPr>
              <w:t>— %</w:t>
            </w:r>
          </w:p>
        </w:tc>
        <w:tc>
          <w:tcPr>
            <w:tcW w:w="900" w:type="dxa"/>
            <w:vAlign w:val="bottom"/>
          </w:tcPr>
          <w:p>
            <w:pPr>
              <w:jc w:val="right"/>
              <w:spacing w:after="0"/>
              <w:rPr>
                <w:sz w:val="20"/>
                <w:szCs w:val="20"/>
                <w:color w:val="auto"/>
              </w:rPr>
            </w:pPr>
            <w:r>
              <w:rPr>
                <w:rFonts w:ascii="Arial" w:cs="Arial" w:eastAsia="Arial" w:hAnsi="Arial"/>
                <w:sz w:val="14"/>
                <w:szCs w:val="14"/>
                <w:color w:val="060606"/>
              </w:rPr>
              <w:t>— %</w:t>
            </w:r>
          </w:p>
        </w:tc>
        <w:tc>
          <w:tcPr>
            <w:tcW w:w="920" w:type="dxa"/>
            <w:vAlign w:val="bottom"/>
          </w:tcPr>
          <w:p>
            <w:pPr>
              <w:jc w:val="right"/>
              <w:spacing w:after="0"/>
              <w:rPr>
                <w:sz w:val="20"/>
                <w:szCs w:val="20"/>
                <w:color w:val="auto"/>
              </w:rPr>
            </w:pPr>
            <w:r>
              <w:rPr>
                <w:rFonts w:ascii="Arial" w:cs="Arial" w:eastAsia="Arial" w:hAnsi="Arial"/>
                <w:sz w:val="14"/>
                <w:szCs w:val="14"/>
                <w:color w:val="060606"/>
              </w:rPr>
              <w:t>0.3 %</w:t>
            </w:r>
          </w:p>
        </w:tc>
        <w:tc>
          <w:tcPr>
            <w:tcW w:w="900" w:type="dxa"/>
            <w:vAlign w:val="bottom"/>
          </w:tcPr>
          <w:p>
            <w:pPr>
              <w:jc w:val="right"/>
              <w:spacing w:after="0"/>
              <w:rPr>
                <w:sz w:val="20"/>
                <w:szCs w:val="20"/>
                <w:color w:val="auto"/>
              </w:rPr>
            </w:pPr>
            <w:r>
              <w:rPr>
                <w:rFonts w:ascii="Arial" w:cs="Arial" w:eastAsia="Arial" w:hAnsi="Arial"/>
                <w:sz w:val="14"/>
                <w:szCs w:val="14"/>
                <w:color w:val="060606"/>
              </w:rPr>
              <w:t>— %</w:t>
            </w:r>
          </w:p>
        </w:tc>
        <w:tc>
          <w:tcPr>
            <w:tcW w:w="960" w:type="dxa"/>
            <w:vAlign w:val="bottom"/>
          </w:tcPr>
          <w:p>
            <w:pPr>
              <w:jc w:val="right"/>
              <w:spacing w:after="0"/>
              <w:rPr>
                <w:sz w:val="20"/>
                <w:szCs w:val="20"/>
                <w:color w:val="auto"/>
              </w:rPr>
            </w:pPr>
            <w:r>
              <w:rPr>
                <w:rFonts w:ascii="Arial" w:cs="Arial" w:eastAsia="Arial" w:hAnsi="Arial"/>
                <w:sz w:val="14"/>
                <w:szCs w:val="14"/>
                <w:color w:val="060606"/>
              </w:rPr>
              <w:t>0.1 %</w:t>
            </w:r>
          </w:p>
        </w:tc>
        <w:tc>
          <w:tcPr>
            <w:tcW w:w="960" w:type="dxa"/>
            <w:vAlign w:val="bottom"/>
            <w:gridSpan w:val="2"/>
          </w:tcPr>
          <w:p>
            <w:pPr>
              <w:ind w:left="580"/>
              <w:spacing w:after="0"/>
              <w:rPr>
                <w:sz w:val="20"/>
                <w:szCs w:val="20"/>
                <w:color w:val="auto"/>
              </w:rPr>
            </w:pPr>
            <w:r>
              <w:rPr>
                <w:rFonts w:ascii="Arial" w:cs="Arial" w:eastAsia="Arial" w:hAnsi="Arial"/>
                <w:sz w:val="14"/>
                <w:szCs w:val="14"/>
                <w:color w:val="060606"/>
              </w:rPr>
              <w:t>— %</w:t>
            </w:r>
          </w:p>
        </w:tc>
        <w:tc>
          <w:tcPr>
            <w:tcW w:w="780" w:type="dxa"/>
            <w:vAlign w:val="bottom"/>
          </w:tcPr>
          <w:p>
            <w:pPr>
              <w:jc w:val="right"/>
              <w:spacing w:after="0"/>
              <w:rPr>
                <w:sz w:val="20"/>
                <w:szCs w:val="20"/>
                <w:color w:val="auto"/>
              </w:rPr>
            </w:pPr>
            <w:r>
              <w:rPr>
                <w:rFonts w:ascii="Arial" w:cs="Arial" w:eastAsia="Arial" w:hAnsi="Arial"/>
                <w:sz w:val="14"/>
                <w:szCs w:val="14"/>
                <w:color w:val="060606"/>
              </w:rPr>
              <w:t>69.1 %</w:t>
            </w:r>
          </w:p>
        </w:tc>
        <w:tc>
          <w:tcPr>
            <w:tcW w:w="0" w:type="dxa"/>
            <w:vAlign w:val="bottom"/>
          </w:tcPr>
          <w:p>
            <w:pPr>
              <w:spacing w:after="0"/>
              <w:rPr>
                <w:sz w:val="1"/>
                <w:szCs w:val="1"/>
                <w:color w:val="auto"/>
              </w:rPr>
            </w:pPr>
          </w:p>
        </w:tc>
      </w:tr>
      <w:tr>
        <w:trPr>
          <w:trHeight w:val="174"/>
        </w:trPr>
        <w:tc>
          <w:tcPr>
            <w:tcW w:w="2240" w:type="dxa"/>
            <w:vAlign w:val="bottom"/>
          </w:tcPr>
          <w:p>
            <w:pPr>
              <w:ind w:left="20"/>
              <w:spacing w:after="0"/>
              <w:rPr>
                <w:sz w:val="20"/>
                <w:szCs w:val="20"/>
                <w:color w:val="auto"/>
              </w:rPr>
            </w:pPr>
            <w:r>
              <w:rPr>
                <w:rFonts w:ascii="Arial" w:cs="Arial" w:eastAsia="Arial" w:hAnsi="Arial"/>
                <w:sz w:val="14"/>
                <w:szCs w:val="14"/>
                <w:color w:val="060606"/>
              </w:rPr>
              <w:t>Selling, general, and</w:t>
            </w:r>
          </w:p>
        </w:tc>
        <w:tc>
          <w:tcPr>
            <w:tcW w:w="820" w:type="dxa"/>
            <w:vAlign w:val="bottom"/>
            <w:vMerge w:val="restart"/>
          </w:tcPr>
          <w:p>
            <w:pPr>
              <w:jc w:val="right"/>
              <w:ind w:right="151"/>
              <w:spacing w:after="0"/>
              <w:rPr>
                <w:sz w:val="20"/>
                <w:szCs w:val="20"/>
                <w:color w:val="auto"/>
              </w:rPr>
            </w:pPr>
            <w:r>
              <w:rPr>
                <w:rFonts w:ascii="Arial" w:cs="Arial" w:eastAsia="Arial" w:hAnsi="Arial"/>
                <w:sz w:val="14"/>
                <w:szCs w:val="14"/>
                <w:color w:val="060606"/>
              </w:rPr>
              <w:t>405.4</w:t>
            </w:r>
          </w:p>
        </w:tc>
        <w:tc>
          <w:tcPr>
            <w:tcW w:w="960" w:type="dxa"/>
            <w:vAlign w:val="bottom"/>
            <w:gridSpan w:val="2"/>
            <w:vMerge w:val="restart"/>
          </w:tcPr>
          <w:p>
            <w:pPr>
              <w:ind w:left="580"/>
              <w:spacing w:after="0"/>
              <w:rPr>
                <w:sz w:val="20"/>
                <w:szCs w:val="20"/>
                <w:color w:val="auto"/>
              </w:rPr>
            </w:pPr>
            <w:r>
              <w:rPr>
                <w:rFonts w:ascii="Arial" w:cs="Arial" w:eastAsia="Arial" w:hAnsi="Arial"/>
                <w:sz w:val="14"/>
                <w:szCs w:val="14"/>
                <w:color w:val="060606"/>
              </w:rPr>
              <w:t>—</w:t>
            </w:r>
          </w:p>
        </w:tc>
        <w:tc>
          <w:tcPr>
            <w:tcW w:w="900" w:type="dxa"/>
            <w:vAlign w:val="bottom"/>
            <w:vMerge w:val="restart"/>
          </w:tcPr>
          <w:p>
            <w:pPr>
              <w:jc w:val="right"/>
              <w:ind w:right="111"/>
              <w:spacing w:after="0"/>
              <w:rPr>
                <w:sz w:val="20"/>
                <w:szCs w:val="20"/>
                <w:color w:val="auto"/>
              </w:rPr>
            </w:pPr>
            <w:r>
              <w:rPr>
                <w:rFonts w:ascii="Arial" w:cs="Arial" w:eastAsia="Arial" w:hAnsi="Arial"/>
                <w:sz w:val="14"/>
                <w:szCs w:val="14"/>
                <w:color w:val="060606"/>
              </w:rPr>
              <w:t>(7.6)</w:t>
            </w:r>
          </w:p>
        </w:tc>
        <w:tc>
          <w:tcPr>
            <w:tcW w:w="900" w:type="dxa"/>
            <w:vAlign w:val="bottom"/>
            <w:vMerge w:val="restart"/>
          </w:tcPr>
          <w:p>
            <w:pPr>
              <w:jc w:val="right"/>
              <w:ind w:right="131"/>
              <w:spacing w:after="0"/>
              <w:rPr>
                <w:sz w:val="20"/>
                <w:szCs w:val="20"/>
                <w:color w:val="auto"/>
              </w:rPr>
            </w:pPr>
            <w:r>
              <w:rPr>
                <w:rFonts w:ascii="Arial" w:cs="Arial" w:eastAsia="Arial" w:hAnsi="Arial"/>
                <w:sz w:val="14"/>
                <w:szCs w:val="14"/>
                <w:color w:val="060606"/>
              </w:rPr>
              <w:t>—</w:t>
            </w:r>
          </w:p>
        </w:tc>
        <w:tc>
          <w:tcPr>
            <w:tcW w:w="900" w:type="dxa"/>
            <w:vAlign w:val="bottom"/>
            <w:vMerge w:val="restart"/>
          </w:tcPr>
          <w:p>
            <w:pPr>
              <w:jc w:val="right"/>
              <w:ind w:right="171"/>
              <w:spacing w:after="0"/>
              <w:rPr>
                <w:sz w:val="20"/>
                <w:szCs w:val="20"/>
                <w:color w:val="auto"/>
              </w:rPr>
            </w:pPr>
            <w:r>
              <w:rPr>
                <w:rFonts w:ascii="Arial" w:cs="Arial" w:eastAsia="Arial" w:hAnsi="Arial"/>
                <w:sz w:val="14"/>
                <w:szCs w:val="14"/>
                <w:color w:val="060606"/>
              </w:rPr>
              <w:t>—</w:t>
            </w:r>
          </w:p>
        </w:tc>
        <w:tc>
          <w:tcPr>
            <w:tcW w:w="920" w:type="dxa"/>
            <w:vAlign w:val="bottom"/>
            <w:vMerge w:val="restart"/>
          </w:tcPr>
          <w:p>
            <w:pPr>
              <w:jc w:val="right"/>
              <w:ind w:right="131"/>
              <w:spacing w:after="0"/>
              <w:rPr>
                <w:sz w:val="20"/>
                <w:szCs w:val="20"/>
                <w:color w:val="auto"/>
              </w:rPr>
            </w:pPr>
            <w:r>
              <w:rPr>
                <w:rFonts w:ascii="Arial" w:cs="Arial" w:eastAsia="Arial" w:hAnsi="Arial"/>
                <w:sz w:val="14"/>
                <w:szCs w:val="14"/>
                <w:color w:val="060606"/>
              </w:rPr>
              <w:t>—</w:t>
            </w:r>
          </w:p>
        </w:tc>
        <w:tc>
          <w:tcPr>
            <w:tcW w:w="900" w:type="dxa"/>
            <w:vAlign w:val="bottom"/>
            <w:vMerge w:val="restart"/>
          </w:tcPr>
          <w:p>
            <w:pPr>
              <w:jc w:val="right"/>
              <w:ind w:right="111"/>
              <w:spacing w:after="0"/>
              <w:rPr>
                <w:sz w:val="20"/>
                <w:szCs w:val="20"/>
                <w:color w:val="auto"/>
              </w:rPr>
            </w:pPr>
            <w:r>
              <w:rPr>
                <w:rFonts w:ascii="Arial" w:cs="Arial" w:eastAsia="Arial" w:hAnsi="Arial"/>
                <w:sz w:val="14"/>
                <w:szCs w:val="14"/>
                <w:color w:val="060606"/>
              </w:rPr>
              <w:t>(17.5)</w:t>
            </w:r>
          </w:p>
        </w:tc>
        <w:tc>
          <w:tcPr>
            <w:tcW w:w="960" w:type="dxa"/>
            <w:vAlign w:val="bottom"/>
            <w:vMerge w:val="restart"/>
          </w:tcPr>
          <w:p>
            <w:pPr>
              <w:jc w:val="right"/>
              <w:ind w:right="91"/>
              <w:spacing w:after="0"/>
              <w:rPr>
                <w:sz w:val="20"/>
                <w:szCs w:val="20"/>
                <w:color w:val="auto"/>
              </w:rPr>
            </w:pPr>
            <w:r>
              <w:rPr>
                <w:rFonts w:ascii="Arial" w:cs="Arial" w:eastAsia="Arial" w:hAnsi="Arial"/>
                <w:sz w:val="14"/>
                <w:szCs w:val="14"/>
                <w:color w:val="060606"/>
              </w:rPr>
              <w:t>(20.4)</w:t>
            </w:r>
          </w:p>
        </w:tc>
        <w:tc>
          <w:tcPr>
            <w:tcW w:w="760" w:type="dxa"/>
            <w:vAlign w:val="bottom"/>
            <w:vMerge w:val="restart"/>
          </w:tcPr>
          <w:p>
            <w:pPr>
              <w:ind w:left="580"/>
              <w:spacing w:after="0"/>
              <w:rPr>
                <w:sz w:val="20"/>
                <w:szCs w:val="20"/>
                <w:color w:val="auto"/>
              </w:rPr>
            </w:pPr>
            <w:r>
              <w:rPr>
                <w:rFonts w:ascii="Arial" w:cs="Arial" w:eastAsia="Arial" w:hAnsi="Arial"/>
                <w:sz w:val="14"/>
                <w:szCs w:val="14"/>
                <w:color w:val="060606"/>
              </w:rPr>
              <w:t>—</w:t>
            </w:r>
          </w:p>
        </w:tc>
        <w:tc>
          <w:tcPr>
            <w:tcW w:w="200" w:type="dxa"/>
            <w:vAlign w:val="bottom"/>
          </w:tcPr>
          <w:p>
            <w:pPr>
              <w:spacing w:after="0"/>
              <w:rPr>
                <w:sz w:val="15"/>
                <w:szCs w:val="15"/>
                <w:color w:val="auto"/>
              </w:rPr>
            </w:pPr>
          </w:p>
        </w:tc>
        <w:tc>
          <w:tcPr>
            <w:tcW w:w="780" w:type="dxa"/>
            <w:vAlign w:val="bottom"/>
            <w:vMerge w:val="restart"/>
          </w:tcPr>
          <w:p>
            <w:pPr>
              <w:jc w:val="right"/>
              <w:ind w:right="111"/>
              <w:spacing w:after="0"/>
              <w:rPr>
                <w:sz w:val="20"/>
                <w:szCs w:val="20"/>
                <w:color w:val="auto"/>
              </w:rPr>
            </w:pPr>
            <w:r>
              <w:rPr>
                <w:rFonts w:ascii="Arial" w:cs="Arial" w:eastAsia="Arial" w:hAnsi="Arial"/>
                <w:sz w:val="14"/>
                <w:szCs w:val="14"/>
                <w:color w:val="060606"/>
              </w:rPr>
              <w:t>359.9</w:t>
            </w:r>
          </w:p>
        </w:tc>
        <w:tc>
          <w:tcPr>
            <w:tcW w:w="0" w:type="dxa"/>
            <w:vAlign w:val="bottom"/>
          </w:tcPr>
          <w:p>
            <w:pPr>
              <w:spacing w:after="0"/>
              <w:rPr>
                <w:sz w:val="1"/>
                <w:szCs w:val="1"/>
                <w:color w:val="auto"/>
              </w:rPr>
            </w:pPr>
          </w:p>
        </w:tc>
      </w:tr>
      <w:tr>
        <w:trPr>
          <w:trHeight w:val="190"/>
        </w:trPr>
        <w:tc>
          <w:tcPr>
            <w:tcW w:w="2240" w:type="dxa"/>
            <w:vAlign w:val="bottom"/>
          </w:tcPr>
          <w:p>
            <w:pPr>
              <w:ind w:left="20"/>
              <w:spacing w:after="0"/>
              <w:rPr>
                <w:sz w:val="20"/>
                <w:szCs w:val="20"/>
                <w:color w:val="auto"/>
              </w:rPr>
            </w:pPr>
            <w:r>
              <w:rPr>
                <w:rFonts w:ascii="Arial" w:cs="Arial" w:eastAsia="Arial" w:hAnsi="Arial"/>
                <w:sz w:val="14"/>
                <w:szCs w:val="14"/>
                <w:color w:val="060606"/>
              </w:rPr>
              <w:t>administrative</w:t>
            </w:r>
          </w:p>
        </w:tc>
        <w:tc>
          <w:tcPr>
            <w:tcW w:w="820" w:type="dxa"/>
            <w:vAlign w:val="bottom"/>
            <w:vMerge w:val="continue"/>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2240" w:type="dxa"/>
            <w:vAlign w:val="bottom"/>
          </w:tcPr>
          <w:p>
            <w:pPr>
              <w:ind w:left="20"/>
              <w:spacing w:after="0"/>
              <w:rPr>
                <w:sz w:val="20"/>
                <w:szCs w:val="20"/>
                <w:color w:val="auto"/>
              </w:rPr>
            </w:pPr>
            <w:r>
              <w:rPr>
                <w:rFonts w:ascii="Arial" w:cs="Arial" w:eastAsia="Arial" w:hAnsi="Arial"/>
                <w:sz w:val="14"/>
                <w:szCs w:val="14"/>
                <w:color w:val="060606"/>
              </w:rPr>
              <w:t>Selling, general, and</w:t>
            </w:r>
          </w:p>
        </w:tc>
        <w:tc>
          <w:tcPr>
            <w:tcW w:w="8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240" w:type="dxa"/>
            <w:vAlign w:val="bottom"/>
          </w:tcPr>
          <w:p>
            <w:pPr>
              <w:ind w:left="20"/>
              <w:spacing w:after="0" w:line="149" w:lineRule="exact"/>
              <w:rPr>
                <w:sz w:val="20"/>
                <w:szCs w:val="20"/>
                <w:color w:val="auto"/>
              </w:rPr>
            </w:pPr>
            <w:r>
              <w:rPr>
                <w:rFonts w:ascii="Arial" w:cs="Arial" w:eastAsia="Arial" w:hAnsi="Arial"/>
                <w:sz w:val="14"/>
                <w:szCs w:val="14"/>
                <w:color w:val="060606"/>
              </w:rPr>
              <w:t>administrative as a percent of net</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060606"/>
              </w:rPr>
              <w:t>39.5 %</w:t>
            </w:r>
          </w:p>
        </w:tc>
        <w:tc>
          <w:tcPr>
            <w:tcW w:w="960" w:type="dxa"/>
            <w:vAlign w:val="bottom"/>
            <w:gridSpan w:val="2"/>
            <w:vMerge w:val="restart"/>
          </w:tcPr>
          <w:p>
            <w:pPr>
              <w:ind w:left="580"/>
              <w:spacing w:after="0"/>
              <w:rPr>
                <w:sz w:val="20"/>
                <w:szCs w:val="20"/>
                <w:color w:val="auto"/>
              </w:rPr>
            </w:pPr>
            <w:r>
              <w:rPr>
                <w:rFonts w:ascii="Arial" w:cs="Arial" w:eastAsia="Arial" w:hAnsi="Arial"/>
                <w:sz w:val="14"/>
                <w:szCs w:val="14"/>
                <w:color w:val="060606"/>
              </w:rPr>
              <w:t>— %</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060606"/>
              </w:rPr>
              <w:t>(0.7)%</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060606"/>
              </w:rPr>
              <w:t>— %</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060606"/>
              </w:rPr>
              <w:t>— %</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060606"/>
              </w:rPr>
              <w:t>— %</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060606"/>
              </w:rPr>
              <w:t>(1.7)%</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060606"/>
              </w:rPr>
              <w:t>(2.0)%</w:t>
            </w:r>
          </w:p>
        </w:tc>
        <w:tc>
          <w:tcPr>
            <w:tcW w:w="960" w:type="dxa"/>
            <w:vAlign w:val="bottom"/>
            <w:gridSpan w:val="2"/>
            <w:vMerge w:val="restart"/>
          </w:tcPr>
          <w:p>
            <w:pPr>
              <w:ind w:left="580"/>
              <w:spacing w:after="0"/>
              <w:rPr>
                <w:sz w:val="20"/>
                <w:szCs w:val="20"/>
                <w:color w:val="auto"/>
              </w:rPr>
            </w:pPr>
            <w:r>
              <w:rPr>
                <w:rFonts w:ascii="Arial" w:cs="Arial" w:eastAsia="Arial" w:hAnsi="Arial"/>
                <w:sz w:val="14"/>
                <w:szCs w:val="14"/>
                <w:color w:val="060606"/>
              </w:rPr>
              <w:t>— %</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060606"/>
              </w:rPr>
              <w:t>35.0 %</w:t>
            </w:r>
          </w:p>
        </w:tc>
        <w:tc>
          <w:tcPr>
            <w:tcW w:w="0" w:type="dxa"/>
            <w:vAlign w:val="bottom"/>
          </w:tcPr>
          <w:p>
            <w:pPr>
              <w:spacing w:after="0"/>
              <w:rPr>
                <w:sz w:val="1"/>
                <w:szCs w:val="1"/>
                <w:color w:val="auto"/>
              </w:rPr>
            </w:pPr>
          </w:p>
        </w:tc>
      </w:tr>
      <w:tr>
        <w:trPr>
          <w:trHeight w:val="190"/>
        </w:trPr>
        <w:tc>
          <w:tcPr>
            <w:tcW w:w="2240" w:type="dxa"/>
            <w:vAlign w:val="bottom"/>
          </w:tcPr>
          <w:p>
            <w:pPr>
              <w:ind w:left="20"/>
              <w:spacing w:after="0"/>
              <w:rPr>
                <w:sz w:val="20"/>
                <w:szCs w:val="20"/>
                <w:color w:val="auto"/>
              </w:rPr>
            </w:pPr>
            <w:r>
              <w:rPr>
                <w:rFonts w:ascii="Arial" w:cs="Arial" w:eastAsia="Arial" w:hAnsi="Arial"/>
                <w:sz w:val="14"/>
                <w:szCs w:val="14"/>
                <w:color w:val="060606"/>
              </w:rPr>
              <w:t>revenue</w:t>
            </w:r>
          </w:p>
        </w:tc>
        <w:tc>
          <w:tcPr>
            <w:tcW w:w="820" w:type="dxa"/>
            <w:vAlign w:val="bottom"/>
            <w:vMerge w:val="continue"/>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240" w:type="dxa"/>
            <w:vAlign w:val="bottom"/>
          </w:tcPr>
          <w:p>
            <w:pPr>
              <w:ind w:left="20"/>
              <w:spacing w:after="0"/>
              <w:rPr>
                <w:sz w:val="20"/>
                <w:szCs w:val="20"/>
                <w:color w:val="auto"/>
              </w:rPr>
            </w:pPr>
            <w:r>
              <w:rPr>
                <w:rFonts w:ascii="Arial" w:cs="Arial" w:eastAsia="Arial" w:hAnsi="Arial"/>
                <w:sz w:val="14"/>
                <w:szCs w:val="14"/>
                <w:color w:val="060606"/>
              </w:rPr>
              <w:t>Research and development</w:t>
            </w:r>
          </w:p>
        </w:tc>
        <w:tc>
          <w:tcPr>
            <w:tcW w:w="820" w:type="dxa"/>
            <w:vAlign w:val="bottom"/>
          </w:tcPr>
          <w:p>
            <w:pPr>
              <w:jc w:val="right"/>
              <w:ind w:right="151"/>
              <w:spacing w:after="0"/>
              <w:rPr>
                <w:sz w:val="20"/>
                <w:szCs w:val="20"/>
                <w:color w:val="auto"/>
              </w:rPr>
            </w:pPr>
            <w:r>
              <w:rPr>
                <w:rFonts w:ascii="Arial" w:cs="Arial" w:eastAsia="Arial" w:hAnsi="Arial"/>
                <w:sz w:val="14"/>
                <w:szCs w:val="14"/>
                <w:color w:val="060606"/>
              </w:rPr>
              <w:t>133.6</w:t>
            </w:r>
          </w:p>
        </w:tc>
        <w:tc>
          <w:tcPr>
            <w:tcW w:w="960" w:type="dxa"/>
            <w:vAlign w:val="bottom"/>
            <w:gridSpan w:val="2"/>
          </w:tcPr>
          <w:p>
            <w:pPr>
              <w:ind w:left="580"/>
              <w:spacing w:after="0"/>
              <w:rPr>
                <w:sz w:val="20"/>
                <w:szCs w:val="20"/>
                <w:color w:val="auto"/>
              </w:rPr>
            </w:pPr>
            <w:r>
              <w:rPr>
                <w:rFonts w:ascii="Arial" w:cs="Arial" w:eastAsia="Arial" w:hAnsi="Arial"/>
                <w:sz w:val="14"/>
                <w:szCs w:val="14"/>
                <w:color w:val="060606"/>
              </w:rPr>
              <w:t>—</w:t>
            </w:r>
          </w:p>
        </w:tc>
        <w:tc>
          <w:tcPr>
            <w:tcW w:w="900" w:type="dxa"/>
            <w:vAlign w:val="bottom"/>
          </w:tcPr>
          <w:p>
            <w:pPr>
              <w:jc w:val="right"/>
              <w:ind w:right="151"/>
              <w:spacing w:after="0"/>
              <w:rPr>
                <w:sz w:val="20"/>
                <w:szCs w:val="20"/>
                <w:color w:val="auto"/>
              </w:rPr>
            </w:pPr>
            <w:r>
              <w:rPr>
                <w:rFonts w:ascii="Arial" w:cs="Arial" w:eastAsia="Arial" w:hAnsi="Arial"/>
                <w:sz w:val="14"/>
                <w:szCs w:val="14"/>
                <w:color w:val="060606"/>
              </w:rPr>
              <w:t>0.1</w:t>
            </w:r>
          </w:p>
        </w:tc>
        <w:tc>
          <w:tcPr>
            <w:tcW w:w="900" w:type="dxa"/>
            <w:vAlign w:val="bottom"/>
          </w:tcPr>
          <w:p>
            <w:pPr>
              <w:jc w:val="right"/>
              <w:ind w:right="131"/>
              <w:spacing w:after="0"/>
              <w:rPr>
                <w:sz w:val="20"/>
                <w:szCs w:val="20"/>
                <w:color w:val="auto"/>
              </w:rPr>
            </w:pPr>
            <w:r>
              <w:rPr>
                <w:rFonts w:ascii="Arial" w:cs="Arial" w:eastAsia="Arial" w:hAnsi="Arial"/>
                <w:sz w:val="14"/>
                <w:szCs w:val="14"/>
                <w:color w:val="060606"/>
              </w:rPr>
              <w:t>—</w:t>
            </w:r>
          </w:p>
        </w:tc>
        <w:tc>
          <w:tcPr>
            <w:tcW w:w="900" w:type="dxa"/>
            <w:vAlign w:val="bottom"/>
          </w:tcPr>
          <w:p>
            <w:pPr>
              <w:jc w:val="right"/>
              <w:ind w:right="171"/>
              <w:spacing w:after="0"/>
              <w:rPr>
                <w:sz w:val="20"/>
                <w:szCs w:val="20"/>
                <w:color w:val="auto"/>
              </w:rPr>
            </w:pPr>
            <w:r>
              <w:rPr>
                <w:rFonts w:ascii="Arial" w:cs="Arial" w:eastAsia="Arial" w:hAnsi="Arial"/>
                <w:sz w:val="14"/>
                <w:szCs w:val="14"/>
                <w:color w:val="060606"/>
              </w:rPr>
              <w:t>—</w:t>
            </w:r>
          </w:p>
        </w:tc>
        <w:tc>
          <w:tcPr>
            <w:tcW w:w="920" w:type="dxa"/>
            <w:vAlign w:val="bottom"/>
          </w:tcPr>
          <w:p>
            <w:pPr>
              <w:jc w:val="right"/>
              <w:ind w:right="91"/>
              <w:spacing w:after="0"/>
              <w:rPr>
                <w:sz w:val="20"/>
                <w:szCs w:val="20"/>
                <w:color w:val="auto"/>
              </w:rPr>
            </w:pPr>
            <w:r>
              <w:rPr>
                <w:rFonts w:ascii="Arial" w:cs="Arial" w:eastAsia="Arial" w:hAnsi="Arial"/>
                <w:sz w:val="14"/>
                <w:szCs w:val="14"/>
                <w:color w:val="060606"/>
              </w:rPr>
              <w:t>(2.7)</w:t>
            </w:r>
          </w:p>
        </w:tc>
        <w:tc>
          <w:tcPr>
            <w:tcW w:w="900" w:type="dxa"/>
            <w:vAlign w:val="bottom"/>
          </w:tcPr>
          <w:p>
            <w:pPr>
              <w:jc w:val="right"/>
              <w:ind w:right="151"/>
              <w:spacing w:after="0"/>
              <w:rPr>
                <w:sz w:val="20"/>
                <w:szCs w:val="20"/>
                <w:color w:val="auto"/>
              </w:rPr>
            </w:pPr>
            <w:r>
              <w:rPr>
                <w:rFonts w:ascii="Arial" w:cs="Arial" w:eastAsia="Arial" w:hAnsi="Arial"/>
                <w:sz w:val="14"/>
                <w:szCs w:val="14"/>
                <w:color w:val="060606"/>
              </w:rPr>
              <w:t>1.4</w:t>
            </w:r>
          </w:p>
        </w:tc>
        <w:tc>
          <w:tcPr>
            <w:tcW w:w="960" w:type="dxa"/>
            <w:vAlign w:val="bottom"/>
          </w:tcPr>
          <w:p>
            <w:pPr>
              <w:jc w:val="right"/>
              <w:ind w:right="91"/>
              <w:spacing w:after="0"/>
              <w:rPr>
                <w:sz w:val="20"/>
                <w:szCs w:val="20"/>
                <w:color w:val="auto"/>
              </w:rPr>
            </w:pPr>
            <w:r>
              <w:rPr>
                <w:rFonts w:ascii="Arial" w:cs="Arial" w:eastAsia="Arial" w:hAnsi="Arial"/>
                <w:sz w:val="14"/>
                <w:szCs w:val="14"/>
                <w:color w:val="060606"/>
              </w:rPr>
              <w:t>(5.3)</w:t>
            </w:r>
          </w:p>
        </w:tc>
        <w:tc>
          <w:tcPr>
            <w:tcW w:w="760" w:type="dxa"/>
            <w:vAlign w:val="bottom"/>
          </w:tcPr>
          <w:p>
            <w:pPr>
              <w:ind w:left="580"/>
              <w:spacing w:after="0"/>
              <w:rPr>
                <w:sz w:val="20"/>
                <w:szCs w:val="20"/>
                <w:color w:val="auto"/>
              </w:rPr>
            </w:pPr>
            <w:r>
              <w:rPr>
                <w:rFonts w:ascii="Arial" w:cs="Arial" w:eastAsia="Arial" w:hAnsi="Arial"/>
                <w:sz w:val="14"/>
                <w:szCs w:val="14"/>
                <w:color w:val="060606"/>
              </w:rPr>
              <w:t>—</w:t>
            </w:r>
          </w:p>
        </w:tc>
        <w:tc>
          <w:tcPr>
            <w:tcW w:w="200" w:type="dxa"/>
            <w:vAlign w:val="bottom"/>
          </w:tcPr>
          <w:p>
            <w:pPr>
              <w:spacing w:after="0"/>
              <w:rPr>
                <w:sz w:val="17"/>
                <w:szCs w:val="17"/>
                <w:color w:val="auto"/>
              </w:rPr>
            </w:pPr>
          </w:p>
        </w:tc>
        <w:tc>
          <w:tcPr>
            <w:tcW w:w="780" w:type="dxa"/>
            <w:vAlign w:val="bottom"/>
          </w:tcPr>
          <w:p>
            <w:pPr>
              <w:jc w:val="right"/>
              <w:ind w:right="111"/>
              <w:spacing w:after="0"/>
              <w:rPr>
                <w:sz w:val="20"/>
                <w:szCs w:val="20"/>
                <w:color w:val="auto"/>
              </w:rPr>
            </w:pPr>
            <w:r>
              <w:rPr>
                <w:rFonts w:ascii="Arial" w:cs="Arial" w:eastAsia="Arial" w:hAnsi="Arial"/>
                <w:sz w:val="14"/>
                <w:szCs w:val="14"/>
                <w:color w:val="060606"/>
              </w:rPr>
              <w:t>127.2</w:t>
            </w:r>
          </w:p>
        </w:tc>
        <w:tc>
          <w:tcPr>
            <w:tcW w:w="0" w:type="dxa"/>
            <w:vAlign w:val="bottom"/>
          </w:tcPr>
          <w:p>
            <w:pPr>
              <w:spacing w:after="0"/>
              <w:rPr>
                <w:sz w:val="1"/>
                <w:szCs w:val="1"/>
                <w:color w:val="auto"/>
              </w:rPr>
            </w:pPr>
          </w:p>
        </w:tc>
      </w:tr>
      <w:tr>
        <w:trPr>
          <w:trHeight w:val="174"/>
        </w:trPr>
        <w:tc>
          <w:tcPr>
            <w:tcW w:w="2240" w:type="dxa"/>
            <w:vAlign w:val="bottom"/>
          </w:tcPr>
          <w:p>
            <w:pPr>
              <w:ind w:left="20"/>
              <w:spacing w:after="0"/>
              <w:rPr>
                <w:sz w:val="20"/>
                <w:szCs w:val="20"/>
                <w:color w:val="auto"/>
              </w:rPr>
            </w:pPr>
            <w:r>
              <w:rPr>
                <w:rFonts w:ascii="Arial" w:cs="Arial" w:eastAsia="Arial" w:hAnsi="Arial"/>
                <w:sz w:val="14"/>
                <w:szCs w:val="14"/>
                <w:color w:val="060606"/>
              </w:rPr>
              <w:t>Research and development as a</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060606"/>
              </w:rPr>
              <w:t>13.0 %</w:t>
            </w:r>
          </w:p>
        </w:tc>
        <w:tc>
          <w:tcPr>
            <w:tcW w:w="960" w:type="dxa"/>
            <w:vAlign w:val="bottom"/>
            <w:gridSpan w:val="2"/>
            <w:vMerge w:val="restart"/>
          </w:tcPr>
          <w:p>
            <w:pPr>
              <w:ind w:left="580"/>
              <w:spacing w:after="0"/>
              <w:rPr>
                <w:sz w:val="20"/>
                <w:szCs w:val="20"/>
                <w:color w:val="auto"/>
              </w:rPr>
            </w:pPr>
            <w:r>
              <w:rPr>
                <w:rFonts w:ascii="Arial" w:cs="Arial" w:eastAsia="Arial" w:hAnsi="Arial"/>
                <w:sz w:val="14"/>
                <w:szCs w:val="14"/>
                <w:color w:val="060606"/>
              </w:rPr>
              <w:t>— %</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060606"/>
              </w:rPr>
              <w:t>— %</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060606"/>
              </w:rPr>
              <w:t>— %</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060606"/>
              </w:rPr>
              <w:t>— %</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060606"/>
              </w:rPr>
              <w:t>(0.3)%</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060606"/>
              </w:rPr>
              <w:t>0.1 %</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060606"/>
              </w:rPr>
              <w:t>(0.5)%</w:t>
            </w:r>
          </w:p>
        </w:tc>
        <w:tc>
          <w:tcPr>
            <w:tcW w:w="960" w:type="dxa"/>
            <w:vAlign w:val="bottom"/>
            <w:gridSpan w:val="2"/>
            <w:vMerge w:val="restart"/>
          </w:tcPr>
          <w:p>
            <w:pPr>
              <w:ind w:left="580"/>
              <w:spacing w:after="0"/>
              <w:rPr>
                <w:sz w:val="20"/>
                <w:szCs w:val="20"/>
                <w:color w:val="auto"/>
              </w:rPr>
            </w:pPr>
            <w:r>
              <w:rPr>
                <w:rFonts w:ascii="Arial" w:cs="Arial" w:eastAsia="Arial" w:hAnsi="Arial"/>
                <w:sz w:val="14"/>
                <w:szCs w:val="14"/>
                <w:color w:val="060606"/>
              </w:rPr>
              <w:t>— %</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060606"/>
              </w:rPr>
              <w:t>12.4 %</w:t>
            </w:r>
          </w:p>
        </w:tc>
        <w:tc>
          <w:tcPr>
            <w:tcW w:w="0" w:type="dxa"/>
            <w:vAlign w:val="bottom"/>
          </w:tcPr>
          <w:p>
            <w:pPr>
              <w:spacing w:after="0"/>
              <w:rPr>
                <w:sz w:val="1"/>
                <w:szCs w:val="1"/>
                <w:color w:val="auto"/>
              </w:rPr>
            </w:pPr>
          </w:p>
        </w:tc>
      </w:tr>
      <w:tr>
        <w:trPr>
          <w:trHeight w:val="190"/>
        </w:trPr>
        <w:tc>
          <w:tcPr>
            <w:tcW w:w="2240" w:type="dxa"/>
            <w:vAlign w:val="bottom"/>
          </w:tcPr>
          <w:p>
            <w:pPr>
              <w:ind w:left="20"/>
              <w:spacing w:after="0"/>
              <w:rPr>
                <w:sz w:val="20"/>
                <w:szCs w:val="20"/>
                <w:color w:val="auto"/>
              </w:rPr>
            </w:pPr>
            <w:r>
              <w:rPr>
                <w:rFonts w:ascii="Arial" w:cs="Arial" w:eastAsia="Arial" w:hAnsi="Arial"/>
                <w:sz w:val="14"/>
                <w:szCs w:val="14"/>
                <w:color w:val="060606"/>
              </w:rPr>
              <w:t>percent of net revenue</w:t>
            </w:r>
          </w:p>
        </w:tc>
        <w:tc>
          <w:tcPr>
            <w:tcW w:w="820" w:type="dxa"/>
            <w:vAlign w:val="bottom"/>
            <w:vMerge w:val="continue"/>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240" w:type="dxa"/>
            <w:vAlign w:val="bottom"/>
          </w:tcPr>
          <w:p>
            <w:pPr>
              <w:ind w:left="20"/>
              <w:spacing w:after="0"/>
              <w:rPr>
                <w:sz w:val="20"/>
                <w:szCs w:val="20"/>
                <w:color w:val="auto"/>
              </w:rPr>
            </w:pPr>
            <w:r>
              <w:rPr>
                <w:rFonts w:ascii="Arial" w:cs="Arial" w:eastAsia="Arial" w:hAnsi="Arial"/>
                <w:sz w:val="14"/>
                <w:szCs w:val="14"/>
                <w:color w:val="060606"/>
              </w:rPr>
              <w:t>Other operating expense</w:t>
            </w:r>
          </w:p>
        </w:tc>
        <w:tc>
          <w:tcPr>
            <w:tcW w:w="820" w:type="dxa"/>
            <w:vAlign w:val="bottom"/>
          </w:tcPr>
          <w:p>
            <w:pPr>
              <w:jc w:val="right"/>
              <w:ind w:right="151"/>
              <w:spacing w:after="0"/>
              <w:rPr>
                <w:sz w:val="20"/>
                <w:szCs w:val="20"/>
                <w:color w:val="auto"/>
              </w:rPr>
            </w:pPr>
            <w:r>
              <w:rPr>
                <w:rFonts w:ascii="Arial" w:cs="Arial" w:eastAsia="Arial" w:hAnsi="Arial"/>
                <w:sz w:val="14"/>
                <w:szCs w:val="14"/>
                <w:color w:val="060606"/>
              </w:rPr>
              <w:t>4.2</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060606"/>
              </w:rPr>
              <w:t>0.2</w:t>
            </w:r>
          </w:p>
        </w:tc>
        <w:tc>
          <w:tcPr>
            <w:tcW w:w="900" w:type="dxa"/>
            <w:vAlign w:val="bottom"/>
          </w:tcPr>
          <w:p>
            <w:pPr>
              <w:jc w:val="right"/>
              <w:ind w:right="151"/>
              <w:spacing w:after="0"/>
              <w:rPr>
                <w:sz w:val="20"/>
                <w:szCs w:val="20"/>
                <w:color w:val="auto"/>
              </w:rPr>
            </w:pPr>
            <w:r>
              <w:rPr>
                <w:rFonts w:ascii="Arial" w:cs="Arial" w:eastAsia="Arial" w:hAnsi="Arial"/>
                <w:sz w:val="14"/>
                <w:szCs w:val="14"/>
                <w:color w:val="060606"/>
              </w:rPr>
              <w:t>—</w:t>
            </w:r>
          </w:p>
        </w:tc>
        <w:tc>
          <w:tcPr>
            <w:tcW w:w="900" w:type="dxa"/>
            <w:vAlign w:val="bottom"/>
          </w:tcPr>
          <w:p>
            <w:pPr>
              <w:jc w:val="right"/>
              <w:ind w:right="131"/>
              <w:spacing w:after="0"/>
              <w:rPr>
                <w:sz w:val="20"/>
                <w:szCs w:val="20"/>
                <w:color w:val="auto"/>
              </w:rPr>
            </w:pPr>
            <w:r>
              <w:rPr>
                <w:rFonts w:ascii="Arial" w:cs="Arial" w:eastAsia="Arial" w:hAnsi="Arial"/>
                <w:sz w:val="14"/>
                <w:szCs w:val="14"/>
                <w:color w:val="060606"/>
              </w:rPr>
              <w:t>—</w:t>
            </w:r>
          </w:p>
        </w:tc>
        <w:tc>
          <w:tcPr>
            <w:tcW w:w="900" w:type="dxa"/>
            <w:vAlign w:val="bottom"/>
          </w:tcPr>
          <w:p>
            <w:pPr>
              <w:jc w:val="right"/>
              <w:ind w:right="171"/>
              <w:spacing w:after="0"/>
              <w:rPr>
                <w:sz w:val="20"/>
                <w:szCs w:val="20"/>
                <w:color w:val="auto"/>
              </w:rPr>
            </w:pPr>
            <w:r>
              <w:rPr>
                <w:rFonts w:ascii="Arial" w:cs="Arial" w:eastAsia="Arial" w:hAnsi="Arial"/>
                <w:sz w:val="14"/>
                <w:szCs w:val="14"/>
                <w:color w:val="060606"/>
              </w:rPr>
              <w:t>—</w:t>
            </w:r>
          </w:p>
        </w:tc>
        <w:tc>
          <w:tcPr>
            <w:tcW w:w="920" w:type="dxa"/>
            <w:vAlign w:val="bottom"/>
          </w:tcPr>
          <w:p>
            <w:pPr>
              <w:jc w:val="right"/>
              <w:ind w:right="131"/>
              <w:spacing w:after="0"/>
              <w:rPr>
                <w:sz w:val="20"/>
                <w:szCs w:val="20"/>
                <w:color w:val="auto"/>
              </w:rPr>
            </w:pPr>
            <w:r>
              <w:rPr>
                <w:rFonts w:ascii="Arial" w:cs="Arial" w:eastAsia="Arial" w:hAnsi="Arial"/>
                <w:sz w:val="14"/>
                <w:szCs w:val="14"/>
                <w:color w:val="060606"/>
              </w:rPr>
              <w:t>—</w:t>
            </w:r>
          </w:p>
        </w:tc>
        <w:tc>
          <w:tcPr>
            <w:tcW w:w="900" w:type="dxa"/>
            <w:vAlign w:val="bottom"/>
          </w:tcPr>
          <w:p>
            <w:pPr>
              <w:jc w:val="right"/>
              <w:ind w:right="111"/>
              <w:spacing w:after="0"/>
              <w:rPr>
                <w:sz w:val="20"/>
                <w:szCs w:val="20"/>
                <w:color w:val="auto"/>
              </w:rPr>
            </w:pPr>
            <w:r>
              <w:rPr>
                <w:rFonts w:ascii="Arial" w:cs="Arial" w:eastAsia="Arial" w:hAnsi="Arial"/>
                <w:sz w:val="14"/>
                <w:szCs w:val="14"/>
                <w:color w:val="060606"/>
              </w:rPr>
              <w:t>(4.4)</w:t>
            </w:r>
          </w:p>
        </w:tc>
        <w:tc>
          <w:tcPr>
            <w:tcW w:w="960" w:type="dxa"/>
            <w:vAlign w:val="bottom"/>
          </w:tcPr>
          <w:p>
            <w:pPr>
              <w:jc w:val="right"/>
              <w:ind w:right="131"/>
              <w:spacing w:after="0"/>
              <w:rPr>
                <w:sz w:val="20"/>
                <w:szCs w:val="20"/>
                <w:color w:val="auto"/>
              </w:rPr>
            </w:pPr>
            <w:r>
              <w:rPr>
                <w:rFonts w:ascii="Arial" w:cs="Arial" w:eastAsia="Arial" w:hAnsi="Arial"/>
                <w:sz w:val="14"/>
                <w:szCs w:val="14"/>
                <w:color w:val="060606"/>
              </w:rPr>
              <w:t>—</w:t>
            </w:r>
          </w:p>
        </w:tc>
        <w:tc>
          <w:tcPr>
            <w:tcW w:w="760" w:type="dxa"/>
            <w:vAlign w:val="bottom"/>
          </w:tcPr>
          <w:p>
            <w:pPr>
              <w:ind w:left="580"/>
              <w:spacing w:after="0"/>
              <w:rPr>
                <w:sz w:val="20"/>
                <w:szCs w:val="20"/>
                <w:color w:val="auto"/>
              </w:rPr>
            </w:pPr>
            <w:r>
              <w:rPr>
                <w:rFonts w:ascii="Arial" w:cs="Arial" w:eastAsia="Arial" w:hAnsi="Arial"/>
                <w:sz w:val="14"/>
                <w:szCs w:val="14"/>
                <w:color w:val="060606"/>
              </w:rPr>
              <w:t>—</w:t>
            </w:r>
          </w:p>
        </w:tc>
        <w:tc>
          <w:tcPr>
            <w:tcW w:w="200" w:type="dxa"/>
            <w:vAlign w:val="bottom"/>
          </w:tcPr>
          <w:p>
            <w:pPr>
              <w:spacing w:after="0"/>
              <w:rPr>
                <w:sz w:val="17"/>
                <w:szCs w:val="17"/>
                <w:color w:val="auto"/>
              </w:rPr>
            </w:pPr>
          </w:p>
        </w:tc>
        <w:tc>
          <w:tcPr>
            <w:tcW w:w="780" w:type="dxa"/>
            <w:vAlign w:val="bottom"/>
          </w:tcPr>
          <w:p>
            <w:pPr>
              <w:jc w:val="right"/>
              <w:ind w:right="111"/>
              <w:spacing w:after="0"/>
              <w:rPr>
                <w:sz w:val="20"/>
                <w:szCs w:val="20"/>
                <w:color w:val="auto"/>
              </w:rPr>
            </w:pPr>
            <w:r>
              <w:rPr>
                <w:rFonts w:ascii="Arial" w:cs="Arial" w:eastAsia="Arial" w:hAnsi="Arial"/>
                <w:sz w:val="14"/>
                <w:szCs w:val="14"/>
                <w:color w:val="060606"/>
              </w:rPr>
              <w:t>—</w:t>
            </w:r>
          </w:p>
        </w:tc>
        <w:tc>
          <w:tcPr>
            <w:tcW w:w="0" w:type="dxa"/>
            <w:vAlign w:val="bottom"/>
          </w:tcPr>
          <w:p>
            <w:pPr>
              <w:spacing w:after="0"/>
              <w:rPr>
                <w:sz w:val="1"/>
                <w:szCs w:val="1"/>
                <w:color w:val="auto"/>
              </w:rPr>
            </w:pPr>
          </w:p>
        </w:tc>
      </w:tr>
      <w:tr>
        <w:trPr>
          <w:trHeight w:val="216"/>
        </w:trPr>
        <w:tc>
          <w:tcPr>
            <w:tcW w:w="2240" w:type="dxa"/>
            <w:vAlign w:val="bottom"/>
          </w:tcPr>
          <w:p>
            <w:pPr>
              <w:ind w:left="20"/>
              <w:spacing w:after="0"/>
              <w:rPr>
                <w:sz w:val="20"/>
                <w:szCs w:val="20"/>
                <w:color w:val="auto"/>
              </w:rPr>
            </w:pPr>
            <w:r>
              <w:rPr>
                <w:rFonts w:ascii="Arial" w:cs="Arial" w:eastAsia="Arial" w:hAnsi="Arial"/>
                <w:sz w:val="14"/>
                <w:szCs w:val="14"/>
                <w:color w:val="060606"/>
              </w:rPr>
              <w:t>Operating income</w:t>
            </w:r>
          </w:p>
        </w:tc>
        <w:tc>
          <w:tcPr>
            <w:tcW w:w="820" w:type="dxa"/>
            <w:vAlign w:val="bottom"/>
          </w:tcPr>
          <w:p>
            <w:pPr>
              <w:jc w:val="right"/>
              <w:ind w:right="151"/>
              <w:spacing w:after="0"/>
              <w:rPr>
                <w:sz w:val="20"/>
                <w:szCs w:val="20"/>
                <w:color w:val="auto"/>
              </w:rPr>
            </w:pPr>
            <w:r>
              <w:rPr>
                <w:rFonts w:ascii="Arial" w:cs="Arial" w:eastAsia="Arial" w:hAnsi="Arial"/>
                <w:sz w:val="14"/>
                <w:szCs w:val="14"/>
                <w:color w:val="060606"/>
              </w:rPr>
              <w:t>156.8</w:t>
            </w: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060606"/>
              </w:rPr>
              <w:t>(0.2)</w:t>
            </w:r>
          </w:p>
        </w:tc>
        <w:tc>
          <w:tcPr>
            <w:tcW w:w="900" w:type="dxa"/>
            <w:vAlign w:val="bottom"/>
          </w:tcPr>
          <w:p>
            <w:pPr>
              <w:jc w:val="right"/>
              <w:ind w:right="151"/>
              <w:spacing w:after="0"/>
              <w:rPr>
                <w:sz w:val="20"/>
                <w:szCs w:val="20"/>
                <w:color w:val="auto"/>
              </w:rPr>
            </w:pPr>
            <w:r>
              <w:rPr>
                <w:rFonts w:ascii="Arial" w:cs="Arial" w:eastAsia="Arial" w:hAnsi="Arial"/>
                <w:sz w:val="14"/>
                <w:szCs w:val="14"/>
                <w:color w:val="060606"/>
              </w:rPr>
              <w:t>12.8</w:t>
            </w:r>
          </w:p>
        </w:tc>
        <w:tc>
          <w:tcPr>
            <w:tcW w:w="900" w:type="dxa"/>
            <w:vAlign w:val="bottom"/>
          </w:tcPr>
          <w:p>
            <w:pPr>
              <w:jc w:val="right"/>
              <w:ind w:right="131"/>
              <w:spacing w:after="0"/>
              <w:rPr>
                <w:sz w:val="20"/>
                <w:szCs w:val="20"/>
                <w:color w:val="auto"/>
              </w:rPr>
            </w:pPr>
            <w:r>
              <w:rPr>
                <w:rFonts w:ascii="Arial" w:cs="Arial" w:eastAsia="Arial" w:hAnsi="Arial"/>
                <w:sz w:val="14"/>
                <w:szCs w:val="14"/>
                <w:color w:val="060606"/>
              </w:rPr>
              <w:t>—</w:t>
            </w:r>
          </w:p>
        </w:tc>
        <w:tc>
          <w:tcPr>
            <w:tcW w:w="900" w:type="dxa"/>
            <w:vAlign w:val="bottom"/>
          </w:tcPr>
          <w:p>
            <w:pPr>
              <w:jc w:val="right"/>
              <w:ind w:right="171"/>
              <w:spacing w:after="0"/>
              <w:rPr>
                <w:sz w:val="20"/>
                <w:szCs w:val="20"/>
                <w:color w:val="auto"/>
              </w:rPr>
            </w:pPr>
            <w:r>
              <w:rPr>
                <w:rFonts w:ascii="Arial" w:cs="Arial" w:eastAsia="Arial" w:hAnsi="Arial"/>
                <w:sz w:val="14"/>
                <w:szCs w:val="14"/>
                <w:color w:val="060606"/>
              </w:rPr>
              <w:t>—</w:t>
            </w:r>
          </w:p>
        </w:tc>
        <w:tc>
          <w:tcPr>
            <w:tcW w:w="920" w:type="dxa"/>
            <w:vAlign w:val="bottom"/>
          </w:tcPr>
          <w:p>
            <w:pPr>
              <w:jc w:val="right"/>
              <w:ind w:right="131"/>
              <w:spacing w:after="0"/>
              <w:rPr>
                <w:sz w:val="20"/>
                <w:szCs w:val="20"/>
                <w:color w:val="auto"/>
              </w:rPr>
            </w:pPr>
            <w:r>
              <w:rPr>
                <w:rFonts w:ascii="Arial" w:cs="Arial" w:eastAsia="Arial" w:hAnsi="Arial"/>
                <w:sz w:val="14"/>
                <w:szCs w:val="14"/>
                <w:color w:val="060606"/>
              </w:rPr>
              <w:t>5.5</w:t>
            </w:r>
          </w:p>
        </w:tc>
        <w:tc>
          <w:tcPr>
            <w:tcW w:w="900" w:type="dxa"/>
            <w:vAlign w:val="bottom"/>
          </w:tcPr>
          <w:p>
            <w:pPr>
              <w:jc w:val="right"/>
              <w:ind w:right="151"/>
              <w:spacing w:after="0"/>
              <w:rPr>
                <w:sz w:val="20"/>
                <w:szCs w:val="20"/>
                <w:color w:val="auto"/>
              </w:rPr>
            </w:pPr>
            <w:r>
              <w:rPr>
                <w:rFonts w:ascii="Arial" w:cs="Arial" w:eastAsia="Arial" w:hAnsi="Arial"/>
                <w:sz w:val="14"/>
                <w:szCs w:val="14"/>
                <w:color w:val="060606"/>
              </w:rPr>
              <w:t>20.5</w:t>
            </w:r>
          </w:p>
        </w:tc>
        <w:tc>
          <w:tcPr>
            <w:tcW w:w="960" w:type="dxa"/>
            <w:vAlign w:val="bottom"/>
          </w:tcPr>
          <w:p>
            <w:pPr>
              <w:jc w:val="right"/>
              <w:ind w:right="131"/>
              <w:spacing w:after="0"/>
              <w:rPr>
                <w:sz w:val="20"/>
                <w:szCs w:val="20"/>
                <w:color w:val="auto"/>
              </w:rPr>
            </w:pPr>
            <w:r>
              <w:rPr>
                <w:rFonts w:ascii="Arial" w:cs="Arial" w:eastAsia="Arial" w:hAnsi="Arial"/>
                <w:sz w:val="14"/>
                <w:szCs w:val="14"/>
                <w:color w:val="060606"/>
              </w:rPr>
              <w:t>26.9</w:t>
            </w:r>
          </w:p>
        </w:tc>
        <w:tc>
          <w:tcPr>
            <w:tcW w:w="760" w:type="dxa"/>
            <w:vAlign w:val="bottom"/>
          </w:tcPr>
          <w:p>
            <w:pPr>
              <w:ind w:left="580"/>
              <w:spacing w:after="0"/>
              <w:rPr>
                <w:sz w:val="20"/>
                <w:szCs w:val="20"/>
                <w:color w:val="auto"/>
              </w:rPr>
            </w:pPr>
            <w:r>
              <w:rPr>
                <w:rFonts w:ascii="Arial" w:cs="Arial" w:eastAsia="Arial" w:hAnsi="Arial"/>
                <w:sz w:val="14"/>
                <w:szCs w:val="14"/>
                <w:color w:val="060606"/>
              </w:rPr>
              <w:t>—</w:t>
            </w:r>
          </w:p>
        </w:tc>
        <w:tc>
          <w:tcPr>
            <w:tcW w:w="200" w:type="dxa"/>
            <w:vAlign w:val="bottom"/>
          </w:tcPr>
          <w:p>
            <w:pPr>
              <w:spacing w:after="0"/>
              <w:rPr>
                <w:sz w:val="18"/>
                <w:szCs w:val="18"/>
                <w:color w:val="auto"/>
              </w:rPr>
            </w:pPr>
          </w:p>
        </w:tc>
        <w:tc>
          <w:tcPr>
            <w:tcW w:w="780" w:type="dxa"/>
            <w:vAlign w:val="bottom"/>
          </w:tcPr>
          <w:p>
            <w:pPr>
              <w:jc w:val="right"/>
              <w:ind w:right="111"/>
              <w:spacing w:after="0"/>
              <w:rPr>
                <w:sz w:val="20"/>
                <w:szCs w:val="20"/>
                <w:color w:val="auto"/>
              </w:rPr>
            </w:pPr>
            <w:r>
              <w:rPr>
                <w:rFonts w:ascii="Arial" w:cs="Arial" w:eastAsia="Arial" w:hAnsi="Arial"/>
                <w:sz w:val="14"/>
                <w:szCs w:val="14"/>
                <w:color w:val="060606"/>
              </w:rPr>
              <w:t>222.3</w:t>
            </w:r>
          </w:p>
        </w:tc>
        <w:tc>
          <w:tcPr>
            <w:tcW w:w="0" w:type="dxa"/>
            <w:vAlign w:val="bottom"/>
          </w:tcPr>
          <w:p>
            <w:pPr>
              <w:spacing w:after="0"/>
              <w:rPr>
                <w:sz w:val="1"/>
                <w:szCs w:val="1"/>
                <w:color w:val="auto"/>
              </w:rPr>
            </w:pPr>
          </w:p>
        </w:tc>
      </w:tr>
      <w:tr>
        <w:trPr>
          <w:trHeight w:val="216"/>
        </w:trPr>
        <w:tc>
          <w:tcPr>
            <w:tcW w:w="2240" w:type="dxa"/>
            <w:vAlign w:val="bottom"/>
          </w:tcPr>
          <w:p>
            <w:pPr>
              <w:ind w:left="20"/>
              <w:spacing w:after="0"/>
              <w:rPr>
                <w:sz w:val="20"/>
                <w:szCs w:val="20"/>
                <w:color w:val="auto"/>
              </w:rPr>
            </w:pPr>
            <w:r>
              <w:rPr>
                <w:rFonts w:ascii="Arial" w:cs="Arial" w:eastAsia="Arial" w:hAnsi="Arial"/>
                <w:sz w:val="14"/>
                <w:szCs w:val="14"/>
                <w:color w:val="060606"/>
              </w:rPr>
              <w:t>Operating margin percent</w:t>
            </w:r>
          </w:p>
        </w:tc>
        <w:tc>
          <w:tcPr>
            <w:tcW w:w="820" w:type="dxa"/>
            <w:vAlign w:val="bottom"/>
          </w:tcPr>
          <w:p>
            <w:pPr>
              <w:jc w:val="right"/>
              <w:spacing w:after="0"/>
              <w:rPr>
                <w:sz w:val="20"/>
                <w:szCs w:val="20"/>
                <w:color w:val="auto"/>
              </w:rPr>
            </w:pPr>
            <w:r>
              <w:rPr>
                <w:rFonts w:ascii="Arial" w:cs="Arial" w:eastAsia="Arial" w:hAnsi="Arial"/>
                <w:sz w:val="14"/>
                <w:szCs w:val="14"/>
                <w:color w:val="060606"/>
              </w:rPr>
              <w:t>15.3 %</w:t>
            </w:r>
          </w:p>
        </w:tc>
        <w:tc>
          <w:tcPr>
            <w:tcW w:w="960" w:type="dxa"/>
            <w:vAlign w:val="bottom"/>
            <w:gridSpan w:val="2"/>
          </w:tcPr>
          <w:p>
            <w:pPr>
              <w:ind w:left="580"/>
              <w:spacing w:after="0"/>
              <w:rPr>
                <w:sz w:val="20"/>
                <w:szCs w:val="20"/>
                <w:color w:val="auto"/>
              </w:rPr>
            </w:pPr>
            <w:r>
              <w:rPr>
                <w:rFonts w:ascii="Arial" w:cs="Arial" w:eastAsia="Arial" w:hAnsi="Arial"/>
                <w:sz w:val="14"/>
                <w:szCs w:val="14"/>
                <w:color w:val="060606"/>
              </w:rPr>
              <w:t>— %</w:t>
            </w:r>
          </w:p>
        </w:tc>
        <w:tc>
          <w:tcPr>
            <w:tcW w:w="900" w:type="dxa"/>
            <w:vAlign w:val="bottom"/>
          </w:tcPr>
          <w:p>
            <w:pPr>
              <w:jc w:val="right"/>
              <w:spacing w:after="0"/>
              <w:rPr>
                <w:sz w:val="20"/>
                <w:szCs w:val="20"/>
                <w:color w:val="auto"/>
              </w:rPr>
            </w:pPr>
            <w:r>
              <w:rPr>
                <w:rFonts w:ascii="Arial" w:cs="Arial" w:eastAsia="Arial" w:hAnsi="Arial"/>
                <w:sz w:val="14"/>
                <w:szCs w:val="14"/>
                <w:color w:val="060606"/>
              </w:rPr>
              <w:t>1.2 %</w:t>
            </w:r>
          </w:p>
        </w:tc>
        <w:tc>
          <w:tcPr>
            <w:tcW w:w="900" w:type="dxa"/>
            <w:vAlign w:val="bottom"/>
          </w:tcPr>
          <w:p>
            <w:pPr>
              <w:jc w:val="right"/>
              <w:spacing w:after="0"/>
              <w:rPr>
                <w:sz w:val="20"/>
                <w:szCs w:val="20"/>
                <w:color w:val="auto"/>
              </w:rPr>
            </w:pPr>
            <w:r>
              <w:rPr>
                <w:rFonts w:ascii="Arial" w:cs="Arial" w:eastAsia="Arial" w:hAnsi="Arial"/>
                <w:sz w:val="14"/>
                <w:szCs w:val="14"/>
                <w:color w:val="060606"/>
              </w:rPr>
              <w:t>— %</w:t>
            </w:r>
          </w:p>
        </w:tc>
        <w:tc>
          <w:tcPr>
            <w:tcW w:w="900" w:type="dxa"/>
            <w:vAlign w:val="bottom"/>
          </w:tcPr>
          <w:p>
            <w:pPr>
              <w:jc w:val="right"/>
              <w:spacing w:after="0"/>
              <w:rPr>
                <w:sz w:val="20"/>
                <w:szCs w:val="20"/>
                <w:color w:val="auto"/>
              </w:rPr>
            </w:pPr>
            <w:r>
              <w:rPr>
                <w:rFonts w:ascii="Arial" w:cs="Arial" w:eastAsia="Arial" w:hAnsi="Arial"/>
                <w:sz w:val="14"/>
                <w:szCs w:val="14"/>
                <w:color w:val="060606"/>
              </w:rPr>
              <w:t>— %</w:t>
            </w:r>
          </w:p>
        </w:tc>
        <w:tc>
          <w:tcPr>
            <w:tcW w:w="920" w:type="dxa"/>
            <w:vAlign w:val="bottom"/>
          </w:tcPr>
          <w:p>
            <w:pPr>
              <w:jc w:val="right"/>
              <w:spacing w:after="0"/>
              <w:rPr>
                <w:sz w:val="20"/>
                <w:szCs w:val="20"/>
                <w:color w:val="auto"/>
              </w:rPr>
            </w:pPr>
            <w:r>
              <w:rPr>
                <w:rFonts w:ascii="Arial" w:cs="Arial" w:eastAsia="Arial" w:hAnsi="Arial"/>
                <w:sz w:val="14"/>
                <w:szCs w:val="14"/>
                <w:color w:val="060606"/>
              </w:rPr>
              <w:t>0.5 %</w:t>
            </w:r>
          </w:p>
        </w:tc>
        <w:tc>
          <w:tcPr>
            <w:tcW w:w="900" w:type="dxa"/>
            <w:vAlign w:val="bottom"/>
          </w:tcPr>
          <w:p>
            <w:pPr>
              <w:jc w:val="right"/>
              <w:spacing w:after="0"/>
              <w:rPr>
                <w:sz w:val="20"/>
                <w:szCs w:val="20"/>
                <w:color w:val="auto"/>
              </w:rPr>
            </w:pPr>
            <w:r>
              <w:rPr>
                <w:rFonts w:ascii="Arial" w:cs="Arial" w:eastAsia="Arial" w:hAnsi="Arial"/>
                <w:sz w:val="14"/>
                <w:szCs w:val="14"/>
                <w:color w:val="060606"/>
              </w:rPr>
              <w:t>2.0 %</w:t>
            </w:r>
          </w:p>
        </w:tc>
        <w:tc>
          <w:tcPr>
            <w:tcW w:w="960" w:type="dxa"/>
            <w:vAlign w:val="bottom"/>
          </w:tcPr>
          <w:p>
            <w:pPr>
              <w:jc w:val="right"/>
              <w:spacing w:after="0"/>
              <w:rPr>
                <w:sz w:val="20"/>
                <w:szCs w:val="20"/>
                <w:color w:val="auto"/>
              </w:rPr>
            </w:pPr>
            <w:r>
              <w:rPr>
                <w:rFonts w:ascii="Arial" w:cs="Arial" w:eastAsia="Arial" w:hAnsi="Arial"/>
                <w:sz w:val="14"/>
                <w:szCs w:val="14"/>
                <w:color w:val="060606"/>
              </w:rPr>
              <w:t>2.6 %</w:t>
            </w:r>
          </w:p>
        </w:tc>
        <w:tc>
          <w:tcPr>
            <w:tcW w:w="960" w:type="dxa"/>
            <w:vAlign w:val="bottom"/>
            <w:gridSpan w:val="2"/>
          </w:tcPr>
          <w:p>
            <w:pPr>
              <w:ind w:left="580"/>
              <w:spacing w:after="0"/>
              <w:rPr>
                <w:sz w:val="20"/>
                <w:szCs w:val="20"/>
                <w:color w:val="auto"/>
              </w:rPr>
            </w:pPr>
            <w:r>
              <w:rPr>
                <w:rFonts w:ascii="Arial" w:cs="Arial" w:eastAsia="Arial" w:hAnsi="Arial"/>
                <w:sz w:val="14"/>
                <w:szCs w:val="14"/>
                <w:color w:val="060606"/>
              </w:rPr>
              <w:t>— %</w:t>
            </w:r>
          </w:p>
        </w:tc>
        <w:tc>
          <w:tcPr>
            <w:tcW w:w="780" w:type="dxa"/>
            <w:vAlign w:val="bottom"/>
          </w:tcPr>
          <w:p>
            <w:pPr>
              <w:jc w:val="right"/>
              <w:spacing w:after="0"/>
              <w:rPr>
                <w:sz w:val="20"/>
                <w:szCs w:val="20"/>
                <w:color w:val="auto"/>
              </w:rPr>
            </w:pPr>
            <w:r>
              <w:rPr>
                <w:rFonts w:ascii="Arial" w:cs="Arial" w:eastAsia="Arial" w:hAnsi="Arial"/>
                <w:sz w:val="14"/>
                <w:szCs w:val="14"/>
                <w:color w:val="060606"/>
              </w:rPr>
              <w:t>21.6 %</w:t>
            </w:r>
          </w:p>
        </w:tc>
        <w:tc>
          <w:tcPr>
            <w:tcW w:w="0" w:type="dxa"/>
            <w:vAlign w:val="bottom"/>
          </w:tcPr>
          <w:p>
            <w:pPr>
              <w:spacing w:after="0"/>
              <w:rPr>
                <w:sz w:val="1"/>
                <w:szCs w:val="1"/>
                <w:color w:val="auto"/>
              </w:rPr>
            </w:pPr>
          </w:p>
        </w:tc>
      </w:tr>
      <w:tr>
        <w:trPr>
          <w:trHeight w:val="216"/>
        </w:trPr>
        <w:tc>
          <w:tcPr>
            <w:tcW w:w="2240" w:type="dxa"/>
            <w:vAlign w:val="bottom"/>
          </w:tcPr>
          <w:p>
            <w:pPr>
              <w:ind w:left="20"/>
              <w:spacing w:after="0"/>
              <w:rPr>
                <w:sz w:val="20"/>
                <w:szCs w:val="20"/>
                <w:color w:val="auto"/>
              </w:rPr>
            </w:pPr>
            <w:r>
              <w:rPr>
                <w:rFonts w:ascii="Arial" w:cs="Arial" w:eastAsia="Arial" w:hAnsi="Arial"/>
                <w:sz w:val="14"/>
                <w:szCs w:val="14"/>
                <w:color w:val="060606"/>
              </w:rPr>
              <w:t>Net (loss) income</w:t>
            </w:r>
          </w:p>
        </w:tc>
        <w:tc>
          <w:tcPr>
            <w:tcW w:w="820" w:type="dxa"/>
            <w:vAlign w:val="bottom"/>
          </w:tcPr>
          <w:p>
            <w:pPr>
              <w:jc w:val="right"/>
              <w:ind w:right="111"/>
              <w:spacing w:after="0"/>
              <w:rPr>
                <w:sz w:val="20"/>
                <w:szCs w:val="20"/>
                <w:color w:val="auto"/>
              </w:rPr>
            </w:pPr>
            <w:r>
              <w:rPr>
                <w:rFonts w:ascii="Arial" w:cs="Arial" w:eastAsia="Arial" w:hAnsi="Arial"/>
                <w:sz w:val="14"/>
                <w:szCs w:val="14"/>
                <w:color w:val="060606"/>
              </w:rPr>
              <w:t>(273.4)</w:t>
            </w: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060606"/>
              </w:rPr>
              <w:t>(0.2)</w:t>
            </w:r>
          </w:p>
        </w:tc>
        <w:tc>
          <w:tcPr>
            <w:tcW w:w="900" w:type="dxa"/>
            <w:vAlign w:val="bottom"/>
          </w:tcPr>
          <w:p>
            <w:pPr>
              <w:jc w:val="right"/>
              <w:ind w:right="151"/>
              <w:spacing w:after="0"/>
              <w:rPr>
                <w:sz w:val="20"/>
                <w:szCs w:val="20"/>
                <w:color w:val="auto"/>
              </w:rPr>
            </w:pPr>
            <w:r>
              <w:rPr>
                <w:rFonts w:ascii="Arial" w:cs="Arial" w:eastAsia="Arial" w:hAnsi="Arial"/>
                <w:sz w:val="14"/>
                <w:szCs w:val="14"/>
                <w:color w:val="060606"/>
              </w:rPr>
              <w:t>12.8</w:t>
            </w:r>
          </w:p>
        </w:tc>
        <w:tc>
          <w:tcPr>
            <w:tcW w:w="900" w:type="dxa"/>
            <w:vAlign w:val="bottom"/>
          </w:tcPr>
          <w:p>
            <w:pPr>
              <w:jc w:val="right"/>
              <w:ind w:right="131"/>
              <w:spacing w:after="0"/>
              <w:rPr>
                <w:sz w:val="20"/>
                <w:szCs w:val="20"/>
                <w:color w:val="auto"/>
              </w:rPr>
            </w:pPr>
            <w:r>
              <w:rPr>
                <w:rFonts w:ascii="Arial" w:cs="Arial" w:eastAsia="Arial" w:hAnsi="Arial"/>
                <w:sz w:val="14"/>
                <w:szCs w:val="14"/>
                <w:color w:val="060606"/>
              </w:rPr>
              <w:t>4.2</w:t>
            </w:r>
          </w:p>
        </w:tc>
        <w:tc>
          <w:tcPr>
            <w:tcW w:w="900" w:type="dxa"/>
            <w:vAlign w:val="bottom"/>
          </w:tcPr>
          <w:p>
            <w:pPr>
              <w:jc w:val="right"/>
              <w:ind w:right="171"/>
              <w:spacing w:after="0"/>
              <w:rPr>
                <w:sz w:val="20"/>
                <w:szCs w:val="20"/>
                <w:color w:val="auto"/>
              </w:rPr>
            </w:pPr>
            <w:r>
              <w:rPr>
                <w:rFonts w:ascii="Arial" w:cs="Arial" w:eastAsia="Arial" w:hAnsi="Arial"/>
                <w:sz w:val="14"/>
                <w:szCs w:val="14"/>
                <w:color w:val="060606"/>
              </w:rPr>
              <w:t>30.9</w:t>
            </w:r>
          </w:p>
        </w:tc>
        <w:tc>
          <w:tcPr>
            <w:tcW w:w="920" w:type="dxa"/>
            <w:vAlign w:val="bottom"/>
          </w:tcPr>
          <w:p>
            <w:pPr>
              <w:jc w:val="right"/>
              <w:ind w:right="131"/>
              <w:spacing w:after="0"/>
              <w:rPr>
                <w:sz w:val="20"/>
                <w:szCs w:val="20"/>
                <w:color w:val="auto"/>
              </w:rPr>
            </w:pPr>
            <w:r>
              <w:rPr>
                <w:rFonts w:ascii="Arial" w:cs="Arial" w:eastAsia="Arial" w:hAnsi="Arial"/>
                <w:sz w:val="14"/>
                <w:szCs w:val="14"/>
                <w:color w:val="060606"/>
              </w:rPr>
              <w:t>5.5</w:t>
            </w:r>
          </w:p>
        </w:tc>
        <w:tc>
          <w:tcPr>
            <w:tcW w:w="900" w:type="dxa"/>
            <w:vAlign w:val="bottom"/>
          </w:tcPr>
          <w:p>
            <w:pPr>
              <w:jc w:val="right"/>
              <w:ind w:right="151"/>
              <w:spacing w:after="0"/>
              <w:rPr>
                <w:sz w:val="20"/>
                <w:szCs w:val="20"/>
                <w:color w:val="auto"/>
              </w:rPr>
            </w:pPr>
            <w:r>
              <w:rPr>
                <w:rFonts w:ascii="Arial" w:cs="Arial" w:eastAsia="Arial" w:hAnsi="Arial"/>
                <w:sz w:val="14"/>
                <w:szCs w:val="14"/>
                <w:color w:val="060606"/>
              </w:rPr>
              <w:t>384.4</w:t>
            </w:r>
          </w:p>
        </w:tc>
        <w:tc>
          <w:tcPr>
            <w:tcW w:w="960" w:type="dxa"/>
            <w:vAlign w:val="bottom"/>
          </w:tcPr>
          <w:p>
            <w:pPr>
              <w:jc w:val="right"/>
              <w:ind w:right="131"/>
              <w:spacing w:after="0"/>
              <w:rPr>
                <w:sz w:val="20"/>
                <w:szCs w:val="20"/>
                <w:color w:val="auto"/>
              </w:rPr>
            </w:pPr>
            <w:r>
              <w:rPr>
                <w:rFonts w:ascii="Arial" w:cs="Arial" w:eastAsia="Arial" w:hAnsi="Arial"/>
                <w:sz w:val="14"/>
                <w:szCs w:val="14"/>
                <w:color w:val="060606"/>
              </w:rPr>
              <w:t>26.9</w:t>
            </w:r>
          </w:p>
        </w:tc>
        <w:tc>
          <w:tcPr>
            <w:tcW w:w="760" w:type="dxa"/>
            <w:vAlign w:val="bottom"/>
          </w:tcPr>
          <w:p>
            <w:pPr>
              <w:jc w:val="right"/>
              <w:spacing w:after="0"/>
              <w:rPr>
                <w:sz w:val="20"/>
                <w:szCs w:val="20"/>
                <w:color w:val="auto"/>
              </w:rPr>
            </w:pPr>
            <w:r>
              <w:rPr>
                <w:rFonts w:ascii="Arial" w:cs="Arial" w:eastAsia="Arial" w:hAnsi="Arial"/>
                <w:sz w:val="14"/>
                <w:szCs w:val="14"/>
                <w:color w:val="060606"/>
              </w:rPr>
              <w:t>(24.1)</w:t>
            </w:r>
          </w:p>
        </w:tc>
        <w:tc>
          <w:tcPr>
            <w:tcW w:w="200" w:type="dxa"/>
            <w:vAlign w:val="bottom"/>
          </w:tcPr>
          <w:p>
            <w:pPr>
              <w:spacing w:after="0"/>
              <w:rPr>
                <w:sz w:val="18"/>
                <w:szCs w:val="18"/>
                <w:color w:val="auto"/>
              </w:rPr>
            </w:pPr>
          </w:p>
        </w:tc>
        <w:tc>
          <w:tcPr>
            <w:tcW w:w="780" w:type="dxa"/>
            <w:vAlign w:val="bottom"/>
          </w:tcPr>
          <w:p>
            <w:pPr>
              <w:jc w:val="right"/>
              <w:ind w:right="111"/>
              <w:spacing w:after="0"/>
              <w:rPr>
                <w:sz w:val="20"/>
                <w:szCs w:val="20"/>
                <w:color w:val="auto"/>
              </w:rPr>
            </w:pPr>
            <w:r>
              <w:rPr>
                <w:rFonts w:ascii="Arial" w:cs="Arial" w:eastAsia="Arial" w:hAnsi="Arial"/>
                <w:sz w:val="14"/>
                <w:szCs w:val="14"/>
                <w:color w:val="060606"/>
              </w:rPr>
              <w:t>166.9</w:t>
            </w:r>
          </w:p>
        </w:tc>
        <w:tc>
          <w:tcPr>
            <w:tcW w:w="0" w:type="dxa"/>
            <w:vAlign w:val="bottom"/>
          </w:tcPr>
          <w:p>
            <w:pPr>
              <w:spacing w:after="0"/>
              <w:rPr>
                <w:sz w:val="1"/>
                <w:szCs w:val="1"/>
                <w:color w:val="auto"/>
              </w:rPr>
            </w:pPr>
          </w:p>
        </w:tc>
      </w:tr>
      <w:tr>
        <w:trPr>
          <w:trHeight w:val="174"/>
        </w:trPr>
        <w:tc>
          <w:tcPr>
            <w:tcW w:w="2240" w:type="dxa"/>
            <w:vAlign w:val="bottom"/>
          </w:tcPr>
          <w:p>
            <w:pPr>
              <w:ind w:left="20"/>
              <w:spacing w:after="0"/>
              <w:rPr>
                <w:sz w:val="20"/>
                <w:szCs w:val="20"/>
                <w:color w:val="auto"/>
              </w:rPr>
            </w:pPr>
            <w:r>
              <w:rPr>
                <w:rFonts w:ascii="Arial" w:cs="Arial" w:eastAsia="Arial" w:hAnsi="Arial"/>
                <w:sz w:val="14"/>
                <w:szCs w:val="14"/>
                <w:color w:val="060606"/>
              </w:rPr>
              <w:t>Net (loss) income as a percent of</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060606"/>
              </w:rPr>
              <w:t>(26.6)%</w:t>
            </w:r>
          </w:p>
        </w:tc>
        <w:tc>
          <w:tcPr>
            <w:tcW w:w="960" w:type="dxa"/>
            <w:vAlign w:val="bottom"/>
            <w:gridSpan w:val="2"/>
            <w:vMerge w:val="restart"/>
          </w:tcPr>
          <w:p>
            <w:pPr>
              <w:ind w:left="580"/>
              <w:spacing w:after="0"/>
              <w:rPr>
                <w:sz w:val="20"/>
                <w:szCs w:val="20"/>
                <w:color w:val="auto"/>
              </w:rPr>
            </w:pPr>
            <w:r>
              <w:rPr>
                <w:rFonts w:ascii="Arial" w:cs="Arial" w:eastAsia="Arial" w:hAnsi="Arial"/>
                <w:sz w:val="14"/>
                <w:szCs w:val="14"/>
                <w:color w:val="060606"/>
              </w:rPr>
              <w:t>— %</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060606"/>
              </w:rPr>
              <w:t>1.2 %</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060606"/>
              </w:rPr>
              <w:t>0.4 %</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060606"/>
              </w:rPr>
              <w:t>3.0 %</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060606"/>
              </w:rPr>
              <w:t>0.5 %</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060606"/>
              </w:rPr>
              <w:t>37.4 %</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060606"/>
              </w:rPr>
              <w:t>2.6 %</w:t>
            </w:r>
          </w:p>
        </w:tc>
        <w:tc>
          <w:tcPr>
            <w:tcW w:w="960" w:type="dxa"/>
            <w:vAlign w:val="bottom"/>
            <w:gridSpan w:val="2"/>
            <w:vMerge w:val="restart"/>
          </w:tcPr>
          <w:p>
            <w:pPr>
              <w:jc w:val="right"/>
              <w:ind w:right="60"/>
              <w:spacing w:after="0"/>
              <w:rPr>
                <w:sz w:val="20"/>
                <w:szCs w:val="20"/>
                <w:color w:val="auto"/>
              </w:rPr>
            </w:pPr>
            <w:r>
              <w:rPr>
                <w:rFonts w:ascii="Arial" w:cs="Arial" w:eastAsia="Arial" w:hAnsi="Arial"/>
                <w:sz w:val="14"/>
                <w:szCs w:val="14"/>
                <w:color w:val="060606"/>
              </w:rPr>
              <w:t>(2.3)%</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060606"/>
              </w:rPr>
              <w:t>16.3 %</w:t>
            </w:r>
          </w:p>
        </w:tc>
        <w:tc>
          <w:tcPr>
            <w:tcW w:w="0" w:type="dxa"/>
            <w:vAlign w:val="bottom"/>
          </w:tcPr>
          <w:p>
            <w:pPr>
              <w:spacing w:after="0"/>
              <w:rPr>
                <w:sz w:val="1"/>
                <w:szCs w:val="1"/>
                <w:color w:val="auto"/>
              </w:rPr>
            </w:pPr>
          </w:p>
        </w:tc>
      </w:tr>
      <w:tr>
        <w:trPr>
          <w:trHeight w:val="190"/>
        </w:trPr>
        <w:tc>
          <w:tcPr>
            <w:tcW w:w="2240" w:type="dxa"/>
            <w:vAlign w:val="bottom"/>
          </w:tcPr>
          <w:p>
            <w:pPr>
              <w:ind w:left="20"/>
              <w:spacing w:after="0"/>
              <w:rPr>
                <w:sz w:val="20"/>
                <w:szCs w:val="20"/>
                <w:color w:val="auto"/>
              </w:rPr>
            </w:pPr>
            <w:r>
              <w:rPr>
                <w:rFonts w:ascii="Arial" w:cs="Arial" w:eastAsia="Arial" w:hAnsi="Arial"/>
                <w:sz w:val="14"/>
                <w:szCs w:val="14"/>
                <w:color w:val="060606"/>
              </w:rPr>
              <w:t>net revenue</w:t>
            </w:r>
          </w:p>
        </w:tc>
        <w:tc>
          <w:tcPr>
            <w:tcW w:w="820" w:type="dxa"/>
            <w:vAlign w:val="bottom"/>
            <w:vMerge w:val="continue"/>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2240" w:type="dxa"/>
            <w:vAlign w:val="bottom"/>
          </w:tcPr>
          <w:p>
            <w:pPr>
              <w:ind w:left="20"/>
              <w:spacing w:after="0" w:line="157" w:lineRule="exact"/>
              <w:rPr>
                <w:sz w:val="20"/>
                <w:szCs w:val="20"/>
                <w:color w:val="auto"/>
              </w:rPr>
            </w:pPr>
            <w:r>
              <w:rPr>
                <w:rFonts w:ascii="Arial" w:cs="Arial" w:eastAsia="Arial" w:hAnsi="Arial"/>
                <w:sz w:val="14"/>
                <w:szCs w:val="14"/>
                <w:color w:val="060606"/>
              </w:rPr>
              <w:t>Diluted (loss) earnings per share</w:t>
            </w:r>
          </w:p>
        </w:tc>
        <w:tc>
          <w:tcPr>
            <w:tcW w:w="8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2240" w:type="dxa"/>
            <w:vAlign w:val="bottom"/>
          </w:tcPr>
          <w:p>
            <w:pPr>
              <w:ind w:left="20"/>
              <w:spacing w:after="0" w:line="95" w:lineRule="exact"/>
              <w:rPr>
                <w:sz w:val="20"/>
                <w:szCs w:val="20"/>
                <w:color w:val="auto"/>
              </w:rPr>
            </w:pPr>
            <w:r>
              <w:rPr>
                <w:rFonts w:ascii="Arial" w:cs="Arial" w:eastAsia="Arial" w:hAnsi="Arial"/>
                <w:sz w:val="9"/>
                <w:szCs w:val="9"/>
                <w:color w:val="060606"/>
              </w:rPr>
              <w:t>(9)</w:t>
            </w:r>
          </w:p>
        </w:tc>
        <w:tc>
          <w:tcPr>
            <w:tcW w:w="820" w:type="dxa"/>
            <w:vAlign w:val="bottom"/>
            <w:vMerge w:val="restart"/>
          </w:tcPr>
          <w:p>
            <w:pPr>
              <w:jc w:val="right"/>
              <w:ind w:right="111"/>
              <w:spacing w:after="0"/>
              <w:rPr>
                <w:sz w:val="20"/>
                <w:szCs w:val="20"/>
                <w:color w:val="auto"/>
              </w:rPr>
            </w:pPr>
            <w:r>
              <w:rPr>
                <w:rFonts w:ascii="Arial" w:cs="Arial" w:eastAsia="Arial" w:hAnsi="Arial"/>
                <w:sz w:val="14"/>
                <w:szCs w:val="14"/>
                <w:color w:val="060606"/>
              </w:rPr>
              <w:t>($5.01)</w:t>
            </w:r>
          </w:p>
        </w:tc>
        <w:tc>
          <w:tcPr>
            <w:tcW w:w="9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060606"/>
              </w:rPr>
              <w:t>$—</w:t>
            </w:r>
          </w:p>
        </w:tc>
        <w:tc>
          <w:tcPr>
            <w:tcW w:w="900" w:type="dxa"/>
            <w:vAlign w:val="bottom"/>
            <w:vMerge w:val="restart"/>
          </w:tcPr>
          <w:p>
            <w:pPr>
              <w:jc w:val="right"/>
              <w:ind w:right="151"/>
              <w:spacing w:after="0"/>
              <w:rPr>
                <w:sz w:val="20"/>
                <w:szCs w:val="20"/>
                <w:color w:val="auto"/>
              </w:rPr>
            </w:pPr>
            <w:r>
              <w:rPr>
                <w:rFonts w:ascii="Arial" w:cs="Arial" w:eastAsia="Arial" w:hAnsi="Arial"/>
                <w:sz w:val="14"/>
                <w:szCs w:val="14"/>
                <w:color w:val="060606"/>
              </w:rPr>
              <w:t>$0.23</w:t>
            </w:r>
          </w:p>
        </w:tc>
        <w:tc>
          <w:tcPr>
            <w:tcW w:w="900" w:type="dxa"/>
            <w:vAlign w:val="bottom"/>
            <w:vMerge w:val="restart"/>
          </w:tcPr>
          <w:p>
            <w:pPr>
              <w:jc w:val="right"/>
              <w:ind w:right="131"/>
              <w:spacing w:after="0"/>
              <w:rPr>
                <w:sz w:val="20"/>
                <w:szCs w:val="20"/>
                <w:color w:val="auto"/>
              </w:rPr>
            </w:pPr>
            <w:r>
              <w:rPr>
                <w:rFonts w:ascii="Arial" w:cs="Arial" w:eastAsia="Arial" w:hAnsi="Arial"/>
                <w:sz w:val="14"/>
                <w:szCs w:val="14"/>
                <w:color w:val="060606"/>
              </w:rPr>
              <w:t>$0.08</w:t>
            </w:r>
          </w:p>
        </w:tc>
        <w:tc>
          <w:tcPr>
            <w:tcW w:w="900" w:type="dxa"/>
            <w:vAlign w:val="bottom"/>
            <w:vMerge w:val="restart"/>
          </w:tcPr>
          <w:p>
            <w:pPr>
              <w:jc w:val="right"/>
              <w:ind w:right="171"/>
              <w:spacing w:after="0"/>
              <w:rPr>
                <w:sz w:val="20"/>
                <w:szCs w:val="20"/>
                <w:color w:val="auto"/>
              </w:rPr>
            </w:pPr>
            <w:r>
              <w:rPr>
                <w:rFonts w:ascii="Arial" w:cs="Arial" w:eastAsia="Arial" w:hAnsi="Arial"/>
                <w:sz w:val="14"/>
                <w:szCs w:val="14"/>
                <w:color w:val="060606"/>
              </w:rPr>
              <w:t>$0.56</w:t>
            </w:r>
          </w:p>
        </w:tc>
        <w:tc>
          <w:tcPr>
            <w:tcW w:w="920" w:type="dxa"/>
            <w:vAlign w:val="bottom"/>
            <w:vMerge w:val="restart"/>
          </w:tcPr>
          <w:p>
            <w:pPr>
              <w:jc w:val="right"/>
              <w:ind w:right="131"/>
              <w:spacing w:after="0"/>
              <w:rPr>
                <w:sz w:val="20"/>
                <w:szCs w:val="20"/>
                <w:color w:val="auto"/>
              </w:rPr>
            </w:pPr>
            <w:r>
              <w:rPr>
                <w:rFonts w:ascii="Arial" w:cs="Arial" w:eastAsia="Arial" w:hAnsi="Arial"/>
                <w:sz w:val="14"/>
                <w:szCs w:val="14"/>
                <w:color w:val="060606"/>
              </w:rPr>
              <w:t>$0.10</w:t>
            </w:r>
          </w:p>
        </w:tc>
        <w:tc>
          <w:tcPr>
            <w:tcW w:w="900" w:type="dxa"/>
            <w:vAlign w:val="bottom"/>
            <w:vMerge w:val="restart"/>
          </w:tcPr>
          <w:p>
            <w:pPr>
              <w:jc w:val="right"/>
              <w:ind w:right="151"/>
              <w:spacing w:after="0"/>
              <w:rPr>
                <w:sz w:val="20"/>
                <w:szCs w:val="20"/>
                <w:color w:val="auto"/>
              </w:rPr>
            </w:pPr>
            <w:r>
              <w:rPr>
                <w:rFonts w:ascii="Arial" w:cs="Arial" w:eastAsia="Arial" w:hAnsi="Arial"/>
                <w:sz w:val="14"/>
                <w:szCs w:val="14"/>
                <w:color w:val="060606"/>
              </w:rPr>
              <w:t>$7.01</w:t>
            </w:r>
          </w:p>
        </w:tc>
        <w:tc>
          <w:tcPr>
            <w:tcW w:w="960" w:type="dxa"/>
            <w:vAlign w:val="bottom"/>
            <w:vMerge w:val="restart"/>
          </w:tcPr>
          <w:p>
            <w:pPr>
              <w:jc w:val="right"/>
              <w:ind w:right="131"/>
              <w:spacing w:after="0"/>
              <w:rPr>
                <w:sz w:val="20"/>
                <w:szCs w:val="20"/>
                <w:color w:val="auto"/>
              </w:rPr>
            </w:pPr>
            <w:r>
              <w:rPr>
                <w:rFonts w:ascii="Arial" w:cs="Arial" w:eastAsia="Arial" w:hAnsi="Arial"/>
                <w:sz w:val="14"/>
                <w:szCs w:val="14"/>
                <w:color w:val="060606"/>
              </w:rPr>
              <w:t>$0.49</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060606"/>
              </w:rPr>
              <w:t>($0.44)</w:t>
            </w:r>
          </w:p>
        </w:tc>
        <w:tc>
          <w:tcPr>
            <w:tcW w:w="200" w:type="dxa"/>
            <w:vAlign w:val="bottom"/>
          </w:tcPr>
          <w:p>
            <w:pPr>
              <w:spacing w:after="0"/>
              <w:rPr>
                <w:sz w:val="8"/>
                <w:szCs w:val="8"/>
                <w:color w:val="auto"/>
              </w:rPr>
            </w:pPr>
          </w:p>
        </w:tc>
        <w:tc>
          <w:tcPr>
            <w:tcW w:w="780" w:type="dxa"/>
            <w:vAlign w:val="bottom"/>
            <w:vMerge w:val="restart"/>
          </w:tcPr>
          <w:p>
            <w:pPr>
              <w:jc w:val="right"/>
              <w:ind w:right="111"/>
              <w:spacing w:after="0"/>
              <w:rPr>
                <w:sz w:val="20"/>
                <w:szCs w:val="20"/>
                <w:color w:val="auto"/>
              </w:rPr>
            </w:pPr>
            <w:r>
              <w:rPr>
                <w:rFonts w:ascii="Arial" w:cs="Arial" w:eastAsia="Arial" w:hAnsi="Arial"/>
                <w:sz w:val="14"/>
                <w:szCs w:val="14"/>
                <w:color w:val="060606"/>
              </w:rPr>
              <w:t>$3.04</w:t>
            </w:r>
          </w:p>
        </w:tc>
        <w:tc>
          <w:tcPr>
            <w:tcW w:w="0" w:type="dxa"/>
            <w:vAlign w:val="bottom"/>
          </w:tcPr>
          <w:p>
            <w:pPr>
              <w:spacing w:after="0"/>
              <w:rPr>
                <w:sz w:val="1"/>
                <w:szCs w:val="1"/>
                <w:color w:val="auto"/>
              </w:rPr>
            </w:pPr>
          </w:p>
        </w:tc>
      </w:tr>
      <w:tr>
        <w:trPr>
          <w:trHeight w:val="96"/>
        </w:trPr>
        <w:tc>
          <w:tcPr>
            <w:tcW w:w="22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960" w:type="dxa"/>
            <w:vAlign w:val="bottom"/>
            <w:gridSpan w:val="2"/>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060606"/>
        </w:rPr>
        <w:t>GAAP results for the nine months ended September 30, 2025 include:</w:t>
      </w:r>
    </w:p>
    <w:p>
      <w:pPr>
        <w:ind w:left="320" w:hanging="312"/>
        <w:spacing w:after="0" w:line="231" w:lineRule="auto"/>
        <w:tabs>
          <w:tab w:leader="none" w:pos="320" w:val="left"/>
        </w:tabs>
        <w:numPr>
          <w:ilvl w:val="0"/>
          <w:numId w:val="16"/>
        </w:numPr>
        <w:rPr>
          <w:rFonts w:ascii="Arial" w:cs="Arial" w:eastAsia="Arial" w:hAnsi="Arial"/>
          <w:sz w:val="21"/>
          <w:szCs w:val="21"/>
          <w:color w:val="060606"/>
          <w:vertAlign w:val="superscript"/>
        </w:rPr>
      </w:pPr>
      <w:r>
        <w:rPr>
          <w:rFonts w:ascii="Arial" w:cs="Arial" w:eastAsia="Arial" w:hAnsi="Arial"/>
          <w:sz w:val="16"/>
          <w:szCs w:val="16"/>
          <w:color w:val="060606"/>
        </w:rPr>
        <w:t>Restructuring expense related to organizational changes</w:t>
      </w:r>
    </w:p>
    <w:p>
      <w:pPr>
        <w:spacing w:after="0" w:line="4" w:lineRule="exact"/>
        <w:rPr>
          <w:rFonts w:ascii="Arial" w:cs="Arial" w:eastAsia="Arial" w:hAnsi="Arial"/>
          <w:sz w:val="21"/>
          <w:szCs w:val="21"/>
          <w:color w:val="060606"/>
          <w:vertAlign w:val="superscript"/>
        </w:rPr>
      </w:pPr>
    </w:p>
    <w:p>
      <w:pPr>
        <w:ind w:left="320" w:hanging="312"/>
        <w:spacing w:after="0" w:line="197" w:lineRule="auto"/>
        <w:tabs>
          <w:tab w:leader="none" w:pos="320" w:val="left"/>
        </w:tabs>
        <w:numPr>
          <w:ilvl w:val="0"/>
          <w:numId w:val="16"/>
        </w:numPr>
        <w:rPr>
          <w:rFonts w:ascii="Arial" w:cs="Arial" w:eastAsia="Arial" w:hAnsi="Arial"/>
          <w:sz w:val="21"/>
          <w:szCs w:val="21"/>
          <w:color w:val="060606"/>
          <w:vertAlign w:val="superscript"/>
        </w:rPr>
      </w:pPr>
      <w:r>
        <w:rPr>
          <w:rFonts w:ascii="Arial" w:cs="Arial" w:eastAsia="Arial" w:hAnsi="Arial"/>
          <w:sz w:val="16"/>
          <w:szCs w:val="16"/>
          <w:color w:val="060606"/>
        </w:rPr>
        <w:t>Depreciation and amortization associated with purchase price accounting</w:t>
      </w:r>
    </w:p>
    <w:p>
      <w:pPr>
        <w:spacing w:after="0" w:line="4" w:lineRule="exact"/>
        <w:rPr>
          <w:rFonts w:ascii="Arial" w:cs="Arial" w:eastAsia="Arial" w:hAnsi="Arial"/>
          <w:sz w:val="21"/>
          <w:szCs w:val="21"/>
          <w:color w:val="060606"/>
          <w:vertAlign w:val="superscript"/>
        </w:rPr>
      </w:pPr>
    </w:p>
    <w:p>
      <w:pPr>
        <w:ind w:left="320" w:hanging="312"/>
        <w:spacing w:after="0" w:line="197" w:lineRule="auto"/>
        <w:tabs>
          <w:tab w:leader="none" w:pos="320" w:val="left"/>
        </w:tabs>
        <w:numPr>
          <w:ilvl w:val="0"/>
          <w:numId w:val="16"/>
        </w:numPr>
        <w:rPr>
          <w:rFonts w:ascii="Arial" w:cs="Arial" w:eastAsia="Arial" w:hAnsi="Arial"/>
          <w:sz w:val="21"/>
          <w:szCs w:val="21"/>
          <w:color w:val="060606"/>
          <w:vertAlign w:val="superscript"/>
        </w:rPr>
      </w:pPr>
      <w:r>
        <w:rPr>
          <w:rFonts w:ascii="Arial" w:cs="Arial" w:eastAsia="Arial" w:hAnsi="Arial"/>
          <w:sz w:val="16"/>
          <w:szCs w:val="16"/>
          <w:color w:val="060606"/>
        </w:rPr>
        <w:t>Loss on investment revaluation of Ceribell, Inc. and impairment of investment in Highlife S.A.S.</w:t>
      </w:r>
    </w:p>
    <w:p>
      <w:pPr>
        <w:spacing w:after="0" w:line="4" w:lineRule="exact"/>
        <w:rPr>
          <w:rFonts w:ascii="Arial" w:cs="Arial" w:eastAsia="Arial" w:hAnsi="Arial"/>
          <w:sz w:val="21"/>
          <w:szCs w:val="21"/>
          <w:color w:val="060606"/>
          <w:vertAlign w:val="superscript"/>
        </w:rPr>
      </w:pPr>
    </w:p>
    <w:p>
      <w:pPr>
        <w:jc w:val="both"/>
        <w:ind w:left="340" w:hanging="332"/>
        <w:spacing w:after="0" w:line="237" w:lineRule="auto"/>
        <w:tabs>
          <w:tab w:leader="none" w:pos="333" w:val="left"/>
        </w:tabs>
        <w:numPr>
          <w:ilvl w:val="0"/>
          <w:numId w:val="16"/>
        </w:numPr>
        <w:rPr>
          <w:rFonts w:ascii="Arial" w:cs="Arial" w:eastAsia="Arial" w:hAnsi="Arial"/>
          <w:sz w:val="21"/>
          <w:szCs w:val="21"/>
          <w:color w:val="060606"/>
          <w:vertAlign w:val="superscript"/>
        </w:rPr>
      </w:pPr>
      <w:r>
        <w:rPr>
          <w:rFonts w:ascii="Arial" w:cs="Arial" w:eastAsia="Arial" w:hAnsi="Arial"/>
          <w:sz w:val="16"/>
          <w:szCs w:val="16"/>
          <w:color w:val="060606"/>
        </w:rPr>
        <w:t>Mark-to-market adjustments for the 2025 and 2029 Notes embedded and capped call derivatives, interest expense on the Term Facilities, non-cash interest expense on the 2025 and 2029 Notes and Revolving Credit Facility, loss on debt extinguishment, and interest income on the collateral for the SNIA litigation guarantee and delayed draw on Term Facilities</w:t>
      </w:r>
    </w:p>
    <w:p>
      <w:pPr>
        <w:spacing w:after="0" w:line="1" w:lineRule="exact"/>
        <w:rPr>
          <w:rFonts w:ascii="Arial" w:cs="Arial" w:eastAsia="Arial" w:hAnsi="Arial"/>
          <w:sz w:val="21"/>
          <w:szCs w:val="21"/>
          <w:color w:val="060606"/>
          <w:vertAlign w:val="superscript"/>
        </w:rPr>
      </w:pPr>
    </w:p>
    <w:p>
      <w:pPr>
        <w:ind w:left="320" w:hanging="312"/>
        <w:spacing w:after="0" w:line="201" w:lineRule="auto"/>
        <w:tabs>
          <w:tab w:leader="none" w:pos="320" w:val="left"/>
        </w:tabs>
        <w:numPr>
          <w:ilvl w:val="0"/>
          <w:numId w:val="16"/>
        </w:numPr>
        <w:rPr>
          <w:rFonts w:ascii="Arial" w:cs="Arial" w:eastAsia="Arial" w:hAnsi="Arial"/>
          <w:sz w:val="21"/>
          <w:szCs w:val="21"/>
          <w:color w:val="060606"/>
          <w:vertAlign w:val="superscript"/>
        </w:rPr>
      </w:pPr>
      <w:r>
        <w:rPr>
          <w:rFonts w:ascii="Arial" w:cs="Arial" w:eastAsia="Arial" w:hAnsi="Arial"/>
          <w:sz w:val="16"/>
          <w:szCs w:val="16"/>
          <w:color w:val="060606"/>
        </w:rPr>
        <w:t>Remeasurement of contingent consideration related to the ImThera acquisition</w:t>
      </w:r>
    </w:p>
    <w:p>
      <w:pPr>
        <w:spacing w:after="0" w:line="4" w:lineRule="exact"/>
        <w:rPr>
          <w:rFonts w:ascii="Arial" w:cs="Arial" w:eastAsia="Arial" w:hAnsi="Arial"/>
          <w:sz w:val="21"/>
          <w:szCs w:val="21"/>
          <w:color w:val="060606"/>
          <w:vertAlign w:val="superscript"/>
        </w:rPr>
      </w:pPr>
    </w:p>
    <w:p>
      <w:pPr>
        <w:ind w:left="340" w:hanging="332"/>
        <w:spacing w:after="0" w:line="226" w:lineRule="auto"/>
        <w:tabs>
          <w:tab w:leader="none" w:pos="333" w:val="left"/>
        </w:tabs>
        <w:numPr>
          <w:ilvl w:val="0"/>
          <w:numId w:val="16"/>
        </w:numPr>
        <w:rPr>
          <w:rFonts w:ascii="Arial" w:cs="Arial" w:eastAsia="Arial" w:hAnsi="Arial"/>
          <w:sz w:val="21"/>
          <w:szCs w:val="21"/>
          <w:color w:val="060606"/>
          <w:vertAlign w:val="superscript"/>
        </w:rPr>
      </w:pPr>
      <w:r>
        <w:rPr>
          <w:rFonts w:ascii="Arial" w:cs="Arial" w:eastAsia="Arial" w:hAnsi="Arial"/>
          <w:sz w:val="16"/>
          <w:szCs w:val="16"/>
          <w:color w:val="060606"/>
        </w:rPr>
        <w:t>SNIA environmental liability, legal expenses primarily related to 3T Heater-Cooler defense, MDR costs, 3T Heater-Cooler litigation provision, and R&amp;D tax incentive</w:t>
      </w:r>
    </w:p>
    <w:p>
      <w:pPr>
        <w:ind w:left="320" w:hanging="312"/>
        <w:spacing w:after="0" w:line="201" w:lineRule="auto"/>
        <w:tabs>
          <w:tab w:leader="none" w:pos="320" w:val="left"/>
        </w:tabs>
        <w:numPr>
          <w:ilvl w:val="0"/>
          <w:numId w:val="16"/>
        </w:numPr>
        <w:rPr>
          <w:rFonts w:ascii="Arial" w:cs="Arial" w:eastAsia="Arial" w:hAnsi="Arial"/>
          <w:sz w:val="21"/>
          <w:szCs w:val="21"/>
          <w:color w:val="060606"/>
          <w:vertAlign w:val="superscript"/>
        </w:rPr>
      </w:pPr>
      <w:r>
        <w:rPr>
          <w:rFonts w:ascii="Arial" w:cs="Arial" w:eastAsia="Arial" w:hAnsi="Arial"/>
          <w:sz w:val="16"/>
          <w:szCs w:val="16"/>
          <w:color w:val="060606"/>
        </w:rPr>
        <w:t>Non-cash expenses associated with share-based compensation costs</w:t>
      </w:r>
    </w:p>
    <w:p>
      <w:pPr>
        <w:spacing w:after="0" w:line="4" w:lineRule="exact"/>
        <w:rPr>
          <w:rFonts w:ascii="Arial" w:cs="Arial" w:eastAsia="Arial" w:hAnsi="Arial"/>
          <w:sz w:val="21"/>
          <w:szCs w:val="21"/>
          <w:color w:val="060606"/>
          <w:vertAlign w:val="superscript"/>
        </w:rPr>
      </w:pPr>
    </w:p>
    <w:p>
      <w:pPr>
        <w:ind w:left="320" w:hanging="312"/>
        <w:spacing w:after="0" w:line="197" w:lineRule="auto"/>
        <w:tabs>
          <w:tab w:leader="none" w:pos="320" w:val="left"/>
        </w:tabs>
        <w:numPr>
          <w:ilvl w:val="0"/>
          <w:numId w:val="16"/>
        </w:numPr>
        <w:rPr>
          <w:rFonts w:ascii="Arial" w:cs="Arial" w:eastAsia="Arial" w:hAnsi="Arial"/>
          <w:sz w:val="21"/>
          <w:szCs w:val="21"/>
          <w:color w:val="060606"/>
          <w:vertAlign w:val="superscript"/>
        </w:rPr>
      </w:pPr>
      <w:r>
        <w:rPr>
          <w:rFonts w:ascii="Arial" w:cs="Arial" w:eastAsia="Arial" w:hAnsi="Arial"/>
          <w:sz w:val="16"/>
          <w:szCs w:val="16"/>
          <w:color w:val="060606"/>
        </w:rPr>
        <w:t>The impact of valuation allowances, discrete tax items, the tax impact of intercompany transactions, and the tax impact on non-GAAP adjustments</w:t>
      </w:r>
    </w:p>
    <w:p>
      <w:pPr>
        <w:spacing w:after="0" w:line="4" w:lineRule="exact"/>
        <w:rPr>
          <w:rFonts w:ascii="Arial" w:cs="Arial" w:eastAsia="Arial" w:hAnsi="Arial"/>
          <w:sz w:val="21"/>
          <w:szCs w:val="21"/>
          <w:color w:val="060606"/>
          <w:vertAlign w:val="superscript"/>
        </w:rPr>
      </w:pPr>
    </w:p>
    <w:p>
      <w:pPr>
        <w:jc w:val="both"/>
        <w:ind w:left="340" w:hanging="332"/>
        <w:spacing w:after="0" w:line="245" w:lineRule="auto"/>
        <w:tabs>
          <w:tab w:leader="none" w:pos="333" w:val="left"/>
        </w:tabs>
        <w:numPr>
          <w:ilvl w:val="0"/>
          <w:numId w:val="16"/>
        </w:numPr>
        <w:rPr>
          <w:rFonts w:ascii="Arial" w:cs="Arial" w:eastAsia="Arial" w:hAnsi="Arial"/>
          <w:sz w:val="21"/>
          <w:szCs w:val="21"/>
          <w:color w:val="060606"/>
          <w:vertAlign w:val="superscript"/>
        </w:rPr>
      </w:pPr>
      <w:r>
        <w:rPr>
          <w:rFonts w:ascii="Arial" w:cs="Arial" w:eastAsia="Arial" w:hAnsi="Arial"/>
          <w:sz w:val="16"/>
          <w:szCs w:val="16"/>
          <w:color w:val="060606"/>
        </w:rPr>
        <w:t>The denominator used to calculate the impact of non-GAAP adjustments on a per share basis and adjusted diluted earnings per share includes dilution from LivaNova's share-based compensation awards that was excluded from the calculation of GAAP diluted loss per share because the effect would have been anti-dilutive. See the reconciliation of GAAP diluted weighted average shares outstanding, used in the computation of GAAP diluted loss per share, to adjusted diluted weighted average shares outstanding, used in the computation of adjusted diluted earnings per share, at the end of this news release.</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color w:val="060606"/>
        </w:rPr>
        <w:t>• Numbers may not add precisely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2"/>
          <w:szCs w:val="22"/>
          <w:color w:val="060606"/>
        </w:rPr>
        <w:t>17</w:t>
      </w:r>
    </w:p>
    <w:p>
      <w:pPr>
        <w:sectPr>
          <w:pgSz w:w="11900" w:h="16838" w:orient="portrait"/>
          <w:cols w:equalWidth="0" w:num="1">
            <w:col w:w="11240"/>
          </w:cols>
          <w:pgMar w:left="320" w:top="1440" w:right="339" w:bottom="1440" w:gutter="0" w:footer="0" w:header="0"/>
        </w:sectPr>
      </w:pPr>
    </w:p>
    <w:bookmarkStart w:id="20" w:name="page21"/>
    <w:bookmarkEnd w:id="20"/>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12" w:type="dxa"/>
        <w:tblCellMar>
          <w:top w:w="0" w:type="dxa"/>
          <w:left w:w="0" w:type="dxa"/>
          <w:bottom w:w="0" w:type="dxa"/>
          <w:right w:w="0" w:type="dxa"/>
        </w:tblCellMar>
      </w:tblPr>
      <w:tr>
        <w:trPr>
          <w:trHeight w:val="239"/>
        </w:trPr>
        <w:tc>
          <w:tcPr>
            <w:tcW w:w="7380" w:type="dxa"/>
            <w:vAlign w:val="bottom"/>
          </w:tcPr>
          <w:p>
            <w:pPr>
              <w:spacing w:after="0"/>
              <w:rPr>
                <w:sz w:val="20"/>
                <w:szCs w:val="20"/>
                <w:color w:val="auto"/>
              </w:rPr>
            </w:pPr>
            <w:r>
              <w:rPr>
                <w:rFonts w:ascii="Arial" w:cs="Arial" w:eastAsia="Arial" w:hAnsi="Arial"/>
                <w:sz w:val="18"/>
                <w:szCs w:val="18"/>
                <w:color w:val="060606"/>
              </w:rPr>
              <w:t>LIVANOVA PLC AND SUBSIDIARIES</w:t>
            </w:r>
          </w:p>
        </w:tc>
        <w:tc>
          <w:tcPr>
            <w:tcW w:w="1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380" w:type="dxa"/>
            <w:vAlign w:val="bottom"/>
          </w:tcPr>
          <w:p>
            <w:pPr>
              <w:spacing w:after="0"/>
              <w:rPr>
                <w:sz w:val="20"/>
                <w:szCs w:val="20"/>
                <w:color w:val="auto"/>
              </w:rPr>
            </w:pPr>
            <w:r>
              <w:rPr>
                <w:rFonts w:ascii="Arial" w:cs="Arial" w:eastAsia="Arial" w:hAnsi="Arial"/>
                <w:sz w:val="18"/>
                <w:szCs w:val="18"/>
                <w:color w:val="060606"/>
              </w:rPr>
              <w:t>CONDENSED CONSOLIDATED BALANCE SHEETS - UNAUDITED</w:t>
            </w:r>
          </w:p>
        </w:tc>
        <w:tc>
          <w:tcPr>
            <w:tcW w:w="1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380" w:type="dxa"/>
            <w:vAlign w:val="bottom"/>
          </w:tcPr>
          <w:p>
            <w:pPr>
              <w:spacing w:after="0"/>
              <w:rPr>
                <w:sz w:val="20"/>
                <w:szCs w:val="20"/>
                <w:color w:val="auto"/>
              </w:rPr>
            </w:pPr>
            <w:r>
              <w:rPr>
                <w:rFonts w:ascii="Arial" w:cs="Arial" w:eastAsia="Arial" w:hAnsi="Arial"/>
                <w:sz w:val="18"/>
                <w:szCs w:val="18"/>
                <w:color w:val="060606"/>
              </w:rPr>
              <w:t>(In millions)</w:t>
            </w:r>
          </w:p>
        </w:tc>
        <w:tc>
          <w:tcPr>
            <w:tcW w:w="1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7380" w:type="dxa"/>
            <w:vAlign w:val="bottom"/>
          </w:tcPr>
          <w:p>
            <w:pPr>
              <w:spacing w:after="0"/>
              <w:rPr>
                <w:sz w:val="16"/>
                <w:szCs w:val="16"/>
                <w:color w:val="auto"/>
              </w:rPr>
            </w:pPr>
          </w:p>
        </w:tc>
        <w:tc>
          <w:tcPr>
            <w:tcW w:w="1960" w:type="dxa"/>
            <w:vAlign w:val="bottom"/>
            <w:gridSpan w:val="2"/>
          </w:tcPr>
          <w:p>
            <w:pPr>
              <w:ind w:left="360"/>
              <w:spacing w:after="0" w:line="193" w:lineRule="exact"/>
              <w:rPr>
                <w:sz w:val="20"/>
                <w:szCs w:val="20"/>
                <w:color w:val="auto"/>
              </w:rPr>
            </w:pPr>
            <w:r>
              <w:rPr>
                <w:rFonts w:ascii="Arial" w:cs="Arial" w:eastAsia="Arial" w:hAnsi="Arial"/>
                <w:sz w:val="18"/>
                <w:szCs w:val="18"/>
                <w:color w:val="060606"/>
              </w:rPr>
              <w:t>September 30,</w:t>
            </w:r>
          </w:p>
        </w:tc>
        <w:tc>
          <w:tcPr>
            <w:tcW w:w="1880" w:type="dxa"/>
            <w:vAlign w:val="bottom"/>
            <w:vMerge w:val="restart"/>
          </w:tcPr>
          <w:p>
            <w:pPr>
              <w:jc w:val="right"/>
              <w:ind w:right="50"/>
              <w:spacing w:after="0"/>
              <w:rPr>
                <w:sz w:val="20"/>
                <w:szCs w:val="20"/>
                <w:color w:val="auto"/>
              </w:rPr>
            </w:pPr>
            <w:r>
              <w:rPr>
                <w:rFonts w:ascii="Arial" w:cs="Arial" w:eastAsia="Arial" w:hAnsi="Arial"/>
                <w:sz w:val="18"/>
                <w:szCs w:val="18"/>
                <w:color w:val="060606"/>
              </w:rPr>
              <w:t>December 31, 2025</w:t>
            </w:r>
          </w:p>
        </w:tc>
        <w:tc>
          <w:tcPr>
            <w:tcW w:w="0" w:type="dxa"/>
            <w:vAlign w:val="bottom"/>
          </w:tcPr>
          <w:p>
            <w:pPr>
              <w:spacing w:after="0"/>
              <w:rPr>
                <w:sz w:val="1"/>
                <w:szCs w:val="1"/>
                <w:color w:val="auto"/>
              </w:rPr>
            </w:pPr>
          </w:p>
        </w:tc>
      </w:tr>
      <w:tr>
        <w:trPr>
          <w:trHeight w:val="235"/>
        </w:trPr>
        <w:tc>
          <w:tcPr>
            <w:tcW w:w="7380" w:type="dxa"/>
            <w:vAlign w:val="bottom"/>
          </w:tcPr>
          <w:p>
            <w:pPr>
              <w:spacing w:after="0"/>
              <w:rPr>
                <w:sz w:val="20"/>
                <w:szCs w:val="20"/>
                <w:color w:val="auto"/>
              </w:rPr>
            </w:pPr>
          </w:p>
        </w:tc>
        <w:tc>
          <w:tcPr>
            <w:tcW w:w="188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060606"/>
              </w:rPr>
              <w:t>2026</w:t>
            </w:r>
          </w:p>
        </w:tc>
        <w:tc>
          <w:tcPr>
            <w:tcW w:w="80" w:type="dxa"/>
            <w:vAlign w:val="bottom"/>
          </w:tcPr>
          <w:p>
            <w:pPr>
              <w:spacing w:after="0"/>
              <w:rPr>
                <w:sz w:val="20"/>
                <w:szCs w:val="20"/>
                <w:color w:val="auto"/>
              </w:rPr>
            </w:pPr>
          </w:p>
        </w:tc>
        <w:tc>
          <w:tcPr>
            <w:tcW w:w="18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7380" w:type="dxa"/>
            <w:vAlign w:val="bottom"/>
          </w:tcPr>
          <w:p>
            <w:pPr>
              <w:spacing w:after="0"/>
              <w:rPr>
                <w:sz w:val="20"/>
                <w:szCs w:val="20"/>
                <w:color w:val="auto"/>
              </w:rPr>
            </w:pPr>
            <w:r>
              <w:rPr>
                <w:rFonts w:ascii="Arial" w:cs="Arial" w:eastAsia="Arial" w:hAnsi="Arial"/>
                <w:sz w:val="18"/>
                <w:szCs w:val="18"/>
                <w:color w:val="060606"/>
              </w:rPr>
              <w:t>ASSETS</w:t>
            </w:r>
          </w:p>
        </w:tc>
        <w:tc>
          <w:tcPr>
            <w:tcW w:w="1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380" w:type="dxa"/>
            <w:vAlign w:val="bottom"/>
          </w:tcPr>
          <w:p>
            <w:pPr>
              <w:spacing w:after="0"/>
              <w:rPr>
                <w:sz w:val="20"/>
                <w:szCs w:val="20"/>
                <w:color w:val="auto"/>
              </w:rPr>
            </w:pPr>
            <w:r>
              <w:rPr>
                <w:rFonts w:ascii="Arial" w:cs="Arial" w:eastAsia="Arial" w:hAnsi="Arial"/>
                <w:sz w:val="18"/>
                <w:szCs w:val="18"/>
                <w:color w:val="060606"/>
              </w:rPr>
              <w:t>Current Assets:</w:t>
            </w:r>
          </w:p>
        </w:tc>
        <w:tc>
          <w:tcPr>
            <w:tcW w:w="1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380" w:type="dxa"/>
            <w:vAlign w:val="bottom"/>
          </w:tcPr>
          <w:p>
            <w:pPr>
              <w:ind w:left="240"/>
              <w:spacing w:after="0"/>
              <w:rPr>
                <w:sz w:val="20"/>
                <w:szCs w:val="20"/>
                <w:color w:val="auto"/>
              </w:rPr>
            </w:pPr>
            <w:r>
              <w:rPr>
                <w:rFonts w:ascii="Arial" w:cs="Arial" w:eastAsia="Arial" w:hAnsi="Arial"/>
                <w:sz w:val="18"/>
                <w:szCs w:val="18"/>
                <w:color w:val="060606"/>
              </w:rPr>
              <w:t>Cash and cash equivalents</w:t>
            </w:r>
          </w:p>
        </w:tc>
        <w:tc>
          <w:tcPr>
            <w:tcW w:w="1880" w:type="dxa"/>
            <w:vAlign w:val="bottom"/>
          </w:tcPr>
          <w:p>
            <w:pPr>
              <w:jc w:val="right"/>
              <w:spacing w:after="0"/>
              <w:rPr>
                <w:sz w:val="20"/>
                <w:szCs w:val="20"/>
                <w:color w:val="auto"/>
              </w:rPr>
            </w:pPr>
            <w:r>
              <w:rPr>
                <w:rFonts w:ascii="Arial" w:cs="Arial" w:eastAsia="Arial" w:hAnsi="Arial"/>
                <w:sz w:val="18"/>
                <w:szCs w:val="18"/>
                <w:color w:val="060606"/>
              </w:rPr>
              <w:t>$563.5</w:t>
            </w:r>
          </w:p>
        </w:tc>
        <w:tc>
          <w:tcPr>
            <w:tcW w:w="8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060606"/>
              </w:rPr>
              <w:t>$635.6</w:t>
            </w:r>
          </w:p>
        </w:tc>
        <w:tc>
          <w:tcPr>
            <w:tcW w:w="0" w:type="dxa"/>
            <w:vAlign w:val="bottom"/>
          </w:tcPr>
          <w:p>
            <w:pPr>
              <w:spacing w:after="0"/>
              <w:rPr>
                <w:sz w:val="1"/>
                <w:szCs w:val="1"/>
                <w:color w:val="auto"/>
              </w:rPr>
            </w:pPr>
          </w:p>
        </w:tc>
      </w:tr>
      <w:tr>
        <w:trPr>
          <w:trHeight w:val="243"/>
        </w:trPr>
        <w:tc>
          <w:tcPr>
            <w:tcW w:w="7380" w:type="dxa"/>
            <w:vAlign w:val="bottom"/>
          </w:tcPr>
          <w:p>
            <w:pPr>
              <w:ind w:left="240"/>
              <w:spacing w:after="0"/>
              <w:rPr>
                <w:sz w:val="20"/>
                <w:szCs w:val="20"/>
                <w:color w:val="auto"/>
              </w:rPr>
            </w:pPr>
            <w:r>
              <w:rPr>
                <w:rFonts w:ascii="Arial" w:cs="Arial" w:eastAsia="Arial" w:hAnsi="Arial"/>
                <w:sz w:val="18"/>
                <w:szCs w:val="18"/>
                <w:color w:val="060606"/>
              </w:rPr>
              <w:t>Accounts receivable, net of allowance</w:t>
            </w:r>
          </w:p>
        </w:tc>
        <w:tc>
          <w:tcPr>
            <w:tcW w:w="1880" w:type="dxa"/>
            <w:vAlign w:val="bottom"/>
          </w:tcPr>
          <w:p>
            <w:pPr>
              <w:jc w:val="right"/>
              <w:spacing w:after="0"/>
              <w:rPr>
                <w:sz w:val="20"/>
                <w:szCs w:val="20"/>
                <w:color w:val="auto"/>
              </w:rPr>
            </w:pPr>
            <w:r>
              <w:rPr>
                <w:rFonts w:ascii="Arial" w:cs="Arial" w:eastAsia="Arial" w:hAnsi="Arial"/>
                <w:sz w:val="18"/>
                <w:szCs w:val="18"/>
                <w:color w:val="060606"/>
              </w:rPr>
              <w:t>236.4</w:t>
            </w:r>
          </w:p>
        </w:tc>
        <w:tc>
          <w:tcPr>
            <w:tcW w:w="8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060606"/>
              </w:rPr>
              <w:t>216.0</w:t>
            </w:r>
          </w:p>
        </w:tc>
        <w:tc>
          <w:tcPr>
            <w:tcW w:w="0" w:type="dxa"/>
            <w:vAlign w:val="bottom"/>
          </w:tcPr>
          <w:p>
            <w:pPr>
              <w:spacing w:after="0"/>
              <w:rPr>
                <w:sz w:val="1"/>
                <w:szCs w:val="1"/>
                <w:color w:val="auto"/>
              </w:rPr>
            </w:pPr>
          </w:p>
        </w:tc>
      </w:tr>
      <w:tr>
        <w:trPr>
          <w:trHeight w:val="243"/>
        </w:trPr>
        <w:tc>
          <w:tcPr>
            <w:tcW w:w="7380" w:type="dxa"/>
            <w:vAlign w:val="bottom"/>
          </w:tcPr>
          <w:p>
            <w:pPr>
              <w:ind w:left="240"/>
              <w:spacing w:after="0"/>
              <w:rPr>
                <w:sz w:val="20"/>
                <w:szCs w:val="20"/>
                <w:color w:val="auto"/>
              </w:rPr>
            </w:pPr>
            <w:r>
              <w:rPr>
                <w:rFonts w:ascii="Arial" w:cs="Arial" w:eastAsia="Arial" w:hAnsi="Arial"/>
                <w:sz w:val="18"/>
                <w:szCs w:val="18"/>
                <w:color w:val="060606"/>
              </w:rPr>
              <w:t>Inventories</w:t>
            </w:r>
          </w:p>
        </w:tc>
        <w:tc>
          <w:tcPr>
            <w:tcW w:w="1880" w:type="dxa"/>
            <w:vAlign w:val="bottom"/>
          </w:tcPr>
          <w:p>
            <w:pPr>
              <w:jc w:val="right"/>
              <w:spacing w:after="0"/>
              <w:rPr>
                <w:sz w:val="20"/>
                <w:szCs w:val="20"/>
                <w:color w:val="auto"/>
              </w:rPr>
            </w:pPr>
            <w:r>
              <w:rPr>
                <w:rFonts w:ascii="Arial" w:cs="Arial" w:eastAsia="Arial" w:hAnsi="Arial"/>
                <w:sz w:val="18"/>
                <w:szCs w:val="18"/>
                <w:color w:val="060606"/>
              </w:rPr>
              <w:t>177.9</w:t>
            </w:r>
          </w:p>
        </w:tc>
        <w:tc>
          <w:tcPr>
            <w:tcW w:w="8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060606"/>
              </w:rPr>
              <w:t>164.7</w:t>
            </w:r>
          </w:p>
        </w:tc>
        <w:tc>
          <w:tcPr>
            <w:tcW w:w="0" w:type="dxa"/>
            <w:vAlign w:val="bottom"/>
          </w:tcPr>
          <w:p>
            <w:pPr>
              <w:spacing w:after="0"/>
              <w:rPr>
                <w:sz w:val="1"/>
                <w:szCs w:val="1"/>
                <w:color w:val="auto"/>
              </w:rPr>
            </w:pPr>
          </w:p>
        </w:tc>
      </w:tr>
      <w:tr>
        <w:trPr>
          <w:trHeight w:val="243"/>
        </w:trPr>
        <w:tc>
          <w:tcPr>
            <w:tcW w:w="7380" w:type="dxa"/>
            <w:vAlign w:val="bottom"/>
          </w:tcPr>
          <w:p>
            <w:pPr>
              <w:ind w:left="240"/>
              <w:spacing w:after="0"/>
              <w:rPr>
                <w:sz w:val="20"/>
                <w:szCs w:val="20"/>
                <w:color w:val="auto"/>
              </w:rPr>
            </w:pPr>
            <w:r>
              <w:rPr>
                <w:rFonts w:ascii="Arial" w:cs="Arial" w:eastAsia="Arial" w:hAnsi="Arial"/>
                <w:sz w:val="18"/>
                <w:szCs w:val="18"/>
                <w:color w:val="060606"/>
              </w:rPr>
              <w:t>Prepaid and refundable taxes</w:t>
            </w:r>
          </w:p>
        </w:tc>
        <w:tc>
          <w:tcPr>
            <w:tcW w:w="1880" w:type="dxa"/>
            <w:vAlign w:val="bottom"/>
          </w:tcPr>
          <w:p>
            <w:pPr>
              <w:jc w:val="right"/>
              <w:spacing w:after="0"/>
              <w:rPr>
                <w:sz w:val="20"/>
                <w:szCs w:val="20"/>
                <w:color w:val="auto"/>
              </w:rPr>
            </w:pPr>
            <w:r>
              <w:rPr>
                <w:rFonts w:ascii="Arial" w:cs="Arial" w:eastAsia="Arial" w:hAnsi="Arial"/>
                <w:sz w:val="18"/>
                <w:szCs w:val="18"/>
                <w:color w:val="060606"/>
              </w:rPr>
              <w:t>46.3</w:t>
            </w:r>
          </w:p>
        </w:tc>
        <w:tc>
          <w:tcPr>
            <w:tcW w:w="8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060606"/>
              </w:rPr>
              <w:t>48.6</w:t>
            </w:r>
          </w:p>
        </w:tc>
        <w:tc>
          <w:tcPr>
            <w:tcW w:w="0" w:type="dxa"/>
            <w:vAlign w:val="bottom"/>
          </w:tcPr>
          <w:p>
            <w:pPr>
              <w:spacing w:after="0"/>
              <w:rPr>
                <w:sz w:val="1"/>
                <w:szCs w:val="1"/>
                <w:color w:val="auto"/>
              </w:rPr>
            </w:pPr>
          </w:p>
        </w:tc>
      </w:tr>
      <w:tr>
        <w:trPr>
          <w:trHeight w:val="239"/>
        </w:trPr>
        <w:tc>
          <w:tcPr>
            <w:tcW w:w="7380" w:type="dxa"/>
            <w:vAlign w:val="bottom"/>
          </w:tcPr>
          <w:p>
            <w:pPr>
              <w:ind w:left="240"/>
              <w:spacing w:after="0"/>
              <w:rPr>
                <w:sz w:val="20"/>
                <w:szCs w:val="20"/>
                <w:color w:val="auto"/>
              </w:rPr>
            </w:pPr>
            <w:r>
              <w:rPr>
                <w:rFonts w:ascii="Arial" w:cs="Arial" w:eastAsia="Arial" w:hAnsi="Arial"/>
                <w:sz w:val="18"/>
                <w:szCs w:val="18"/>
                <w:color w:val="060606"/>
              </w:rPr>
              <w:t>Prepaid expenses and other current assets</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60606"/>
              </w:rPr>
              <w:t>58.9</w:t>
            </w:r>
          </w:p>
        </w:tc>
        <w:tc>
          <w:tcPr>
            <w:tcW w:w="80" w:type="dxa"/>
            <w:vAlign w:val="bottom"/>
          </w:tcPr>
          <w:p>
            <w:pPr>
              <w:spacing w:after="0"/>
              <w:rPr>
                <w:sz w:val="20"/>
                <w:szCs w:val="20"/>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60606"/>
              </w:rPr>
              <w:t>36.8</w:t>
            </w:r>
          </w:p>
        </w:tc>
        <w:tc>
          <w:tcPr>
            <w:tcW w:w="0" w:type="dxa"/>
            <w:vAlign w:val="bottom"/>
          </w:tcPr>
          <w:p>
            <w:pPr>
              <w:spacing w:after="0"/>
              <w:rPr>
                <w:sz w:val="1"/>
                <w:szCs w:val="1"/>
                <w:color w:val="auto"/>
              </w:rPr>
            </w:pPr>
          </w:p>
        </w:tc>
      </w:tr>
      <w:tr>
        <w:trPr>
          <w:trHeight w:val="237"/>
        </w:trPr>
        <w:tc>
          <w:tcPr>
            <w:tcW w:w="7380" w:type="dxa"/>
            <w:vAlign w:val="bottom"/>
          </w:tcPr>
          <w:p>
            <w:pPr>
              <w:spacing w:after="0"/>
              <w:rPr>
                <w:sz w:val="20"/>
                <w:szCs w:val="20"/>
                <w:color w:val="auto"/>
              </w:rPr>
            </w:pPr>
            <w:r>
              <w:rPr>
                <w:rFonts w:ascii="Arial" w:cs="Arial" w:eastAsia="Arial" w:hAnsi="Arial"/>
                <w:sz w:val="18"/>
                <w:szCs w:val="18"/>
                <w:color w:val="060606"/>
              </w:rPr>
              <w:t>Total Current Assets</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60606"/>
              </w:rPr>
              <w:t>1,082.8</w:t>
            </w:r>
          </w:p>
        </w:tc>
        <w:tc>
          <w:tcPr>
            <w:tcW w:w="80" w:type="dxa"/>
            <w:vAlign w:val="bottom"/>
          </w:tcPr>
          <w:p>
            <w:pPr>
              <w:spacing w:after="0"/>
              <w:rPr>
                <w:sz w:val="20"/>
                <w:szCs w:val="20"/>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60606"/>
              </w:rPr>
              <w:t>1,101.6</w:t>
            </w:r>
          </w:p>
        </w:tc>
        <w:tc>
          <w:tcPr>
            <w:tcW w:w="0" w:type="dxa"/>
            <w:vAlign w:val="bottom"/>
          </w:tcPr>
          <w:p>
            <w:pPr>
              <w:spacing w:after="0"/>
              <w:rPr>
                <w:sz w:val="1"/>
                <w:szCs w:val="1"/>
                <w:color w:val="auto"/>
              </w:rPr>
            </w:pPr>
          </w:p>
        </w:tc>
      </w:tr>
      <w:tr>
        <w:trPr>
          <w:trHeight w:val="241"/>
        </w:trPr>
        <w:tc>
          <w:tcPr>
            <w:tcW w:w="7380" w:type="dxa"/>
            <w:vAlign w:val="bottom"/>
          </w:tcPr>
          <w:p>
            <w:pPr>
              <w:ind w:left="40"/>
              <w:spacing w:after="0"/>
              <w:rPr>
                <w:sz w:val="20"/>
                <w:szCs w:val="20"/>
                <w:color w:val="auto"/>
              </w:rPr>
            </w:pPr>
            <w:r>
              <w:rPr>
                <w:rFonts w:ascii="Arial" w:cs="Arial" w:eastAsia="Arial" w:hAnsi="Arial"/>
                <w:sz w:val="18"/>
                <w:szCs w:val="18"/>
                <w:color w:val="060606"/>
              </w:rPr>
              <w:t>Property, plant, and equipment, net</w:t>
            </w:r>
          </w:p>
        </w:tc>
        <w:tc>
          <w:tcPr>
            <w:tcW w:w="1880" w:type="dxa"/>
            <w:vAlign w:val="bottom"/>
          </w:tcPr>
          <w:p>
            <w:pPr>
              <w:jc w:val="right"/>
              <w:spacing w:after="0"/>
              <w:rPr>
                <w:sz w:val="20"/>
                <w:szCs w:val="20"/>
                <w:color w:val="auto"/>
              </w:rPr>
            </w:pPr>
            <w:r>
              <w:rPr>
                <w:rFonts w:ascii="Arial" w:cs="Arial" w:eastAsia="Arial" w:hAnsi="Arial"/>
                <w:sz w:val="18"/>
                <w:szCs w:val="18"/>
                <w:color w:val="060606"/>
              </w:rPr>
              <w:t>293.3</w:t>
            </w:r>
          </w:p>
        </w:tc>
        <w:tc>
          <w:tcPr>
            <w:tcW w:w="8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060606"/>
              </w:rPr>
              <w:t>242.6</w:t>
            </w:r>
          </w:p>
        </w:tc>
        <w:tc>
          <w:tcPr>
            <w:tcW w:w="0" w:type="dxa"/>
            <w:vAlign w:val="bottom"/>
          </w:tcPr>
          <w:p>
            <w:pPr>
              <w:spacing w:after="0"/>
              <w:rPr>
                <w:sz w:val="1"/>
                <w:szCs w:val="1"/>
                <w:color w:val="auto"/>
              </w:rPr>
            </w:pPr>
          </w:p>
        </w:tc>
      </w:tr>
      <w:tr>
        <w:trPr>
          <w:trHeight w:val="243"/>
        </w:trPr>
        <w:tc>
          <w:tcPr>
            <w:tcW w:w="7380" w:type="dxa"/>
            <w:vAlign w:val="bottom"/>
          </w:tcPr>
          <w:p>
            <w:pPr>
              <w:ind w:left="40"/>
              <w:spacing w:after="0"/>
              <w:rPr>
                <w:sz w:val="20"/>
                <w:szCs w:val="20"/>
                <w:color w:val="auto"/>
              </w:rPr>
            </w:pPr>
            <w:r>
              <w:rPr>
                <w:rFonts w:ascii="Arial" w:cs="Arial" w:eastAsia="Arial" w:hAnsi="Arial"/>
                <w:sz w:val="18"/>
                <w:szCs w:val="18"/>
                <w:color w:val="060606"/>
              </w:rPr>
              <w:t>Goodwill</w:t>
            </w:r>
          </w:p>
        </w:tc>
        <w:tc>
          <w:tcPr>
            <w:tcW w:w="1880" w:type="dxa"/>
            <w:vAlign w:val="bottom"/>
          </w:tcPr>
          <w:p>
            <w:pPr>
              <w:jc w:val="right"/>
              <w:spacing w:after="0"/>
              <w:rPr>
                <w:sz w:val="20"/>
                <w:szCs w:val="20"/>
                <w:color w:val="auto"/>
              </w:rPr>
            </w:pPr>
            <w:r>
              <w:rPr>
                <w:rFonts w:ascii="Arial" w:cs="Arial" w:eastAsia="Arial" w:hAnsi="Arial"/>
                <w:sz w:val="18"/>
                <w:szCs w:val="18"/>
                <w:color w:val="060606"/>
              </w:rPr>
              <w:t>778.8</w:t>
            </w:r>
          </w:p>
        </w:tc>
        <w:tc>
          <w:tcPr>
            <w:tcW w:w="8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060606"/>
              </w:rPr>
              <w:t>792.8</w:t>
            </w:r>
          </w:p>
        </w:tc>
        <w:tc>
          <w:tcPr>
            <w:tcW w:w="0" w:type="dxa"/>
            <w:vAlign w:val="bottom"/>
          </w:tcPr>
          <w:p>
            <w:pPr>
              <w:spacing w:after="0"/>
              <w:rPr>
                <w:sz w:val="1"/>
                <w:szCs w:val="1"/>
                <w:color w:val="auto"/>
              </w:rPr>
            </w:pPr>
          </w:p>
        </w:tc>
      </w:tr>
      <w:tr>
        <w:trPr>
          <w:trHeight w:val="243"/>
        </w:trPr>
        <w:tc>
          <w:tcPr>
            <w:tcW w:w="7380" w:type="dxa"/>
            <w:vAlign w:val="bottom"/>
          </w:tcPr>
          <w:p>
            <w:pPr>
              <w:ind w:left="40"/>
              <w:spacing w:after="0"/>
              <w:rPr>
                <w:sz w:val="20"/>
                <w:szCs w:val="20"/>
                <w:color w:val="auto"/>
              </w:rPr>
            </w:pPr>
            <w:r>
              <w:rPr>
                <w:rFonts w:ascii="Arial" w:cs="Arial" w:eastAsia="Arial" w:hAnsi="Arial"/>
                <w:sz w:val="18"/>
                <w:szCs w:val="18"/>
                <w:color w:val="060606"/>
              </w:rPr>
              <w:t>Intangible assets, net</w:t>
            </w:r>
          </w:p>
        </w:tc>
        <w:tc>
          <w:tcPr>
            <w:tcW w:w="1880" w:type="dxa"/>
            <w:vAlign w:val="bottom"/>
          </w:tcPr>
          <w:p>
            <w:pPr>
              <w:jc w:val="right"/>
              <w:spacing w:after="0"/>
              <w:rPr>
                <w:sz w:val="20"/>
                <w:szCs w:val="20"/>
                <w:color w:val="auto"/>
              </w:rPr>
            </w:pPr>
            <w:r>
              <w:rPr>
                <w:rFonts w:ascii="Arial" w:cs="Arial" w:eastAsia="Arial" w:hAnsi="Arial"/>
                <w:sz w:val="18"/>
                <w:szCs w:val="18"/>
                <w:color w:val="060606"/>
              </w:rPr>
              <w:t>210.7</w:t>
            </w:r>
          </w:p>
        </w:tc>
        <w:tc>
          <w:tcPr>
            <w:tcW w:w="8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060606"/>
              </w:rPr>
              <w:t>230.0</w:t>
            </w:r>
          </w:p>
        </w:tc>
        <w:tc>
          <w:tcPr>
            <w:tcW w:w="0" w:type="dxa"/>
            <w:vAlign w:val="bottom"/>
          </w:tcPr>
          <w:p>
            <w:pPr>
              <w:spacing w:after="0"/>
              <w:rPr>
                <w:sz w:val="1"/>
                <w:szCs w:val="1"/>
                <w:color w:val="auto"/>
              </w:rPr>
            </w:pPr>
          </w:p>
        </w:tc>
      </w:tr>
      <w:tr>
        <w:trPr>
          <w:trHeight w:val="243"/>
        </w:trPr>
        <w:tc>
          <w:tcPr>
            <w:tcW w:w="7380" w:type="dxa"/>
            <w:vAlign w:val="bottom"/>
          </w:tcPr>
          <w:p>
            <w:pPr>
              <w:ind w:left="40"/>
              <w:spacing w:after="0"/>
              <w:rPr>
                <w:sz w:val="20"/>
                <w:szCs w:val="20"/>
                <w:color w:val="auto"/>
              </w:rPr>
            </w:pPr>
            <w:r>
              <w:rPr>
                <w:rFonts w:ascii="Arial" w:cs="Arial" w:eastAsia="Arial" w:hAnsi="Arial"/>
                <w:sz w:val="18"/>
                <w:szCs w:val="18"/>
                <w:color w:val="060606"/>
              </w:rPr>
              <w:t>Operating lease assets</w:t>
            </w:r>
          </w:p>
        </w:tc>
        <w:tc>
          <w:tcPr>
            <w:tcW w:w="1880" w:type="dxa"/>
            <w:vAlign w:val="bottom"/>
          </w:tcPr>
          <w:p>
            <w:pPr>
              <w:jc w:val="right"/>
              <w:spacing w:after="0"/>
              <w:rPr>
                <w:sz w:val="20"/>
                <w:szCs w:val="20"/>
                <w:color w:val="auto"/>
              </w:rPr>
            </w:pPr>
            <w:r>
              <w:rPr>
                <w:rFonts w:ascii="Arial" w:cs="Arial" w:eastAsia="Arial" w:hAnsi="Arial"/>
                <w:sz w:val="18"/>
                <w:szCs w:val="18"/>
                <w:color w:val="060606"/>
              </w:rPr>
              <w:t>56.7</w:t>
            </w:r>
          </w:p>
        </w:tc>
        <w:tc>
          <w:tcPr>
            <w:tcW w:w="8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060606"/>
              </w:rPr>
              <w:t>55.5</w:t>
            </w:r>
          </w:p>
        </w:tc>
        <w:tc>
          <w:tcPr>
            <w:tcW w:w="0" w:type="dxa"/>
            <w:vAlign w:val="bottom"/>
          </w:tcPr>
          <w:p>
            <w:pPr>
              <w:spacing w:after="0"/>
              <w:rPr>
                <w:sz w:val="1"/>
                <w:szCs w:val="1"/>
                <w:color w:val="auto"/>
              </w:rPr>
            </w:pPr>
          </w:p>
        </w:tc>
      </w:tr>
      <w:tr>
        <w:trPr>
          <w:trHeight w:val="243"/>
        </w:trPr>
        <w:tc>
          <w:tcPr>
            <w:tcW w:w="7380" w:type="dxa"/>
            <w:vAlign w:val="bottom"/>
          </w:tcPr>
          <w:p>
            <w:pPr>
              <w:ind w:left="40"/>
              <w:spacing w:after="0"/>
              <w:rPr>
                <w:sz w:val="20"/>
                <w:szCs w:val="20"/>
                <w:color w:val="auto"/>
              </w:rPr>
            </w:pPr>
            <w:r>
              <w:rPr>
                <w:rFonts w:ascii="Arial" w:cs="Arial" w:eastAsia="Arial" w:hAnsi="Arial"/>
                <w:sz w:val="18"/>
                <w:szCs w:val="18"/>
                <w:color w:val="060606"/>
              </w:rPr>
              <w:t>Investments</w:t>
            </w:r>
          </w:p>
        </w:tc>
        <w:tc>
          <w:tcPr>
            <w:tcW w:w="1880" w:type="dxa"/>
            <w:vAlign w:val="bottom"/>
          </w:tcPr>
          <w:p>
            <w:pPr>
              <w:jc w:val="right"/>
              <w:spacing w:after="0"/>
              <w:rPr>
                <w:sz w:val="20"/>
                <w:szCs w:val="20"/>
                <w:color w:val="auto"/>
              </w:rPr>
            </w:pPr>
            <w:r>
              <w:rPr>
                <w:rFonts w:ascii="Arial" w:cs="Arial" w:eastAsia="Arial" w:hAnsi="Arial"/>
                <w:sz w:val="18"/>
                <w:szCs w:val="18"/>
                <w:color w:val="060606"/>
              </w:rPr>
              <w:t>16.8</w:t>
            </w:r>
          </w:p>
        </w:tc>
        <w:tc>
          <w:tcPr>
            <w:tcW w:w="8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060606"/>
              </w:rPr>
              <w:t>20.3</w:t>
            </w:r>
          </w:p>
        </w:tc>
        <w:tc>
          <w:tcPr>
            <w:tcW w:w="0" w:type="dxa"/>
            <w:vAlign w:val="bottom"/>
          </w:tcPr>
          <w:p>
            <w:pPr>
              <w:spacing w:after="0"/>
              <w:rPr>
                <w:sz w:val="1"/>
                <w:szCs w:val="1"/>
                <w:color w:val="auto"/>
              </w:rPr>
            </w:pPr>
          </w:p>
        </w:tc>
      </w:tr>
      <w:tr>
        <w:trPr>
          <w:trHeight w:val="243"/>
        </w:trPr>
        <w:tc>
          <w:tcPr>
            <w:tcW w:w="7380" w:type="dxa"/>
            <w:vAlign w:val="bottom"/>
          </w:tcPr>
          <w:p>
            <w:pPr>
              <w:ind w:left="40"/>
              <w:spacing w:after="0"/>
              <w:rPr>
                <w:sz w:val="20"/>
                <w:szCs w:val="20"/>
                <w:color w:val="auto"/>
              </w:rPr>
            </w:pPr>
            <w:r>
              <w:rPr>
                <w:rFonts w:ascii="Arial" w:cs="Arial" w:eastAsia="Arial" w:hAnsi="Arial"/>
                <w:sz w:val="18"/>
                <w:szCs w:val="18"/>
                <w:color w:val="060606"/>
              </w:rPr>
              <w:t>Deferred tax assets</w:t>
            </w:r>
          </w:p>
        </w:tc>
        <w:tc>
          <w:tcPr>
            <w:tcW w:w="1880" w:type="dxa"/>
            <w:vAlign w:val="bottom"/>
          </w:tcPr>
          <w:p>
            <w:pPr>
              <w:jc w:val="right"/>
              <w:spacing w:after="0"/>
              <w:rPr>
                <w:sz w:val="20"/>
                <w:szCs w:val="20"/>
                <w:color w:val="auto"/>
              </w:rPr>
            </w:pPr>
            <w:r>
              <w:rPr>
                <w:rFonts w:ascii="Arial" w:cs="Arial" w:eastAsia="Arial" w:hAnsi="Arial"/>
                <w:sz w:val="18"/>
                <w:szCs w:val="18"/>
                <w:color w:val="060606"/>
              </w:rPr>
              <w:t>194.5</w:t>
            </w:r>
          </w:p>
        </w:tc>
        <w:tc>
          <w:tcPr>
            <w:tcW w:w="8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060606"/>
              </w:rPr>
              <w:t>111.0</w:t>
            </w:r>
          </w:p>
        </w:tc>
        <w:tc>
          <w:tcPr>
            <w:tcW w:w="0" w:type="dxa"/>
            <w:vAlign w:val="bottom"/>
          </w:tcPr>
          <w:p>
            <w:pPr>
              <w:spacing w:after="0"/>
              <w:rPr>
                <w:sz w:val="1"/>
                <w:szCs w:val="1"/>
                <w:color w:val="auto"/>
              </w:rPr>
            </w:pPr>
          </w:p>
        </w:tc>
      </w:tr>
      <w:tr>
        <w:trPr>
          <w:trHeight w:val="243"/>
        </w:trPr>
        <w:tc>
          <w:tcPr>
            <w:tcW w:w="7380" w:type="dxa"/>
            <w:vAlign w:val="bottom"/>
          </w:tcPr>
          <w:p>
            <w:pPr>
              <w:ind w:left="40"/>
              <w:spacing w:after="0"/>
              <w:rPr>
                <w:sz w:val="20"/>
                <w:szCs w:val="20"/>
                <w:color w:val="auto"/>
              </w:rPr>
            </w:pPr>
            <w:r>
              <w:rPr>
                <w:rFonts w:ascii="Arial" w:cs="Arial" w:eastAsia="Arial" w:hAnsi="Arial"/>
                <w:sz w:val="18"/>
                <w:szCs w:val="18"/>
                <w:color w:val="060606"/>
              </w:rPr>
              <w:t>Long-term derivative assets</w:t>
            </w:r>
          </w:p>
        </w:tc>
        <w:tc>
          <w:tcPr>
            <w:tcW w:w="1880" w:type="dxa"/>
            <w:vAlign w:val="bottom"/>
          </w:tcPr>
          <w:p>
            <w:pPr>
              <w:jc w:val="right"/>
              <w:spacing w:after="0"/>
              <w:rPr>
                <w:sz w:val="20"/>
                <w:szCs w:val="20"/>
                <w:color w:val="auto"/>
              </w:rPr>
            </w:pPr>
            <w:r>
              <w:rPr>
                <w:rFonts w:ascii="Arial" w:cs="Arial" w:eastAsia="Arial" w:hAnsi="Arial"/>
                <w:sz w:val="18"/>
                <w:szCs w:val="18"/>
                <w:color w:val="060606"/>
              </w:rPr>
              <w:t>52.6</w:t>
            </w:r>
          </w:p>
        </w:tc>
        <w:tc>
          <w:tcPr>
            <w:tcW w:w="8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060606"/>
              </w:rPr>
              <w:t>36.6</w:t>
            </w:r>
          </w:p>
        </w:tc>
        <w:tc>
          <w:tcPr>
            <w:tcW w:w="0" w:type="dxa"/>
            <w:vAlign w:val="bottom"/>
          </w:tcPr>
          <w:p>
            <w:pPr>
              <w:spacing w:after="0"/>
              <w:rPr>
                <w:sz w:val="1"/>
                <w:szCs w:val="1"/>
                <w:color w:val="auto"/>
              </w:rPr>
            </w:pPr>
          </w:p>
        </w:tc>
      </w:tr>
      <w:tr>
        <w:trPr>
          <w:trHeight w:val="239"/>
        </w:trPr>
        <w:tc>
          <w:tcPr>
            <w:tcW w:w="7380" w:type="dxa"/>
            <w:vAlign w:val="bottom"/>
          </w:tcPr>
          <w:p>
            <w:pPr>
              <w:ind w:left="40"/>
              <w:spacing w:after="0"/>
              <w:rPr>
                <w:sz w:val="20"/>
                <w:szCs w:val="20"/>
                <w:color w:val="auto"/>
              </w:rPr>
            </w:pPr>
            <w:r>
              <w:rPr>
                <w:rFonts w:ascii="Arial" w:cs="Arial" w:eastAsia="Arial" w:hAnsi="Arial"/>
                <w:sz w:val="18"/>
                <w:szCs w:val="18"/>
                <w:color w:val="060606"/>
              </w:rPr>
              <w:t>Other assets</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60606"/>
              </w:rPr>
              <w:t>26.9</w:t>
            </w:r>
          </w:p>
        </w:tc>
        <w:tc>
          <w:tcPr>
            <w:tcW w:w="80" w:type="dxa"/>
            <w:vAlign w:val="bottom"/>
          </w:tcPr>
          <w:p>
            <w:pPr>
              <w:spacing w:after="0"/>
              <w:rPr>
                <w:sz w:val="20"/>
                <w:szCs w:val="20"/>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60606"/>
              </w:rPr>
              <w:t>15.7</w:t>
            </w:r>
          </w:p>
        </w:tc>
        <w:tc>
          <w:tcPr>
            <w:tcW w:w="0" w:type="dxa"/>
            <w:vAlign w:val="bottom"/>
          </w:tcPr>
          <w:p>
            <w:pPr>
              <w:spacing w:after="0"/>
              <w:rPr>
                <w:sz w:val="1"/>
                <w:szCs w:val="1"/>
                <w:color w:val="auto"/>
              </w:rPr>
            </w:pPr>
          </w:p>
        </w:tc>
      </w:tr>
      <w:tr>
        <w:trPr>
          <w:trHeight w:val="237"/>
        </w:trPr>
        <w:tc>
          <w:tcPr>
            <w:tcW w:w="7380" w:type="dxa"/>
            <w:vAlign w:val="bottom"/>
          </w:tcPr>
          <w:p>
            <w:pPr>
              <w:spacing w:after="0"/>
              <w:rPr>
                <w:sz w:val="20"/>
                <w:szCs w:val="20"/>
                <w:color w:val="auto"/>
              </w:rPr>
            </w:pPr>
            <w:r>
              <w:rPr>
                <w:rFonts w:ascii="Arial" w:cs="Arial" w:eastAsia="Arial" w:hAnsi="Arial"/>
                <w:sz w:val="18"/>
                <w:szCs w:val="18"/>
                <w:color w:val="060606"/>
              </w:rPr>
              <w:t>Total Assets</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60606"/>
              </w:rPr>
              <w:t>$2,713.1</w:t>
            </w:r>
          </w:p>
        </w:tc>
        <w:tc>
          <w:tcPr>
            <w:tcW w:w="80" w:type="dxa"/>
            <w:vAlign w:val="bottom"/>
          </w:tcPr>
          <w:p>
            <w:pPr>
              <w:spacing w:after="0"/>
              <w:rPr>
                <w:sz w:val="20"/>
                <w:szCs w:val="20"/>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60606"/>
              </w:rPr>
              <w:t>$2,606.1</w:t>
            </w:r>
          </w:p>
        </w:tc>
        <w:tc>
          <w:tcPr>
            <w:tcW w:w="0" w:type="dxa"/>
            <w:vAlign w:val="bottom"/>
          </w:tcPr>
          <w:p>
            <w:pPr>
              <w:spacing w:after="0"/>
              <w:rPr>
                <w:sz w:val="1"/>
                <w:szCs w:val="1"/>
                <w:color w:val="auto"/>
              </w:rPr>
            </w:pPr>
          </w:p>
        </w:tc>
      </w:tr>
      <w:tr>
        <w:trPr>
          <w:trHeight w:val="20"/>
        </w:trPr>
        <w:tc>
          <w:tcPr>
            <w:tcW w:w="7380" w:type="dxa"/>
            <w:vAlign w:val="bottom"/>
            <w:vMerge w:val="restart"/>
          </w:tcPr>
          <w:p>
            <w:pPr>
              <w:spacing w:after="0"/>
              <w:rPr>
                <w:sz w:val="20"/>
                <w:szCs w:val="20"/>
                <w:color w:val="auto"/>
              </w:rPr>
            </w:pPr>
            <w:r>
              <w:rPr>
                <w:rFonts w:ascii="Arial" w:cs="Arial" w:eastAsia="Arial" w:hAnsi="Arial"/>
                <w:sz w:val="18"/>
                <w:szCs w:val="18"/>
                <w:color w:val="060606"/>
              </w:rPr>
              <w:t>LIABILITIES AND SHAREHOLDERS’ EQUITY</w:t>
            </w:r>
          </w:p>
        </w:tc>
        <w:tc>
          <w:tcPr>
            <w:tcW w:w="1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3"/>
        </w:trPr>
        <w:tc>
          <w:tcPr>
            <w:tcW w:w="7380" w:type="dxa"/>
            <w:vAlign w:val="bottom"/>
            <w:vMerge w:val="continue"/>
          </w:tcPr>
          <w:p>
            <w:pPr>
              <w:spacing w:after="0"/>
              <w:rPr>
                <w:sz w:val="18"/>
                <w:szCs w:val="18"/>
                <w:color w:val="auto"/>
              </w:rPr>
            </w:pPr>
          </w:p>
        </w:tc>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380" w:type="dxa"/>
            <w:vAlign w:val="bottom"/>
          </w:tcPr>
          <w:p>
            <w:pPr>
              <w:spacing w:after="0"/>
              <w:rPr>
                <w:sz w:val="20"/>
                <w:szCs w:val="20"/>
                <w:color w:val="auto"/>
              </w:rPr>
            </w:pPr>
            <w:r>
              <w:rPr>
                <w:rFonts w:ascii="Arial" w:cs="Arial" w:eastAsia="Arial" w:hAnsi="Arial"/>
                <w:sz w:val="18"/>
                <w:szCs w:val="18"/>
                <w:color w:val="060606"/>
              </w:rPr>
              <w:t>Current Liabilities:</w:t>
            </w:r>
          </w:p>
        </w:tc>
        <w:tc>
          <w:tcPr>
            <w:tcW w:w="1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380" w:type="dxa"/>
            <w:vAlign w:val="bottom"/>
          </w:tcPr>
          <w:p>
            <w:pPr>
              <w:ind w:left="240"/>
              <w:spacing w:after="0"/>
              <w:rPr>
                <w:sz w:val="20"/>
                <w:szCs w:val="20"/>
                <w:color w:val="auto"/>
              </w:rPr>
            </w:pPr>
            <w:r>
              <w:rPr>
                <w:rFonts w:ascii="Arial" w:cs="Arial" w:eastAsia="Arial" w:hAnsi="Arial"/>
                <w:sz w:val="18"/>
                <w:szCs w:val="18"/>
                <w:color w:val="060606"/>
              </w:rPr>
              <w:t>Current debt obligations</w:t>
            </w:r>
          </w:p>
        </w:tc>
        <w:tc>
          <w:tcPr>
            <w:tcW w:w="1880" w:type="dxa"/>
            <w:vAlign w:val="bottom"/>
          </w:tcPr>
          <w:p>
            <w:pPr>
              <w:jc w:val="right"/>
              <w:spacing w:after="0"/>
              <w:rPr>
                <w:sz w:val="20"/>
                <w:szCs w:val="20"/>
                <w:color w:val="auto"/>
              </w:rPr>
            </w:pPr>
            <w:r>
              <w:rPr>
                <w:rFonts w:ascii="Arial" w:cs="Arial" w:eastAsia="Arial" w:hAnsi="Arial"/>
                <w:sz w:val="18"/>
                <w:szCs w:val="18"/>
                <w:color w:val="060606"/>
              </w:rPr>
              <w:t>$3.9</w:t>
            </w:r>
          </w:p>
        </w:tc>
        <w:tc>
          <w:tcPr>
            <w:tcW w:w="8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060606"/>
              </w:rPr>
              <w:t>$31.5</w:t>
            </w:r>
          </w:p>
        </w:tc>
        <w:tc>
          <w:tcPr>
            <w:tcW w:w="0" w:type="dxa"/>
            <w:vAlign w:val="bottom"/>
          </w:tcPr>
          <w:p>
            <w:pPr>
              <w:spacing w:after="0"/>
              <w:rPr>
                <w:sz w:val="1"/>
                <w:szCs w:val="1"/>
                <w:color w:val="auto"/>
              </w:rPr>
            </w:pPr>
          </w:p>
        </w:tc>
      </w:tr>
      <w:tr>
        <w:trPr>
          <w:trHeight w:val="243"/>
        </w:trPr>
        <w:tc>
          <w:tcPr>
            <w:tcW w:w="7380" w:type="dxa"/>
            <w:vAlign w:val="bottom"/>
          </w:tcPr>
          <w:p>
            <w:pPr>
              <w:ind w:left="240"/>
              <w:spacing w:after="0"/>
              <w:rPr>
                <w:sz w:val="20"/>
                <w:szCs w:val="20"/>
                <w:color w:val="auto"/>
              </w:rPr>
            </w:pPr>
            <w:r>
              <w:rPr>
                <w:rFonts w:ascii="Arial" w:cs="Arial" w:eastAsia="Arial" w:hAnsi="Arial"/>
                <w:sz w:val="18"/>
                <w:szCs w:val="18"/>
                <w:color w:val="060606"/>
              </w:rPr>
              <w:t>Accounts payable</w:t>
            </w:r>
          </w:p>
        </w:tc>
        <w:tc>
          <w:tcPr>
            <w:tcW w:w="1880" w:type="dxa"/>
            <w:vAlign w:val="bottom"/>
          </w:tcPr>
          <w:p>
            <w:pPr>
              <w:jc w:val="right"/>
              <w:spacing w:after="0"/>
              <w:rPr>
                <w:sz w:val="20"/>
                <w:szCs w:val="20"/>
                <w:color w:val="auto"/>
              </w:rPr>
            </w:pPr>
            <w:r>
              <w:rPr>
                <w:rFonts w:ascii="Arial" w:cs="Arial" w:eastAsia="Arial" w:hAnsi="Arial"/>
                <w:sz w:val="18"/>
                <w:szCs w:val="18"/>
                <w:color w:val="060606"/>
              </w:rPr>
              <w:t>106.9</w:t>
            </w:r>
          </w:p>
        </w:tc>
        <w:tc>
          <w:tcPr>
            <w:tcW w:w="8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060606"/>
              </w:rPr>
              <w:t>97.2</w:t>
            </w:r>
          </w:p>
        </w:tc>
        <w:tc>
          <w:tcPr>
            <w:tcW w:w="0" w:type="dxa"/>
            <w:vAlign w:val="bottom"/>
          </w:tcPr>
          <w:p>
            <w:pPr>
              <w:spacing w:after="0"/>
              <w:rPr>
                <w:sz w:val="1"/>
                <w:szCs w:val="1"/>
                <w:color w:val="auto"/>
              </w:rPr>
            </w:pPr>
          </w:p>
        </w:tc>
      </w:tr>
      <w:tr>
        <w:trPr>
          <w:trHeight w:val="243"/>
        </w:trPr>
        <w:tc>
          <w:tcPr>
            <w:tcW w:w="7380" w:type="dxa"/>
            <w:vAlign w:val="bottom"/>
          </w:tcPr>
          <w:p>
            <w:pPr>
              <w:ind w:left="240"/>
              <w:spacing w:after="0"/>
              <w:rPr>
                <w:sz w:val="20"/>
                <w:szCs w:val="20"/>
                <w:color w:val="auto"/>
              </w:rPr>
            </w:pPr>
            <w:r>
              <w:rPr>
                <w:rFonts w:ascii="Arial" w:cs="Arial" w:eastAsia="Arial" w:hAnsi="Arial"/>
                <w:sz w:val="18"/>
                <w:szCs w:val="18"/>
                <w:color w:val="060606"/>
              </w:rPr>
              <w:t>Accrued liabilities and other</w:t>
            </w:r>
          </w:p>
        </w:tc>
        <w:tc>
          <w:tcPr>
            <w:tcW w:w="1880" w:type="dxa"/>
            <w:vAlign w:val="bottom"/>
          </w:tcPr>
          <w:p>
            <w:pPr>
              <w:jc w:val="right"/>
              <w:spacing w:after="0"/>
              <w:rPr>
                <w:sz w:val="20"/>
                <w:szCs w:val="20"/>
                <w:color w:val="auto"/>
              </w:rPr>
            </w:pPr>
            <w:r>
              <w:rPr>
                <w:rFonts w:ascii="Arial" w:cs="Arial" w:eastAsia="Arial" w:hAnsi="Arial"/>
                <w:sz w:val="18"/>
                <w:szCs w:val="18"/>
                <w:color w:val="060606"/>
              </w:rPr>
              <w:t>128.9</w:t>
            </w:r>
          </w:p>
        </w:tc>
        <w:tc>
          <w:tcPr>
            <w:tcW w:w="8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060606"/>
              </w:rPr>
              <w:t>107.1</w:t>
            </w:r>
          </w:p>
        </w:tc>
        <w:tc>
          <w:tcPr>
            <w:tcW w:w="0" w:type="dxa"/>
            <w:vAlign w:val="bottom"/>
          </w:tcPr>
          <w:p>
            <w:pPr>
              <w:spacing w:after="0"/>
              <w:rPr>
                <w:sz w:val="1"/>
                <w:szCs w:val="1"/>
                <w:color w:val="auto"/>
              </w:rPr>
            </w:pPr>
          </w:p>
        </w:tc>
      </w:tr>
      <w:tr>
        <w:trPr>
          <w:trHeight w:val="243"/>
        </w:trPr>
        <w:tc>
          <w:tcPr>
            <w:tcW w:w="7380" w:type="dxa"/>
            <w:vAlign w:val="bottom"/>
          </w:tcPr>
          <w:p>
            <w:pPr>
              <w:ind w:left="240"/>
              <w:spacing w:after="0"/>
              <w:rPr>
                <w:sz w:val="20"/>
                <w:szCs w:val="20"/>
                <w:color w:val="auto"/>
              </w:rPr>
            </w:pPr>
            <w:r>
              <w:rPr>
                <w:rFonts w:ascii="Arial" w:cs="Arial" w:eastAsia="Arial" w:hAnsi="Arial"/>
                <w:sz w:val="18"/>
                <w:szCs w:val="18"/>
                <w:color w:val="060606"/>
              </w:rPr>
              <w:t>SNIA environmental liability</w:t>
            </w:r>
          </w:p>
        </w:tc>
        <w:tc>
          <w:tcPr>
            <w:tcW w:w="1880" w:type="dxa"/>
            <w:vAlign w:val="bottom"/>
          </w:tcPr>
          <w:p>
            <w:pPr>
              <w:jc w:val="right"/>
              <w:spacing w:after="0"/>
              <w:rPr>
                <w:sz w:val="20"/>
                <w:szCs w:val="20"/>
                <w:color w:val="auto"/>
              </w:rPr>
            </w:pPr>
            <w:r>
              <w:rPr>
                <w:rFonts w:ascii="Arial" w:cs="Arial" w:eastAsia="Arial" w:hAnsi="Arial"/>
                <w:sz w:val="18"/>
                <w:szCs w:val="18"/>
                <w:color w:val="060606"/>
              </w:rPr>
              <w:t>383.6</w:t>
            </w:r>
          </w:p>
        </w:tc>
        <w:tc>
          <w:tcPr>
            <w:tcW w:w="8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060606"/>
              </w:rPr>
              <w:t>396.2</w:t>
            </w:r>
          </w:p>
        </w:tc>
        <w:tc>
          <w:tcPr>
            <w:tcW w:w="0" w:type="dxa"/>
            <w:vAlign w:val="bottom"/>
          </w:tcPr>
          <w:p>
            <w:pPr>
              <w:spacing w:after="0"/>
              <w:rPr>
                <w:sz w:val="1"/>
                <w:szCs w:val="1"/>
                <w:color w:val="auto"/>
              </w:rPr>
            </w:pPr>
          </w:p>
        </w:tc>
      </w:tr>
      <w:tr>
        <w:trPr>
          <w:trHeight w:val="243"/>
        </w:trPr>
        <w:tc>
          <w:tcPr>
            <w:tcW w:w="7380" w:type="dxa"/>
            <w:vAlign w:val="bottom"/>
          </w:tcPr>
          <w:p>
            <w:pPr>
              <w:ind w:left="240"/>
              <w:spacing w:after="0"/>
              <w:rPr>
                <w:sz w:val="20"/>
                <w:szCs w:val="20"/>
                <w:color w:val="auto"/>
              </w:rPr>
            </w:pPr>
            <w:r>
              <w:rPr>
                <w:rFonts w:ascii="Arial" w:cs="Arial" w:eastAsia="Arial" w:hAnsi="Arial"/>
                <w:sz w:val="18"/>
                <w:szCs w:val="18"/>
                <w:color w:val="060606"/>
              </w:rPr>
              <w:t>Current contingent consideration</w:t>
            </w:r>
          </w:p>
        </w:tc>
        <w:tc>
          <w:tcPr>
            <w:tcW w:w="1960" w:type="dxa"/>
            <w:vAlign w:val="bottom"/>
            <w:gridSpan w:val="2"/>
          </w:tcPr>
          <w:p>
            <w:pPr>
              <w:jc w:val="right"/>
              <w:ind w:right="160"/>
              <w:spacing w:after="0"/>
              <w:rPr>
                <w:sz w:val="20"/>
                <w:szCs w:val="20"/>
                <w:color w:val="auto"/>
              </w:rPr>
            </w:pPr>
            <w:r>
              <w:rPr>
                <w:rFonts w:ascii="Arial" w:cs="Arial" w:eastAsia="Arial" w:hAnsi="Arial"/>
                <w:sz w:val="18"/>
                <w:szCs w:val="18"/>
                <w:color w:val="060606"/>
              </w:rPr>
              <w:t>—</w:t>
            </w:r>
          </w:p>
        </w:tc>
        <w:tc>
          <w:tcPr>
            <w:tcW w:w="1880" w:type="dxa"/>
            <w:vAlign w:val="bottom"/>
          </w:tcPr>
          <w:p>
            <w:pPr>
              <w:jc w:val="right"/>
              <w:spacing w:after="0"/>
              <w:rPr>
                <w:sz w:val="20"/>
                <w:szCs w:val="20"/>
                <w:color w:val="auto"/>
              </w:rPr>
            </w:pPr>
            <w:r>
              <w:rPr>
                <w:rFonts w:ascii="Arial" w:cs="Arial" w:eastAsia="Arial" w:hAnsi="Arial"/>
                <w:sz w:val="18"/>
                <w:szCs w:val="18"/>
                <w:color w:val="060606"/>
              </w:rPr>
              <w:t>50.0</w:t>
            </w:r>
          </w:p>
        </w:tc>
        <w:tc>
          <w:tcPr>
            <w:tcW w:w="0" w:type="dxa"/>
            <w:vAlign w:val="bottom"/>
          </w:tcPr>
          <w:p>
            <w:pPr>
              <w:spacing w:after="0"/>
              <w:rPr>
                <w:sz w:val="1"/>
                <w:szCs w:val="1"/>
                <w:color w:val="auto"/>
              </w:rPr>
            </w:pPr>
          </w:p>
        </w:tc>
      </w:tr>
      <w:tr>
        <w:trPr>
          <w:trHeight w:val="243"/>
        </w:trPr>
        <w:tc>
          <w:tcPr>
            <w:tcW w:w="7380" w:type="dxa"/>
            <w:vAlign w:val="bottom"/>
          </w:tcPr>
          <w:p>
            <w:pPr>
              <w:ind w:left="240"/>
              <w:spacing w:after="0"/>
              <w:rPr>
                <w:sz w:val="20"/>
                <w:szCs w:val="20"/>
                <w:color w:val="auto"/>
              </w:rPr>
            </w:pPr>
            <w:r>
              <w:rPr>
                <w:rFonts w:ascii="Arial" w:cs="Arial" w:eastAsia="Arial" w:hAnsi="Arial"/>
                <w:sz w:val="18"/>
                <w:szCs w:val="18"/>
                <w:color w:val="060606"/>
              </w:rPr>
              <w:t>Taxes payable</w:t>
            </w:r>
          </w:p>
        </w:tc>
        <w:tc>
          <w:tcPr>
            <w:tcW w:w="1880" w:type="dxa"/>
            <w:vAlign w:val="bottom"/>
          </w:tcPr>
          <w:p>
            <w:pPr>
              <w:jc w:val="right"/>
              <w:spacing w:after="0"/>
              <w:rPr>
                <w:sz w:val="20"/>
                <w:szCs w:val="20"/>
                <w:color w:val="auto"/>
              </w:rPr>
            </w:pPr>
            <w:r>
              <w:rPr>
                <w:rFonts w:ascii="Arial" w:cs="Arial" w:eastAsia="Arial" w:hAnsi="Arial"/>
                <w:sz w:val="18"/>
                <w:szCs w:val="18"/>
                <w:color w:val="060606"/>
              </w:rPr>
              <w:t>28.9</w:t>
            </w:r>
          </w:p>
        </w:tc>
        <w:tc>
          <w:tcPr>
            <w:tcW w:w="8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060606"/>
              </w:rPr>
              <w:t>33.1</w:t>
            </w:r>
          </w:p>
        </w:tc>
        <w:tc>
          <w:tcPr>
            <w:tcW w:w="0" w:type="dxa"/>
            <w:vAlign w:val="bottom"/>
          </w:tcPr>
          <w:p>
            <w:pPr>
              <w:spacing w:after="0"/>
              <w:rPr>
                <w:sz w:val="1"/>
                <w:szCs w:val="1"/>
                <w:color w:val="auto"/>
              </w:rPr>
            </w:pPr>
          </w:p>
        </w:tc>
      </w:tr>
      <w:tr>
        <w:trPr>
          <w:trHeight w:val="239"/>
        </w:trPr>
        <w:tc>
          <w:tcPr>
            <w:tcW w:w="7380" w:type="dxa"/>
            <w:vAlign w:val="bottom"/>
          </w:tcPr>
          <w:p>
            <w:pPr>
              <w:ind w:left="240"/>
              <w:spacing w:after="0"/>
              <w:rPr>
                <w:sz w:val="20"/>
                <w:szCs w:val="20"/>
                <w:color w:val="auto"/>
              </w:rPr>
            </w:pPr>
            <w:r>
              <w:rPr>
                <w:rFonts w:ascii="Arial" w:cs="Arial" w:eastAsia="Arial" w:hAnsi="Arial"/>
                <w:sz w:val="18"/>
                <w:szCs w:val="18"/>
                <w:color w:val="060606"/>
              </w:rPr>
              <w:t>Accrued employee compensation and related benefits</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60606"/>
              </w:rPr>
              <w:t>87.9</w:t>
            </w:r>
          </w:p>
        </w:tc>
        <w:tc>
          <w:tcPr>
            <w:tcW w:w="80" w:type="dxa"/>
            <w:vAlign w:val="bottom"/>
          </w:tcPr>
          <w:p>
            <w:pPr>
              <w:spacing w:after="0"/>
              <w:rPr>
                <w:sz w:val="20"/>
                <w:szCs w:val="20"/>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60606"/>
              </w:rPr>
              <w:t>92.9</w:t>
            </w:r>
          </w:p>
        </w:tc>
        <w:tc>
          <w:tcPr>
            <w:tcW w:w="0" w:type="dxa"/>
            <w:vAlign w:val="bottom"/>
          </w:tcPr>
          <w:p>
            <w:pPr>
              <w:spacing w:after="0"/>
              <w:rPr>
                <w:sz w:val="1"/>
                <w:szCs w:val="1"/>
                <w:color w:val="auto"/>
              </w:rPr>
            </w:pPr>
          </w:p>
        </w:tc>
      </w:tr>
      <w:tr>
        <w:trPr>
          <w:trHeight w:val="237"/>
        </w:trPr>
        <w:tc>
          <w:tcPr>
            <w:tcW w:w="7380" w:type="dxa"/>
            <w:vAlign w:val="bottom"/>
          </w:tcPr>
          <w:p>
            <w:pPr>
              <w:spacing w:after="0"/>
              <w:rPr>
                <w:sz w:val="20"/>
                <w:szCs w:val="20"/>
                <w:color w:val="auto"/>
              </w:rPr>
            </w:pPr>
            <w:r>
              <w:rPr>
                <w:rFonts w:ascii="Arial" w:cs="Arial" w:eastAsia="Arial" w:hAnsi="Arial"/>
                <w:sz w:val="18"/>
                <w:szCs w:val="18"/>
                <w:color w:val="060606"/>
              </w:rPr>
              <w:t>Total Current Liabilities</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60606"/>
              </w:rPr>
              <w:t>740.2</w:t>
            </w:r>
          </w:p>
        </w:tc>
        <w:tc>
          <w:tcPr>
            <w:tcW w:w="80" w:type="dxa"/>
            <w:vAlign w:val="bottom"/>
          </w:tcPr>
          <w:p>
            <w:pPr>
              <w:spacing w:after="0"/>
              <w:rPr>
                <w:sz w:val="20"/>
                <w:szCs w:val="20"/>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60606"/>
              </w:rPr>
              <w:t>808.1</w:t>
            </w:r>
          </w:p>
        </w:tc>
        <w:tc>
          <w:tcPr>
            <w:tcW w:w="0" w:type="dxa"/>
            <w:vAlign w:val="bottom"/>
          </w:tcPr>
          <w:p>
            <w:pPr>
              <w:spacing w:after="0"/>
              <w:rPr>
                <w:sz w:val="1"/>
                <w:szCs w:val="1"/>
                <w:color w:val="auto"/>
              </w:rPr>
            </w:pPr>
          </w:p>
        </w:tc>
      </w:tr>
      <w:tr>
        <w:trPr>
          <w:trHeight w:val="240"/>
        </w:trPr>
        <w:tc>
          <w:tcPr>
            <w:tcW w:w="7380" w:type="dxa"/>
            <w:vAlign w:val="bottom"/>
          </w:tcPr>
          <w:p>
            <w:pPr>
              <w:ind w:left="40"/>
              <w:spacing w:after="0"/>
              <w:rPr>
                <w:sz w:val="20"/>
                <w:szCs w:val="20"/>
                <w:color w:val="auto"/>
              </w:rPr>
            </w:pPr>
            <w:r>
              <w:rPr>
                <w:rFonts w:ascii="Arial" w:cs="Arial" w:eastAsia="Arial" w:hAnsi="Arial"/>
                <w:sz w:val="18"/>
                <w:szCs w:val="18"/>
                <w:color w:val="060606"/>
              </w:rPr>
              <w:t>Long-term debt obligations</w:t>
            </w:r>
          </w:p>
        </w:tc>
        <w:tc>
          <w:tcPr>
            <w:tcW w:w="1880" w:type="dxa"/>
            <w:vAlign w:val="bottom"/>
          </w:tcPr>
          <w:p>
            <w:pPr>
              <w:jc w:val="right"/>
              <w:spacing w:after="0"/>
              <w:rPr>
                <w:sz w:val="20"/>
                <w:szCs w:val="20"/>
                <w:color w:val="auto"/>
              </w:rPr>
            </w:pPr>
            <w:r>
              <w:rPr>
                <w:rFonts w:ascii="Arial" w:cs="Arial" w:eastAsia="Arial" w:hAnsi="Arial"/>
                <w:sz w:val="18"/>
                <w:szCs w:val="18"/>
                <w:color w:val="060606"/>
              </w:rPr>
              <w:t>295.2</w:t>
            </w:r>
          </w:p>
        </w:tc>
        <w:tc>
          <w:tcPr>
            <w:tcW w:w="8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060606"/>
              </w:rPr>
              <w:t>345.2</w:t>
            </w:r>
          </w:p>
        </w:tc>
        <w:tc>
          <w:tcPr>
            <w:tcW w:w="0" w:type="dxa"/>
            <w:vAlign w:val="bottom"/>
          </w:tcPr>
          <w:p>
            <w:pPr>
              <w:spacing w:after="0"/>
              <w:rPr>
                <w:sz w:val="1"/>
                <w:szCs w:val="1"/>
                <w:color w:val="auto"/>
              </w:rPr>
            </w:pPr>
          </w:p>
        </w:tc>
      </w:tr>
      <w:tr>
        <w:trPr>
          <w:trHeight w:val="243"/>
        </w:trPr>
        <w:tc>
          <w:tcPr>
            <w:tcW w:w="7380" w:type="dxa"/>
            <w:vAlign w:val="bottom"/>
          </w:tcPr>
          <w:p>
            <w:pPr>
              <w:ind w:left="40"/>
              <w:spacing w:after="0"/>
              <w:rPr>
                <w:sz w:val="20"/>
                <w:szCs w:val="20"/>
                <w:color w:val="auto"/>
              </w:rPr>
            </w:pPr>
            <w:r>
              <w:rPr>
                <w:rFonts w:ascii="Arial" w:cs="Arial" w:eastAsia="Arial" w:hAnsi="Arial"/>
                <w:sz w:val="18"/>
                <w:szCs w:val="18"/>
                <w:color w:val="060606"/>
              </w:rPr>
              <w:t>Long-term contingent consideration</w:t>
            </w:r>
          </w:p>
        </w:tc>
        <w:tc>
          <w:tcPr>
            <w:tcW w:w="1880" w:type="dxa"/>
            <w:vAlign w:val="bottom"/>
          </w:tcPr>
          <w:p>
            <w:pPr>
              <w:jc w:val="right"/>
              <w:spacing w:after="0"/>
              <w:rPr>
                <w:sz w:val="20"/>
                <w:szCs w:val="20"/>
                <w:color w:val="auto"/>
              </w:rPr>
            </w:pPr>
            <w:r>
              <w:rPr>
                <w:rFonts w:ascii="Arial" w:cs="Arial" w:eastAsia="Arial" w:hAnsi="Arial"/>
                <w:sz w:val="18"/>
                <w:szCs w:val="18"/>
                <w:color w:val="060606"/>
              </w:rPr>
              <w:t>45.4</w:t>
            </w:r>
          </w:p>
        </w:tc>
        <w:tc>
          <w:tcPr>
            <w:tcW w:w="8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060606"/>
              </w:rPr>
              <w:t>42.0</w:t>
            </w:r>
          </w:p>
        </w:tc>
        <w:tc>
          <w:tcPr>
            <w:tcW w:w="0" w:type="dxa"/>
            <w:vAlign w:val="bottom"/>
          </w:tcPr>
          <w:p>
            <w:pPr>
              <w:spacing w:after="0"/>
              <w:rPr>
                <w:sz w:val="1"/>
                <w:szCs w:val="1"/>
                <w:color w:val="auto"/>
              </w:rPr>
            </w:pPr>
          </w:p>
        </w:tc>
      </w:tr>
      <w:tr>
        <w:trPr>
          <w:trHeight w:val="243"/>
        </w:trPr>
        <w:tc>
          <w:tcPr>
            <w:tcW w:w="7380" w:type="dxa"/>
            <w:vAlign w:val="bottom"/>
          </w:tcPr>
          <w:p>
            <w:pPr>
              <w:ind w:left="40"/>
              <w:spacing w:after="0"/>
              <w:rPr>
                <w:sz w:val="20"/>
                <w:szCs w:val="20"/>
                <w:color w:val="auto"/>
              </w:rPr>
            </w:pPr>
            <w:r>
              <w:rPr>
                <w:rFonts w:ascii="Arial" w:cs="Arial" w:eastAsia="Arial" w:hAnsi="Arial"/>
                <w:sz w:val="18"/>
                <w:szCs w:val="18"/>
                <w:color w:val="060606"/>
              </w:rPr>
              <w:t>Deferred tax liabilities</w:t>
            </w:r>
          </w:p>
        </w:tc>
        <w:tc>
          <w:tcPr>
            <w:tcW w:w="1880" w:type="dxa"/>
            <w:vAlign w:val="bottom"/>
          </w:tcPr>
          <w:p>
            <w:pPr>
              <w:jc w:val="right"/>
              <w:spacing w:after="0"/>
              <w:rPr>
                <w:sz w:val="20"/>
                <w:szCs w:val="20"/>
                <w:color w:val="auto"/>
              </w:rPr>
            </w:pPr>
            <w:r>
              <w:rPr>
                <w:rFonts w:ascii="Arial" w:cs="Arial" w:eastAsia="Arial" w:hAnsi="Arial"/>
                <w:sz w:val="18"/>
                <w:szCs w:val="18"/>
                <w:color w:val="060606"/>
              </w:rPr>
              <w:t>7.7</w:t>
            </w:r>
          </w:p>
        </w:tc>
        <w:tc>
          <w:tcPr>
            <w:tcW w:w="8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060606"/>
              </w:rPr>
              <w:t>9.6</w:t>
            </w:r>
          </w:p>
        </w:tc>
        <w:tc>
          <w:tcPr>
            <w:tcW w:w="0" w:type="dxa"/>
            <w:vAlign w:val="bottom"/>
          </w:tcPr>
          <w:p>
            <w:pPr>
              <w:spacing w:after="0"/>
              <w:rPr>
                <w:sz w:val="1"/>
                <w:szCs w:val="1"/>
                <w:color w:val="auto"/>
              </w:rPr>
            </w:pPr>
          </w:p>
        </w:tc>
      </w:tr>
      <w:tr>
        <w:trPr>
          <w:trHeight w:val="243"/>
        </w:trPr>
        <w:tc>
          <w:tcPr>
            <w:tcW w:w="7380" w:type="dxa"/>
            <w:vAlign w:val="bottom"/>
          </w:tcPr>
          <w:p>
            <w:pPr>
              <w:ind w:left="40"/>
              <w:spacing w:after="0"/>
              <w:rPr>
                <w:sz w:val="20"/>
                <w:szCs w:val="20"/>
                <w:color w:val="auto"/>
              </w:rPr>
            </w:pPr>
            <w:r>
              <w:rPr>
                <w:rFonts w:ascii="Arial" w:cs="Arial" w:eastAsia="Arial" w:hAnsi="Arial"/>
                <w:sz w:val="18"/>
                <w:szCs w:val="18"/>
                <w:color w:val="060606"/>
              </w:rPr>
              <w:t>Long-term operating lease liabilities</w:t>
            </w:r>
          </w:p>
        </w:tc>
        <w:tc>
          <w:tcPr>
            <w:tcW w:w="1880" w:type="dxa"/>
            <w:vAlign w:val="bottom"/>
          </w:tcPr>
          <w:p>
            <w:pPr>
              <w:jc w:val="right"/>
              <w:spacing w:after="0"/>
              <w:rPr>
                <w:sz w:val="20"/>
                <w:szCs w:val="20"/>
                <w:color w:val="auto"/>
              </w:rPr>
            </w:pPr>
            <w:r>
              <w:rPr>
                <w:rFonts w:ascii="Arial" w:cs="Arial" w:eastAsia="Arial" w:hAnsi="Arial"/>
                <w:sz w:val="18"/>
                <w:szCs w:val="18"/>
                <w:color w:val="060606"/>
              </w:rPr>
              <w:t>48.8</w:t>
            </w:r>
          </w:p>
        </w:tc>
        <w:tc>
          <w:tcPr>
            <w:tcW w:w="8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060606"/>
              </w:rPr>
              <w:t>48.3</w:t>
            </w:r>
          </w:p>
        </w:tc>
        <w:tc>
          <w:tcPr>
            <w:tcW w:w="0" w:type="dxa"/>
            <w:vAlign w:val="bottom"/>
          </w:tcPr>
          <w:p>
            <w:pPr>
              <w:spacing w:after="0"/>
              <w:rPr>
                <w:sz w:val="1"/>
                <w:szCs w:val="1"/>
                <w:color w:val="auto"/>
              </w:rPr>
            </w:pPr>
          </w:p>
        </w:tc>
      </w:tr>
      <w:tr>
        <w:trPr>
          <w:trHeight w:val="243"/>
        </w:trPr>
        <w:tc>
          <w:tcPr>
            <w:tcW w:w="7380" w:type="dxa"/>
            <w:vAlign w:val="bottom"/>
          </w:tcPr>
          <w:p>
            <w:pPr>
              <w:ind w:left="40"/>
              <w:spacing w:after="0"/>
              <w:rPr>
                <w:sz w:val="20"/>
                <w:szCs w:val="20"/>
                <w:color w:val="auto"/>
              </w:rPr>
            </w:pPr>
            <w:r>
              <w:rPr>
                <w:rFonts w:ascii="Arial" w:cs="Arial" w:eastAsia="Arial" w:hAnsi="Arial"/>
                <w:sz w:val="18"/>
                <w:szCs w:val="18"/>
                <w:color w:val="060606"/>
              </w:rPr>
              <w:t>Long-term employee compensation and related benefits</w:t>
            </w:r>
          </w:p>
        </w:tc>
        <w:tc>
          <w:tcPr>
            <w:tcW w:w="1880" w:type="dxa"/>
            <w:vAlign w:val="bottom"/>
          </w:tcPr>
          <w:p>
            <w:pPr>
              <w:jc w:val="right"/>
              <w:spacing w:after="0"/>
              <w:rPr>
                <w:sz w:val="20"/>
                <w:szCs w:val="20"/>
                <w:color w:val="auto"/>
              </w:rPr>
            </w:pPr>
            <w:r>
              <w:rPr>
                <w:rFonts w:ascii="Arial" w:cs="Arial" w:eastAsia="Arial" w:hAnsi="Arial"/>
                <w:sz w:val="18"/>
                <w:szCs w:val="18"/>
                <w:color w:val="060606"/>
              </w:rPr>
              <w:t>13.9</w:t>
            </w:r>
          </w:p>
        </w:tc>
        <w:tc>
          <w:tcPr>
            <w:tcW w:w="8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060606"/>
              </w:rPr>
              <w:t>13.6</w:t>
            </w:r>
          </w:p>
        </w:tc>
        <w:tc>
          <w:tcPr>
            <w:tcW w:w="0" w:type="dxa"/>
            <w:vAlign w:val="bottom"/>
          </w:tcPr>
          <w:p>
            <w:pPr>
              <w:spacing w:after="0"/>
              <w:rPr>
                <w:sz w:val="1"/>
                <w:szCs w:val="1"/>
                <w:color w:val="auto"/>
              </w:rPr>
            </w:pPr>
          </w:p>
        </w:tc>
      </w:tr>
      <w:tr>
        <w:trPr>
          <w:trHeight w:val="243"/>
        </w:trPr>
        <w:tc>
          <w:tcPr>
            <w:tcW w:w="7380" w:type="dxa"/>
            <w:vAlign w:val="bottom"/>
          </w:tcPr>
          <w:p>
            <w:pPr>
              <w:ind w:left="40"/>
              <w:spacing w:after="0"/>
              <w:rPr>
                <w:sz w:val="20"/>
                <w:szCs w:val="20"/>
                <w:color w:val="auto"/>
              </w:rPr>
            </w:pPr>
            <w:r>
              <w:rPr>
                <w:rFonts w:ascii="Arial" w:cs="Arial" w:eastAsia="Arial" w:hAnsi="Arial"/>
                <w:sz w:val="18"/>
                <w:szCs w:val="18"/>
                <w:color w:val="060606"/>
              </w:rPr>
              <w:t>Long-term derivative liabilities</w:t>
            </w:r>
          </w:p>
        </w:tc>
        <w:tc>
          <w:tcPr>
            <w:tcW w:w="1880" w:type="dxa"/>
            <w:vAlign w:val="bottom"/>
          </w:tcPr>
          <w:p>
            <w:pPr>
              <w:jc w:val="right"/>
              <w:spacing w:after="0"/>
              <w:rPr>
                <w:sz w:val="20"/>
                <w:szCs w:val="20"/>
                <w:color w:val="auto"/>
              </w:rPr>
            </w:pPr>
            <w:r>
              <w:rPr>
                <w:rFonts w:ascii="Arial" w:cs="Arial" w:eastAsia="Arial" w:hAnsi="Arial"/>
                <w:sz w:val="18"/>
                <w:szCs w:val="18"/>
                <w:color w:val="060606"/>
              </w:rPr>
              <w:t>124.8</w:t>
            </w:r>
          </w:p>
        </w:tc>
        <w:tc>
          <w:tcPr>
            <w:tcW w:w="8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060606"/>
              </w:rPr>
              <w:t>83.9</w:t>
            </w:r>
          </w:p>
        </w:tc>
        <w:tc>
          <w:tcPr>
            <w:tcW w:w="0" w:type="dxa"/>
            <w:vAlign w:val="bottom"/>
          </w:tcPr>
          <w:p>
            <w:pPr>
              <w:spacing w:after="0"/>
              <w:rPr>
                <w:sz w:val="1"/>
                <w:szCs w:val="1"/>
                <w:color w:val="auto"/>
              </w:rPr>
            </w:pPr>
          </w:p>
        </w:tc>
      </w:tr>
      <w:tr>
        <w:trPr>
          <w:trHeight w:val="239"/>
        </w:trPr>
        <w:tc>
          <w:tcPr>
            <w:tcW w:w="7380" w:type="dxa"/>
            <w:vAlign w:val="bottom"/>
          </w:tcPr>
          <w:p>
            <w:pPr>
              <w:ind w:left="40"/>
              <w:spacing w:after="0"/>
              <w:rPr>
                <w:sz w:val="20"/>
                <w:szCs w:val="20"/>
                <w:color w:val="auto"/>
              </w:rPr>
            </w:pPr>
            <w:r>
              <w:rPr>
                <w:rFonts w:ascii="Arial" w:cs="Arial" w:eastAsia="Arial" w:hAnsi="Arial"/>
                <w:sz w:val="18"/>
                <w:szCs w:val="18"/>
                <w:color w:val="060606"/>
              </w:rPr>
              <w:t>Other long-term liabilities</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60606"/>
              </w:rPr>
              <w:t>65.1</w:t>
            </w:r>
          </w:p>
        </w:tc>
        <w:tc>
          <w:tcPr>
            <w:tcW w:w="80" w:type="dxa"/>
            <w:vAlign w:val="bottom"/>
          </w:tcPr>
          <w:p>
            <w:pPr>
              <w:spacing w:after="0"/>
              <w:rPr>
                <w:sz w:val="20"/>
                <w:szCs w:val="20"/>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60606"/>
              </w:rPr>
              <w:t>55.4</w:t>
            </w:r>
          </w:p>
        </w:tc>
        <w:tc>
          <w:tcPr>
            <w:tcW w:w="0" w:type="dxa"/>
            <w:vAlign w:val="bottom"/>
          </w:tcPr>
          <w:p>
            <w:pPr>
              <w:spacing w:after="0"/>
              <w:rPr>
                <w:sz w:val="1"/>
                <w:szCs w:val="1"/>
                <w:color w:val="auto"/>
              </w:rPr>
            </w:pPr>
          </w:p>
        </w:tc>
      </w:tr>
      <w:tr>
        <w:trPr>
          <w:trHeight w:val="236"/>
        </w:trPr>
        <w:tc>
          <w:tcPr>
            <w:tcW w:w="7380" w:type="dxa"/>
            <w:vAlign w:val="bottom"/>
          </w:tcPr>
          <w:p>
            <w:pPr>
              <w:spacing w:after="0"/>
              <w:rPr>
                <w:sz w:val="20"/>
                <w:szCs w:val="20"/>
                <w:color w:val="auto"/>
              </w:rPr>
            </w:pPr>
            <w:r>
              <w:rPr>
                <w:rFonts w:ascii="Arial" w:cs="Arial" w:eastAsia="Arial" w:hAnsi="Arial"/>
                <w:sz w:val="18"/>
                <w:szCs w:val="18"/>
                <w:color w:val="060606"/>
              </w:rPr>
              <w:t>Total Liabilities</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60606"/>
              </w:rPr>
              <w:t>1,341.1</w:t>
            </w:r>
          </w:p>
        </w:tc>
        <w:tc>
          <w:tcPr>
            <w:tcW w:w="80" w:type="dxa"/>
            <w:vAlign w:val="bottom"/>
          </w:tcPr>
          <w:p>
            <w:pPr>
              <w:spacing w:after="0"/>
              <w:rPr>
                <w:sz w:val="20"/>
                <w:szCs w:val="20"/>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60606"/>
              </w:rPr>
              <w:t>1,406.1</w:t>
            </w:r>
          </w:p>
        </w:tc>
        <w:tc>
          <w:tcPr>
            <w:tcW w:w="0" w:type="dxa"/>
            <w:vAlign w:val="bottom"/>
          </w:tcPr>
          <w:p>
            <w:pPr>
              <w:spacing w:after="0"/>
              <w:rPr>
                <w:sz w:val="1"/>
                <w:szCs w:val="1"/>
                <w:color w:val="auto"/>
              </w:rPr>
            </w:pPr>
          </w:p>
        </w:tc>
      </w:tr>
      <w:tr>
        <w:trPr>
          <w:trHeight w:val="236"/>
        </w:trPr>
        <w:tc>
          <w:tcPr>
            <w:tcW w:w="7380" w:type="dxa"/>
            <w:vAlign w:val="bottom"/>
          </w:tcPr>
          <w:p>
            <w:pPr>
              <w:spacing w:after="0"/>
              <w:rPr>
                <w:sz w:val="20"/>
                <w:szCs w:val="20"/>
                <w:color w:val="auto"/>
              </w:rPr>
            </w:pPr>
            <w:r>
              <w:rPr>
                <w:rFonts w:ascii="Arial" w:cs="Arial" w:eastAsia="Arial" w:hAnsi="Arial"/>
                <w:sz w:val="18"/>
                <w:szCs w:val="18"/>
                <w:color w:val="060606"/>
              </w:rPr>
              <w:t>Total Shareholders’ Equity</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60606"/>
              </w:rPr>
              <w:t>1,372.1</w:t>
            </w:r>
          </w:p>
        </w:tc>
        <w:tc>
          <w:tcPr>
            <w:tcW w:w="80" w:type="dxa"/>
            <w:vAlign w:val="bottom"/>
          </w:tcPr>
          <w:p>
            <w:pPr>
              <w:spacing w:after="0"/>
              <w:rPr>
                <w:sz w:val="20"/>
                <w:szCs w:val="20"/>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60606"/>
              </w:rPr>
              <w:t>1,200.0</w:t>
            </w:r>
          </w:p>
        </w:tc>
        <w:tc>
          <w:tcPr>
            <w:tcW w:w="0" w:type="dxa"/>
            <w:vAlign w:val="bottom"/>
          </w:tcPr>
          <w:p>
            <w:pPr>
              <w:spacing w:after="0"/>
              <w:rPr>
                <w:sz w:val="1"/>
                <w:szCs w:val="1"/>
                <w:color w:val="auto"/>
              </w:rPr>
            </w:pPr>
          </w:p>
        </w:tc>
      </w:tr>
      <w:tr>
        <w:trPr>
          <w:trHeight w:val="236"/>
        </w:trPr>
        <w:tc>
          <w:tcPr>
            <w:tcW w:w="7380" w:type="dxa"/>
            <w:vAlign w:val="bottom"/>
          </w:tcPr>
          <w:p>
            <w:pPr>
              <w:spacing w:after="0"/>
              <w:rPr>
                <w:sz w:val="20"/>
                <w:szCs w:val="20"/>
                <w:color w:val="auto"/>
              </w:rPr>
            </w:pPr>
            <w:r>
              <w:rPr>
                <w:rFonts w:ascii="Arial" w:cs="Arial" w:eastAsia="Arial" w:hAnsi="Arial"/>
                <w:sz w:val="18"/>
                <w:szCs w:val="18"/>
                <w:color w:val="060606"/>
              </w:rPr>
              <w:t>Total Liabilities and Shareholders’ Equity</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60606"/>
              </w:rPr>
              <w:t>$2,713.1</w:t>
            </w:r>
          </w:p>
        </w:tc>
        <w:tc>
          <w:tcPr>
            <w:tcW w:w="80" w:type="dxa"/>
            <w:vAlign w:val="bottom"/>
          </w:tcPr>
          <w:p>
            <w:pPr>
              <w:spacing w:after="0"/>
              <w:rPr>
                <w:sz w:val="20"/>
                <w:szCs w:val="20"/>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60606"/>
              </w:rPr>
              <w:t>$2,606.1</w:t>
            </w:r>
          </w:p>
        </w:tc>
        <w:tc>
          <w:tcPr>
            <w:tcW w:w="0" w:type="dxa"/>
            <w:vAlign w:val="bottom"/>
          </w:tcPr>
          <w:p>
            <w:pPr>
              <w:spacing w:after="0"/>
              <w:rPr>
                <w:sz w:val="1"/>
                <w:szCs w:val="1"/>
                <w:color w:val="auto"/>
              </w:rPr>
            </w:pPr>
          </w:p>
        </w:tc>
      </w:tr>
      <w:tr>
        <w:trPr>
          <w:trHeight w:val="21"/>
        </w:trPr>
        <w:tc>
          <w:tcPr>
            <w:tcW w:w="738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272" w:hanging="272"/>
        <w:spacing w:after="0"/>
        <w:tabs>
          <w:tab w:leader="none" w:pos="272" w:val="left"/>
        </w:tabs>
        <w:numPr>
          <w:ilvl w:val="0"/>
          <w:numId w:val="17"/>
        </w:numPr>
        <w:rPr>
          <w:rFonts w:ascii="Arial" w:cs="Arial" w:eastAsia="Arial" w:hAnsi="Arial"/>
          <w:sz w:val="16"/>
          <w:szCs w:val="16"/>
          <w:color w:val="060606"/>
        </w:rPr>
      </w:pPr>
      <w:r>
        <w:rPr>
          <w:rFonts w:ascii="Arial" w:cs="Arial" w:eastAsia="Arial" w:hAnsi="Arial"/>
          <w:sz w:val="16"/>
          <w:szCs w:val="16"/>
          <w:color w:val="060606"/>
        </w:rPr>
        <w:t>Numbers may not add precisely due to rounding.</w:t>
      </w:r>
    </w:p>
    <w:p>
      <w:pPr>
        <w:sectPr>
          <w:pgSz w:w="11900" w:h="16838" w:orient="portrait"/>
          <w:cols w:equalWidth="0" w:num="1">
            <w:col w:w="11232"/>
          </w:cols>
          <w:pgMar w:left="328"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8"/>
        <w:spacing w:after="0"/>
        <w:rPr>
          <w:sz w:val="20"/>
          <w:szCs w:val="20"/>
          <w:color w:val="auto"/>
        </w:rPr>
      </w:pPr>
      <w:r>
        <w:rPr>
          <w:rFonts w:ascii="Arial" w:cs="Arial" w:eastAsia="Arial" w:hAnsi="Arial"/>
          <w:sz w:val="21"/>
          <w:szCs w:val="21"/>
          <w:color w:val="060606"/>
        </w:rPr>
        <w:t>18</w:t>
      </w:r>
    </w:p>
    <w:p>
      <w:pPr>
        <w:sectPr>
          <w:pgSz w:w="11900" w:h="16838" w:orient="portrait"/>
          <w:cols w:equalWidth="0" w:num="1">
            <w:col w:w="11232"/>
          </w:cols>
          <w:pgMar w:left="328" w:top="1440" w:right="339" w:bottom="1440" w:gutter="0" w:footer="0" w:header="0"/>
          <w:type w:val="continuous"/>
        </w:sectPr>
      </w:pPr>
    </w:p>
    <w:bookmarkStart w:id="21" w:name="page22"/>
    <w:bookmarkEnd w:id="21"/>
    <w:p>
      <w:pPr>
        <w:spacing w:after="0" w:line="49"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7360" w:type="dxa"/>
            <w:vAlign w:val="bottom"/>
          </w:tcPr>
          <w:p>
            <w:pPr>
              <w:spacing w:after="0"/>
              <w:rPr>
                <w:sz w:val="20"/>
                <w:szCs w:val="20"/>
                <w:color w:val="auto"/>
              </w:rPr>
            </w:pPr>
            <w:r>
              <w:rPr>
                <w:rFonts w:ascii="Arial" w:cs="Arial" w:eastAsia="Arial" w:hAnsi="Arial"/>
                <w:sz w:val="16"/>
                <w:szCs w:val="16"/>
                <w:color w:val="060606"/>
              </w:rPr>
              <w:t>LIVANOVA PLC AND SUBSIDIARIES</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29"/>
        </w:trPr>
        <w:tc>
          <w:tcPr>
            <w:tcW w:w="7360" w:type="dxa"/>
            <w:vAlign w:val="bottom"/>
          </w:tcPr>
          <w:p>
            <w:pPr>
              <w:spacing w:after="0"/>
              <w:rPr>
                <w:sz w:val="20"/>
                <w:szCs w:val="20"/>
                <w:color w:val="auto"/>
              </w:rPr>
            </w:pPr>
            <w:r>
              <w:rPr>
                <w:rFonts w:ascii="Arial" w:cs="Arial" w:eastAsia="Arial" w:hAnsi="Arial"/>
                <w:sz w:val="16"/>
                <w:szCs w:val="16"/>
                <w:color w:val="060606"/>
              </w:rPr>
              <w:t>CONDENSED CONSOLIDATED STATEMENTS OF CASH FLOWS - UNAUDITED</w:t>
            </w:r>
          </w:p>
        </w:tc>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31"/>
        </w:trPr>
        <w:tc>
          <w:tcPr>
            <w:tcW w:w="7360" w:type="dxa"/>
            <w:vAlign w:val="bottom"/>
          </w:tcPr>
          <w:p>
            <w:pPr>
              <w:spacing w:after="0"/>
              <w:rPr>
                <w:sz w:val="20"/>
                <w:szCs w:val="20"/>
                <w:color w:val="auto"/>
              </w:rPr>
            </w:pPr>
            <w:r>
              <w:rPr>
                <w:rFonts w:ascii="Arial" w:cs="Arial" w:eastAsia="Arial" w:hAnsi="Arial"/>
                <w:sz w:val="16"/>
                <w:szCs w:val="16"/>
                <w:color w:val="060606"/>
              </w:rPr>
              <w:t>(In millions)</w:t>
            </w:r>
          </w:p>
        </w:tc>
        <w:tc>
          <w:tcPr>
            <w:tcW w:w="3860" w:type="dxa"/>
            <w:vAlign w:val="bottom"/>
            <w:tcBorders>
              <w:bottom w:val="single" w:sz="8" w:color="auto"/>
            </w:tcBorders>
            <w:gridSpan w:val="3"/>
          </w:tcPr>
          <w:p>
            <w:pPr>
              <w:jc w:val="right"/>
              <w:ind w:right="579"/>
              <w:spacing w:after="0"/>
              <w:rPr>
                <w:sz w:val="20"/>
                <w:szCs w:val="20"/>
                <w:color w:val="auto"/>
              </w:rPr>
            </w:pPr>
            <w:r>
              <w:rPr>
                <w:rFonts w:ascii="Arial" w:cs="Arial" w:eastAsia="Arial" w:hAnsi="Arial"/>
                <w:sz w:val="16"/>
                <w:szCs w:val="16"/>
                <w:color w:val="060606"/>
              </w:rPr>
              <w:t>Nine Months Ended September 30,</w:t>
            </w:r>
          </w:p>
        </w:tc>
      </w:tr>
      <w:tr>
        <w:trPr>
          <w:trHeight w:val="222"/>
        </w:trPr>
        <w:tc>
          <w:tcPr>
            <w:tcW w:w="7360" w:type="dxa"/>
            <w:vAlign w:val="bottom"/>
          </w:tcPr>
          <w:p>
            <w:pPr>
              <w:spacing w:after="0"/>
              <w:rPr>
                <w:sz w:val="19"/>
                <w:szCs w:val="19"/>
                <w:color w:val="auto"/>
              </w:rPr>
            </w:pPr>
          </w:p>
        </w:tc>
        <w:tc>
          <w:tcPr>
            <w:tcW w:w="188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color w:val="060606"/>
              </w:rPr>
              <w:t>2026</w:t>
            </w:r>
          </w:p>
        </w:tc>
        <w:tc>
          <w:tcPr>
            <w:tcW w:w="100" w:type="dxa"/>
            <w:vAlign w:val="bottom"/>
          </w:tcPr>
          <w:p>
            <w:pPr>
              <w:spacing w:after="0"/>
              <w:rPr>
                <w:sz w:val="19"/>
                <w:szCs w:val="19"/>
                <w:color w:val="auto"/>
              </w:rPr>
            </w:pPr>
          </w:p>
        </w:tc>
        <w:tc>
          <w:tcPr>
            <w:tcW w:w="188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color w:val="060606"/>
              </w:rPr>
              <w:t>2025</w:t>
            </w:r>
          </w:p>
        </w:tc>
      </w:tr>
      <w:tr>
        <w:trPr>
          <w:trHeight w:val="210"/>
        </w:trPr>
        <w:tc>
          <w:tcPr>
            <w:tcW w:w="7360" w:type="dxa"/>
            <w:vAlign w:val="bottom"/>
          </w:tcPr>
          <w:p>
            <w:pPr>
              <w:spacing w:after="0"/>
              <w:rPr>
                <w:sz w:val="20"/>
                <w:szCs w:val="20"/>
                <w:color w:val="auto"/>
              </w:rPr>
            </w:pPr>
            <w:r>
              <w:rPr>
                <w:rFonts w:ascii="Arial" w:cs="Arial" w:eastAsia="Arial" w:hAnsi="Arial"/>
                <w:sz w:val="16"/>
                <w:szCs w:val="16"/>
                <w:color w:val="060606"/>
              </w:rPr>
              <w:t>Operating Activities:</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29"/>
        </w:trPr>
        <w:tc>
          <w:tcPr>
            <w:tcW w:w="7360" w:type="dxa"/>
            <w:vAlign w:val="bottom"/>
          </w:tcPr>
          <w:p>
            <w:pPr>
              <w:ind w:left="120"/>
              <w:spacing w:after="0"/>
              <w:rPr>
                <w:sz w:val="20"/>
                <w:szCs w:val="20"/>
                <w:color w:val="auto"/>
              </w:rPr>
            </w:pPr>
            <w:r>
              <w:rPr>
                <w:rFonts w:ascii="Arial" w:cs="Arial" w:eastAsia="Arial" w:hAnsi="Arial"/>
                <w:sz w:val="16"/>
                <w:szCs w:val="16"/>
                <w:color w:val="auto"/>
              </w:rPr>
              <w:t>Net income (loss)</w:t>
            </w:r>
          </w:p>
        </w:tc>
        <w:tc>
          <w:tcPr>
            <w:tcW w:w="1880" w:type="dxa"/>
            <w:vAlign w:val="bottom"/>
          </w:tcPr>
          <w:p>
            <w:pPr>
              <w:jc w:val="right"/>
              <w:spacing w:after="0"/>
              <w:rPr>
                <w:sz w:val="20"/>
                <w:szCs w:val="20"/>
                <w:color w:val="auto"/>
              </w:rPr>
            </w:pPr>
            <w:r>
              <w:rPr>
                <w:rFonts w:ascii="Arial" w:cs="Arial" w:eastAsia="Arial" w:hAnsi="Arial"/>
                <w:sz w:val="16"/>
                <w:szCs w:val="16"/>
                <w:color w:val="auto"/>
              </w:rPr>
              <w:t>$165.2</w:t>
            </w:r>
          </w:p>
        </w:tc>
        <w:tc>
          <w:tcPr>
            <w:tcW w:w="1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($273.4)</w:t>
            </w:r>
          </w:p>
        </w:tc>
      </w:tr>
      <w:tr>
        <w:trPr>
          <w:trHeight w:val="229"/>
        </w:trPr>
        <w:tc>
          <w:tcPr>
            <w:tcW w:w="7360" w:type="dxa"/>
            <w:vAlign w:val="bottom"/>
          </w:tcPr>
          <w:p>
            <w:pPr>
              <w:ind w:left="120"/>
              <w:spacing w:after="0"/>
              <w:rPr>
                <w:sz w:val="20"/>
                <w:szCs w:val="20"/>
                <w:color w:val="auto"/>
              </w:rPr>
            </w:pPr>
            <w:r>
              <w:rPr>
                <w:rFonts w:ascii="Arial" w:cs="Arial" w:eastAsia="Arial" w:hAnsi="Arial"/>
                <w:sz w:val="16"/>
                <w:szCs w:val="16"/>
                <w:color w:val="auto"/>
              </w:rPr>
              <w:t>Adjustments to reconcile net income (loss) to net cash provided by operating activities:</w:t>
            </w:r>
          </w:p>
        </w:tc>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30"/>
        </w:trPr>
        <w:tc>
          <w:tcPr>
            <w:tcW w:w="7360" w:type="dxa"/>
            <w:vAlign w:val="bottom"/>
          </w:tcPr>
          <w:p>
            <w:pPr>
              <w:ind w:left="220"/>
              <w:spacing w:after="0"/>
              <w:rPr>
                <w:sz w:val="20"/>
                <w:szCs w:val="20"/>
                <w:color w:val="auto"/>
              </w:rPr>
            </w:pPr>
            <w:r>
              <w:rPr>
                <w:rFonts w:ascii="Arial" w:cs="Arial" w:eastAsia="Arial" w:hAnsi="Arial"/>
                <w:sz w:val="16"/>
                <w:szCs w:val="16"/>
                <w:color w:val="auto"/>
              </w:rPr>
              <w:t>Deferred income tax (benefit) expense</w:t>
            </w:r>
          </w:p>
        </w:tc>
        <w:tc>
          <w:tcPr>
            <w:tcW w:w="1880" w:type="dxa"/>
            <w:vAlign w:val="bottom"/>
          </w:tcPr>
          <w:p>
            <w:pPr>
              <w:jc w:val="right"/>
              <w:spacing w:after="0"/>
              <w:rPr>
                <w:sz w:val="20"/>
                <w:szCs w:val="20"/>
                <w:color w:val="auto"/>
              </w:rPr>
            </w:pPr>
            <w:r>
              <w:rPr>
                <w:rFonts w:ascii="Arial" w:cs="Arial" w:eastAsia="Arial" w:hAnsi="Arial"/>
                <w:sz w:val="16"/>
                <w:szCs w:val="16"/>
                <w:color w:val="auto"/>
              </w:rPr>
              <w:t>(86.9)</w:t>
            </w:r>
          </w:p>
        </w:tc>
        <w:tc>
          <w:tcPr>
            <w:tcW w:w="1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4.1</w:t>
            </w:r>
          </w:p>
        </w:tc>
      </w:tr>
      <w:tr>
        <w:trPr>
          <w:trHeight w:val="229"/>
        </w:trPr>
        <w:tc>
          <w:tcPr>
            <w:tcW w:w="7360" w:type="dxa"/>
            <w:vAlign w:val="bottom"/>
          </w:tcPr>
          <w:p>
            <w:pPr>
              <w:ind w:left="220"/>
              <w:spacing w:after="0"/>
              <w:rPr>
                <w:sz w:val="20"/>
                <w:szCs w:val="20"/>
                <w:color w:val="auto"/>
              </w:rPr>
            </w:pPr>
            <w:r>
              <w:rPr>
                <w:rFonts w:ascii="Arial" w:cs="Arial" w:eastAsia="Arial" w:hAnsi="Arial"/>
                <w:sz w:val="16"/>
                <w:szCs w:val="16"/>
                <w:color w:val="auto"/>
              </w:rPr>
              <w:t>Share-based compensation</w:t>
            </w:r>
          </w:p>
        </w:tc>
        <w:tc>
          <w:tcPr>
            <w:tcW w:w="1880" w:type="dxa"/>
            <w:vAlign w:val="bottom"/>
          </w:tcPr>
          <w:p>
            <w:pPr>
              <w:jc w:val="right"/>
              <w:spacing w:after="0"/>
              <w:rPr>
                <w:sz w:val="20"/>
                <w:szCs w:val="20"/>
                <w:color w:val="auto"/>
              </w:rPr>
            </w:pPr>
            <w:r>
              <w:rPr>
                <w:rFonts w:ascii="Arial" w:cs="Arial" w:eastAsia="Arial" w:hAnsi="Arial"/>
                <w:sz w:val="16"/>
                <w:szCs w:val="16"/>
                <w:color w:val="auto"/>
              </w:rPr>
              <w:t>39.7</w:t>
            </w:r>
          </w:p>
        </w:tc>
        <w:tc>
          <w:tcPr>
            <w:tcW w:w="1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26.9</w:t>
            </w:r>
          </w:p>
        </w:tc>
      </w:tr>
      <w:tr>
        <w:trPr>
          <w:trHeight w:val="230"/>
        </w:trPr>
        <w:tc>
          <w:tcPr>
            <w:tcW w:w="7360" w:type="dxa"/>
            <w:vAlign w:val="bottom"/>
          </w:tcPr>
          <w:p>
            <w:pPr>
              <w:ind w:left="220"/>
              <w:spacing w:after="0"/>
              <w:rPr>
                <w:sz w:val="20"/>
                <w:szCs w:val="20"/>
                <w:color w:val="auto"/>
              </w:rPr>
            </w:pPr>
            <w:r>
              <w:rPr>
                <w:rFonts w:ascii="Arial" w:cs="Arial" w:eastAsia="Arial" w:hAnsi="Arial"/>
                <w:sz w:val="16"/>
                <w:szCs w:val="16"/>
                <w:color w:val="auto"/>
              </w:rPr>
              <w:t>Remeasurement of derivative instruments</w:t>
            </w:r>
          </w:p>
        </w:tc>
        <w:tc>
          <w:tcPr>
            <w:tcW w:w="1880" w:type="dxa"/>
            <w:vAlign w:val="bottom"/>
          </w:tcPr>
          <w:p>
            <w:pPr>
              <w:jc w:val="right"/>
              <w:spacing w:after="0"/>
              <w:rPr>
                <w:sz w:val="20"/>
                <w:szCs w:val="20"/>
                <w:color w:val="auto"/>
              </w:rPr>
            </w:pPr>
            <w:r>
              <w:rPr>
                <w:rFonts w:ascii="Arial" w:cs="Arial" w:eastAsia="Arial" w:hAnsi="Arial"/>
                <w:sz w:val="16"/>
                <w:szCs w:val="16"/>
                <w:color w:val="auto"/>
              </w:rPr>
              <w:t>29.4</w:t>
            </w:r>
          </w:p>
        </w:tc>
        <w:tc>
          <w:tcPr>
            <w:tcW w:w="1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(17.0)</w:t>
            </w:r>
          </w:p>
        </w:tc>
      </w:tr>
      <w:tr>
        <w:trPr>
          <w:trHeight w:val="229"/>
        </w:trPr>
        <w:tc>
          <w:tcPr>
            <w:tcW w:w="7360" w:type="dxa"/>
            <w:vAlign w:val="bottom"/>
          </w:tcPr>
          <w:p>
            <w:pPr>
              <w:ind w:left="220"/>
              <w:spacing w:after="0"/>
              <w:rPr>
                <w:sz w:val="20"/>
                <w:szCs w:val="20"/>
                <w:color w:val="auto"/>
              </w:rPr>
            </w:pPr>
            <w:r>
              <w:rPr>
                <w:rFonts w:ascii="Arial" w:cs="Arial" w:eastAsia="Arial" w:hAnsi="Arial"/>
                <w:sz w:val="16"/>
                <w:szCs w:val="16"/>
                <w:color w:val="auto"/>
              </w:rPr>
              <w:t>Depreciation</w:t>
            </w:r>
          </w:p>
        </w:tc>
        <w:tc>
          <w:tcPr>
            <w:tcW w:w="1880" w:type="dxa"/>
            <w:vAlign w:val="bottom"/>
          </w:tcPr>
          <w:p>
            <w:pPr>
              <w:jc w:val="right"/>
              <w:spacing w:after="0"/>
              <w:rPr>
                <w:sz w:val="20"/>
                <w:szCs w:val="20"/>
                <w:color w:val="auto"/>
              </w:rPr>
            </w:pPr>
            <w:r>
              <w:rPr>
                <w:rFonts w:ascii="Arial" w:cs="Arial" w:eastAsia="Arial" w:hAnsi="Arial"/>
                <w:sz w:val="16"/>
                <w:szCs w:val="16"/>
                <w:color w:val="auto"/>
              </w:rPr>
              <w:t>26.2</w:t>
            </w:r>
          </w:p>
        </w:tc>
        <w:tc>
          <w:tcPr>
            <w:tcW w:w="1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21.0</w:t>
            </w:r>
          </w:p>
        </w:tc>
      </w:tr>
      <w:tr>
        <w:trPr>
          <w:trHeight w:val="229"/>
        </w:trPr>
        <w:tc>
          <w:tcPr>
            <w:tcW w:w="7360" w:type="dxa"/>
            <w:vAlign w:val="bottom"/>
          </w:tcPr>
          <w:p>
            <w:pPr>
              <w:ind w:left="220"/>
              <w:spacing w:after="0"/>
              <w:rPr>
                <w:sz w:val="20"/>
                <w:szCs w:val="20"/>
                <w:color w:val="auto"/>
              </w:rPr>
            </w:pPr>
            <w:r>
              <w:rPr>
                <w:rFonts w:ascii="Arial" w:cs="Arial" w:eastAsia="Arial" w:hAnsi="Arial"/>
                <w:sz w:val="16"/>
                <w:szCs w:val="16"/>
                <w:color w:val="auto"/>
              </w:rPr>
              <w:t>Amortization of intangible assets</w:t>
            </w:r>
          </w:p>
        </w:tc>
        <w:tc>
          <w:tcPr>
            <w:tcW w:w="1880" w:type="dxa"/>
            <w:vAlign w:val="bottom"/>
          </w:tcPr>
          <w:p>
            <w:pPr>
              <w:jc w:val="right"/>
              <w:spacing w:after="0"/>
              <w:rPr>
                <w:sz w:val="20"/>
                <w:szCs w:val="20"/>
                <w:color w:val="auto"/>
              </w:rPr>
            </w:pPr>
            <w:r>
              <w:rPr>
                <w:rFonts w:ascii="Arial" w:cs="Arial" w:eastAsia="Arial" w:hAnsi="Arial"/>
                <w:sz w:val="16"/>
                <w:szCs w:val="16"/>
                <w:color w:val="auto"/>
              </w:rPr>
              <w:t>17.6</w:t>
            </w:r>
          </w:p>
        </w:tc>
        <w:tc>
          <w:tcPr>
            <w:tcW w:w="1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13.2</w:t>
            </w:r>
          </w:p>
        </w:tc>
      </w:tr>
      <w:tr>
        <w:trPr>
          <w:trHeight w:val="230"/>
        </w:trPr>
        <w:tc>
          <w:tcPr>
            <w:tcW w:w="7360" w:type="dxa"/>
            <w:vAlign w:val="bottom"/>
          </w:tcPr>
          <w:p>
            <w:pPr>
              <w:ind w:left="220"/>
              <w:spacing w:after="0"/>
              <w:rPr>
                <w:sz w:val="20"/>
                <w:szCs w:val="20"/>
                <w:color w:val="auto"/>
              </w:rPr>
            </w:pPr>
            <w:r>
              <w:rPr>
                <w:rFonts w:ascii="Arial" w:cs="Arial" w:eastAsia="Arial" w:hAnsi="Arial"/>
                <w:sz w:val="16"/>
                <w:szCs w:val="16"/>
                <w:color w:val="auto"/>
              </w:rPr>
              <w:t>Amortization of debt issuance costs</w:t>
            </w:r>
          </w:p>
        </w:tc>
        <w:tc>
          <w:tcPr>
            <w:tcW w:w="1880" w:type="dxa"/>
            <w:vAlign w:val="bottom"/>
          </w:tcPr>
          <w:p>
            <w:pPr>
              <w:jc w:val="right"/>
              <w:spacing w:after="0"/>
              <w:rPr>
                <w:sz w:val="20"/>
                <w:szCs w:val="20"/>
                <w:color w:val="auto"/>
              </w:rPr>
            </w:pPr>
            <w:r>
              <w:rPr>
                <w:rFonts w:ascii="Arial" w:cs="Arial" w:eastAsia="Arial" w:hAnsi="Arial"/>
                <w:sz w:val="16"/>
                <w:szCs w:val="16"/>
                <w:color w:val="auto"/>
              </w:rPr>
              <w:t>14.8</w:t>
            </w:r>
          </w:p>
        </w:tc>
        <w:tc>
          <w:tcPr>
            <w:tcW w:w="1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17.3</w:t>
            </w:r>
          </w:p>
        </w:tc>
      </w:tr>
      <w:tr>
        <w:trPr>
          <w:trHeight w:val="229"/>
        </w:trPr>
        <w:tc>
          <w:tcPr>
            <w:tcW w:w="7360" w:type="dxa"/>
            <w:vAlign w:val="bottom"/>
          </w:tcPr>
          <w:p>
            <w:pPr>
              <w:ind w:left="220"/>
              <w:spacing w:after="0"/>
              <w:rPr>
                <w:sz w:val="20"/>
                <w:szCs w:val="20"/>
                <w:color w:val="auto"/>
              </w:rPr>
            </w:pPr>
            <w:r>
              <w:rPr>
                <w:rFonts w:ascii="Arial" w:cs="Arial" w:eastAsia="Arial" w:hAnsi="Arial"/>
                <w:sz w:val="16"/>
                <w:szCs w:val="16"/>
                <w:color w:val="auto"/>
              </w:rPr>
              <w:t>Remeasurement of contingent consideration to fair value</w:t>
            </w:r>
          </w:p>
        </w:tc>
        <w:tc>
          <w:tcPr>
            <w:tcW w:w="1880" w:type="dxa"/>
            <w:vAlign w:val="bottom"/>
          </w:tcPr>
          <w:p>
            <w:pPr>
              <w:jc w:val="right"/>
              <w:spacing w:after="0"/>
              <w:rPr>
                <w:sz w:val="20"/>
                <w:szCs w:val="20"/>
                <w:color w:val="auto"/>
              </w:rPr>
            </w:pPr>
            <w:r>
              <w:rPr>
                <w:rFonts w:ascii="Arial" w:cs="Arial" w:eastAsia="Arial" w:hAnsi="Arial"/>
                <w:sz w:val="16"/>
                <w:szCs w:val="16"/>
                <w:color w:val="auto"/>
              </w:rPr>
              <w:t>13.8</w:t>
            </w:r>
          </w:p>
        </w:tc>
        <w:tc>
          <w:tcPr>
            <w:tcW w:w="1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5.5</w:t>
            </w:r>
          </w:p>
        </w:tc>
      </w:tr>
      <w:tr>
        <w:trPr>
          <w:trHeight w:val="229"/>
        </w:trPr>
        <w:tc>
          <w:tcPr>
            <w:tcW w:w="7360" w:type="dxa"/>
            <w:vAlign w:val="bottom"/>
          </w:tcPr>
          <w:p>
            <w:pPr>
              <w:ind w:left="220"/>
              <w:spacing w:after="0"/>
              <w:rPr>
                <w:sz w:val="20"/>
                <w:szCs w:val="20"/>
                <w:color w:val="auto"/>
              </w:rPr>
            </w:pPr>
            <w:r>
              <w:rPr>
                <w:rFonts w:ascii="Arial" w:cs="Arial" w:eastAsia="Arial" w:hAnsi="Arial"/>
                <w:sz w:val="16"/>
                <w:szCs w:val="16"/>
                <w:color w:val="auto"/>
              </w:rPr>
              <w:t>Gain on sale of investment</w:t>
            </w:r>
          </w:p>
        </w:tc>
        <w:tc>
          <w:tcPr>
            <w:tcW w:w="1880" w:type="dxa"/>
            <w:vAlign w:val="bottom"/>
          </w:tcPr>
          <w:p>
            <w:pPr>
              <w:jc w:val="right"/>
              <w:spacing w:after="0"/>
              <w:rPr>
                <w:sz w:val="20"/>
                <w:szCs w:val="20"/>
                <w:color w:val="auto"/>
              </w:rPr>
            </w:pPr>
            <w:r>
              <w:rPr>
                <w:rFonts w:ascii="Arial" w:cs="Arial" w:eastAsia="Arial" w:hAnsi="Arial"/>
                <w:sz w:val="16"/>
                <w:szCs w:val="16"/>
                <w:color w:val="auto"/>
              </w:rPr>
              <w:t>(13.6)</w:t>
            </w:r>
          </w:p>
        </w:tc>
        <w:tc>
          <w:tcPr>
            <w:tcW w:w="1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7360" w:type="dxa"/>
            <w:vAlign w:val="bottom"/>
          </w:tcPr>
          <w:p>
            <w:pPr>
              <w:ind w:left="220"/>
              <w:spacing w:after="0"/>
              <w:rPr>
                <w:sz w:val="20"/>
                <w:szCs w:val="20"/>
                <w:color w:val="auto"/>
              </w:rPr>
            </w:pPr>
            <w:r>
              <w:rPr>
                <w:rFonts w:ascii="Arial" w:cs="Arial" w:eastAsia="Arial" w:hAnsi="Arial"/>
                <w:sz w:val="16"/>
                <w:szCs w:val="16"/>
                <w:color w:val="auto"/>
              </w:rPr>
              <w:t>Amortization of operating lease assets</w:t>
            </w:r>
          </w:p>
        </w:tc>
        <w:tc>
          <w:tcPr>
            <w:tcW w:w="1880" w:type="dxa"/>
            <w:vAlign w:val="bottom"/>
          </w:tcPr>
          <w:p>
            <w:pPr>
              <w:jc w:val="right"/>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10.7</w:t>
            </w:r>
          </w:p>
        </w:tc>
      </w:tr>
      <w:tr>
        <w:trPr>
          <w:trHeight w:val="229"/>
        </w:trPr>
        <w:tc>
          <w:tcPr>
            <w:tcW w:w="7360" w:type="dxa"/>
            <w:vAlign w:val="bottom"/>
          </w:tcPr>
          <w:p>
            <w:pPr>
              <w:ind w:left="220"/>
              <w:spacing w:after="0"/>
              <w:rPr>
                <w:sz w:val="20"/>
                <w:szCs w:val="20"/>
                <w:color w:val="auto"/>
              </w:rPr>
            </w:pPr>
            <w:r>
              <w:rPr>
                <w:rFonts w:ascii="Arial" w:cs="Arial" w:eastAsia="Arial" w:hAnsi="Arial"/>
                <w:sz w:val="16"/>
                <w:szCs w:val="16"/>
                <w:color w:val="auto"/>
              </w:rPr>
              <w:t>Impairment of investment</w:t>
            </w:r>
          </w:p>
        </w:tc>
        <w:tc>
          <w:tcPr>
            <w:tcW w:w="188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30"/>
        </w:trPr>
        <w:tc>
          <w:tcPr>
            <w:tcW w:w="7360" w:type="dxa"/>
            <w:vAlign w:val="bottom"/>
          </w:tcPr>
          <w:p>
            <w:pPr>
              <w:ind w:left="220"/>
              <w:spacing w:after="0"/>
              <w:rPr>
                <w:sz w:val="20"/>
                <w:szCs w:val="20"/>
                <w:color w:val="auto"/>
              </w:rPr>
            </w:pPr>
            <w:r>
              <w:rPr>
                <w:rFonts w:ascii="Arial" w:cs="Arial" w:eastAsia="Arial" w:hAnsi="Arial"/>
                <w:sz w:val="16"/>
                <w:szCs w:val="16"/>
                <w:color w:val="auto"/>
              </w:rPr>
              <w:t>Loss on debt extinguishment</w:t>
            </w:r>
          </w:p>
        </w:tc>
        <w:tc>
          <w:tcPr>
            <w:tcW w:w="1880" w:type="dxa"/>
            <w:vAlign w:val="bottom"/>
          </w:tcPr>
          <w:p>
            <w:pPr>
              <w:jc w:val="right"/>
              <w:spacing w:after="0"/>
              <w:rPr>
                <w:sz w:val="20"/>
                <w:szCs w:val="20"/>
                <w:color w:val="auto"/>
              </w:rPr>
            </w:pPr>
            <w:r>
              <w:rPr>
                <w:rFonts w:ascii="Arial" w:cs="Arial" w:eastAsia="Arial" w:hAnsi="Arial"/>
                <w:sz w:val="16"/>
                <w:szCs w:val="16"/>
                <w:color w:val="auto"/>
              </w:rPr>
              <w:t>0.9</w:t>
            </w:r>
          </w:p>
        </w:tc>
        <w:tc>
          <w:tcPr>
            <w:tcW w:w="1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229"/>
        </w:trPr>
        <w:tc>
          <w:tcPr>
            <w:tcW w:w="7360" w:type="dxa"/>
            <w:vAlign w:val="bottom"/>
          </w:tcPr>
          <w:p>
            <w:pPr>
              <w:ind w:left="220"/>
              <w:spacing w:after="0"/>
              <w:rPr>
                <w:sz w:val="20"/>
                <w:szCs w:val="20"/>
                <w:color w:val="auto"/>
              </w:rPr>
            </w:pPr>
            <w:r>
              <w:rPr>
                <w:rFonts w:ascii="Arial" w:cs="Arial" w:eastAsia="Arial" w:hAnsi="Arial"/>
                <w:sz w:val="16"/>
                <w:szCs w:val="16"/>
                <w:color w:val="auto"/>
              </w:rPr>
              <w:t>Loss on investment revaluation - Ceribell, Inc.</w:t>
            </w:r>
          </w:p>
        </w:tc>
        <w:tc>
          <w:tcPr>
            <w:tcW w:w="1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8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229"/>
        </w:trPr>
        <w:tc>
          <w:tcPr>
            <w:tcW w:w="7360" w:type="dxa"/>
            <w:vAlign w:val="bottom"/>
          </w:tcPr>
          <w:p>
            <w:pPr>
              <w:ind w:left="220"/>
              <w:spacing w:after="0"/>
              <w:rPr>
                <w:sz w:val="20"/>
                <w:szCs w:val="20"/>
                <w:color w:val="auto"/>
              </w:rPr>
            </w:pPr>
            <w:r>
              <w:rPr>
                <w:rFonts w:ascii="Arial" w:cs="Arial" w:eastAsia="Arial" w:hAnsi="Arial"/>
                <w:sz w:val="16"/>
                <w:szCs w:val="16"/>
                <w:color w:val="auto"/>
              </w:rPr>
              <w:t>Other, net</w:t>
            </w:r>
          </w:p>
        </w:tc>
        <w:tc>
          <w:tcPr>
            <w:tcW w:w="1880" w:type="dxa"/>
            <w:vAlign w:val="bottom"/>
          </w:tcPr>
          <w:p>
            <w:pPr>
              <w:jc w:val="right"/>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230"/>
        </w:trPr>
        <w:tc>
          <w:tcPr>
            <w:tcW w:w="7360" w:type="dxa"/>
            <w:vAlign w:val="bottom"/>
          </w:tcPr>
          <w:p>
            <w:pPr>
              <w:spacing w:after="0"/>
              <w:rPr>
                <w:sz w:val="20"/>
                <w:szCs w:val="20"/>
                <w:color w:val="auto"/>
              </w:rPr>
            </w:pPr>
            <w:r>
              <w:rPr>
                <w:rFonts w:ascii="Arial" w:cs="Arial" w:eastAsia="Arial" w:hAnsi="Arial"/>
                <w:sz w:val="16"/>
                <w:szCs w:val="16"/>
                <w:color w:val="060606"/>
              </w:rPr>
              <w:t>Changes in operating assets and liabilities:</w:t>
            </w:r>
          </w:p>
        </w:tc>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29"/>
        </w:trPr>
        <w:tc>
          <w:tcPr>
            <w:tcW w:w="7360" w:type="dxa"/>
            <w:vAlign w:val="bottom"/>
          </w:tcPr>
          <w:p>
            <w:pPr>
              <w:ind w:left="120"/>
              <w:spacing w:after="0"/>
              <w:rPr>
                <w:sz w:val="20"/>
                <w:szCs w:val="20"/>
                <w:color w:val="auto"/>
              </w:rPr>
            </w:pPr>
            <w:r>
              <w:rPr>
                <w:rFonts w:ascii="Arial" w:cs="Arial" w:eastAsia="Arial" w:hAnsi="Arial"/>
                <w:sz w:val="16"/>
                <w:szCs w:val="16"/>
                <w:color w:val="auto"/>
              </w:rPr>
              <w:t>Accounts receivable, net</w:t>
            </w:r>
          </w:p>
        </w:tc>
        <w:tc>
          <w:tcPr>
            <w:tcW w:w="1880" w:type="dxa"/>
            <w:vAlign w:val="bottom"/>
          </w:tcPr>
          <w:p>
            <w:pPr>
              <w:jc w:val="right"/>
              <w:spacing w:after="0"/>
              <w:rPr>
                <w:sz w:val="20"/>
                <w:szCs w:val="20"/>
                <w:color w:val="auto"/>
              </w:rPr>
            </w:pPr>
            <w:r>
              <w:rPr>
                <w:rFonts w:ascii="Arial" w:cs="Arial" w:eastAsia="Arial" w:hAnsi="Arial"/>
                <w:sz w:val="16"/>
                <w:szCs w:val="16"/>
                <w:color w:val="auto"/>
              </w:rPr>
              <w:t>(22.5)</w:t>
            </w:r>
          </w:p>
        </w:tc>
        <w:tc>
          <w:tcPr>
            <w:tcW w:w="1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(5.8)</w:t>
            </w:r>
          </w:p>
        </w:tc>
      </w:tr>
      <w:tr>
        <w:trPr>
          <w:trHeight w:val="230"/>
        </w:trPr>
        <w:tc>
          <w:tcPr>
            <w:tcW w:w="7360" w:type="dxa"/>
            <w:vAlign w:val="bottom"/>
          </w:tcPr>
          <w:p>
            <w:pPr>
              <w:ind w:left="120"/>
              <w:spacing w:after="0"/>
              <w:rPr>
                <w:sz w:val="20"/>
                <w:szCs w:val="20"/>
                <w:color w:val="auto"/>
              </w:rPr>
            </w:pPr>
            <w:r>
              <w:rPr>
                <w:rFonts w:ascii="Arial" w:cs="Arial" w:eastAsia="Arial" w:hAnsi="Arial"/>
                <w:sz w:val="16"/>
                <w:szCs w:val="16"/>
                <w:color w:val="auto"/>
              </w:rPr>
              <w:t>Inventories</w:t>
            </w:r>
          </w:p>
        </w:tc>
        <w:tc>
          <w:tcPr>
            <w:tcW w:w="1880" w:type="dxa"/>
            <w:vAlign w:val="bottom"/>
          </w:tcPr>
          <w:p>
            <w:pPr>
              <w:jc w:val="right"/>
              <w:spacing w:after="0"/>
              <w:rPr>
                <w:sz w:val="20"/>
                <w:szCs w:val="20"/>
                <w:color w:val="auto"/>
              </w:rPr>
            </w:pPr>
            <w:r>
              <w:rPr>
                <w:rFonts w:ascii="Arial" w:cs="Arial" w:eastAsia="Arial" w:hAnsi="Arial"/>
                <w:sz w:val="16"/>
                <w:szCs w:val="16"/>
                <w:color w:val="auto"/>
              </w:rPr>
              <w:t>(15.4)</w:t>
            </w:r>
          </w:p>
        </w:tc>
        <w:tc>
          <w:tcPr>
            <w:tcW w:w="1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(8.1)</w:t>
            </w:r>
          </w:p>
        </w:tc>
      </w:tr>
      <w:tr>
        <w:trPr>
          <w:trHeight w:val="230"/>
        </w:trPr>
        <w:tc>
          <w:tcPr>
            <w:tcW w:w="7360" w:type="dxa"/>
            <w:vAlign w:val="bottom"/>
          </w:tcPr>
          <w:p>
            <w:pPr>
              <w:ind w:left="120"/>
              <w:spacing w:after="0"/>
              <w:rPr>
                <w:sz w:val="20"/>
                <w:szCs w:val="20"/>
                <w:color w:val="auto"/>
              </w:rPr>
            </w:pPr>
            <w:r>
              <w:rPr>
                <w:rFonts w:ascii="Arial" w:cs="Arial" w:eastAsia="Arial" w:hAnsi="Arial"/>
                <w:sz w:val="16"/>
                <w:szCs w:val="16"/>
                <w:color w:val="auto"/>
              </w:rPr>
              <w:t>Other current and non-current assets</w:t>
            </w:r>
          </w:p>
        </w:tc>
        <w:tc>
          <w:tcPr>
            <w:tcW w:w="1880" w:type="dxa"/>
            <w:vAlign w:val="bottom"/>
          </w:tcPr>
          <w:p>
            <w:pPr>
              <w:jc w:val="right"/>
              <w:spacing w:after="0"/>
              <w:rPr>
                <w:sz w:val="20"/>
                <w:szCs w:val="20"/>
                <w:color w:val="auto"/>
              </w:rPr>
            </w:pPr>
            <w:r>
              <w:rPr>
                <w:rFonts w:ascii="Arial" w:cs="Arial" w:eastAsia="Arial" w:hAnsi="Arial"/>
                <w:sz w:val="16"/>
                <w:szCs w:val="16"/>
                <w:color w:val="auto"/>
              </w:rPr>
              <w:t>(25.8)</w:t>
            </w:r>
          </w:p>
        </w:tc>
        <w:tc>
          <w:tcPr>
            <w:tcW w:w="1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50.6</w:t>
            </w:r>
          </w:p>
        </w:tc>
      </w:tr>
      <w:tr>
        <w:trPr>
          <w:trHeight w:val="230"/>
        </w:trPr>
        <w:tc>
          <w:tcPr>
            <w:tcW w:w="7360" w:type="dxa"/>
            <w:vAlign w:val="bottom"/>
          </w:tcPr>
          <w:p>
            <w:pPr>
              <w:ind w:left="120"/>
              <w:spacing w:after="0"/>
              <w:rPr>
                <w:sz w:val="20"/>
                <w:szCs w:val="20"/>
                <w:color w:val="auto"/>
              </w:rPr>
            </w:pPr>
            <w:r>
              <w:rPr>
                <w:rFonts w:ascii="Arial" w:cs="Arial" w:eastAsia="Arial" w:hAnsi="Arial"/>
                <w:sz w:val="16"/>
                <w:szCs w:val="16"/>
                <w:color w:val="auto"/>
              </w:rPr>
              <w:t>Accounts payable and accrued current and non-current liabilities</w:t>
            </w:r>
          </w:p>
        </w:tc>
        <w:tc>
          <w:tcPr>
            <w:tcW w:w="1880" w:type="dxa"/>
            <w:vAlign w:val="bottom"/>
          </w:tcPr>
          <w:p>
            <w:pPr>
              <w:jc w:val="right"/>
              <w:spacing w:after="0"/>
              <w:rPr>
                <w:sz w:val="20"/>
                <w:szCs w:val="20"/>
                <w:color w:val="auto"/>
              </w:rPr>
            </w:pPr>
            <w:r>
              <w:rPr>
                <w:rFonts w:ascii="Arial" w:cs="Arial" w:eastAsia="Arial" w:hAnsi="Arial"/>
                <w:sz w:val="16"/>
                <w:szCs w:val="16"/>
                <w:color w:val="auto"/>
              </w:rPr>
              <w:t>(14.7)</w:t>
            </w:r>
          </w:p>
        </w:tc>
        <w:tc>
          <w:tcPr>
            <w:tcW w:w="1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(36.1)</w:t>
            </w:r>
          </w:p>
        </w:tc>
      </w:tr>
      <w:tr>
        <w:trPr>
          <w:trHeight w:val="229"/>
        </w:trPr>
        <w:tc>
          <w:tcPr>
            <w:tcW w:w="7360" w:type="dxa"/>
            <w:vAlign w:val="bottom"/>
          </w:tcPr>
          <w:p>
            <w:pPr>
              <w:ind w:left="120"/>
              <w:spacing w:after="0"/>
              <w:rPr>
                <w:sz w:val="20"/>
                <w:szCs w:val="20"/>
                <w:color w:val="auto"/>
              </w:rPr>
            </w:pPr>
            <w:r>
              <w:rPr>
                <w:rFonts w:ascii="Arial" w:cs="Arial" w:eastAsia="Arial" w:hAnsi="Arial"/>
                <w:sz w:val="16"/>
                <w:szCs w:val="16"/>
                <w:color w:val="auto"/>
              </w:rPr>
              <w:t>Taxes payable</w:t>
            </w:r>
          </w:p>
        </w:tc>
        <w:tc>
          <w:tcPr>
            <w:tcW w:w="1880" w:type="dxa"/>
            <w:vAlign w:val="bottom"/>
          </w:tcPr>
          <w:p>
            <w:pPr>
              <w:jc w:val="right"/>
              <w:spacing w:after="0"/>
              <w:rPr>
                <w:sz w:val="20"/>
                <w:szCs w:val="20"/>
                <w:color w:val="auto"/>
              </w:rPr>
            </w:pPr>
            <w:r>
              <w:rPr>
                <w:rFonts w:ascii="Arial" w:cs="Arial" w:eastAsia="Arial" w:hAnsi="Arial"/>
                <w:sz w:val="16"/>
                <w:szCs w:val="16"/>
                <w:color w:val="auto"/>
              </w:rPr>
              <w:t>(11.3)</w:t>
            </w:r>
          </w:p>
        </w:tc>
        <w:tc>
          <w:tcPr>
            <w:tcW w:w="1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(13.6)</w:t>
            </w:r>
          </w:p>
        </w:tc>
      </w:tr>
      <w:tr>
        <w:trPr>
          <w:trHeight w:val="230"/>
        </w:trPr>
        <w:tc>
          <w:tcPr>
            <w:tcW w:w="7360" w:type="dxa"/>
            <w:vAlign w:val="bottom"/>
          </w:tcPr>
          <w:p>
            <w:pPr>
              <w:ind w:left="120"/>
              <w:spacing w:after="0"/>
              <w:rPr>
                <w:sz w:val="20"/>
                <w:szCs w:val="20"/>
                <w:color w:val="auto"/>
              </w:rPr>
            </w:pPr>
            <w:r>
              <w:rPr>
                <w:rFonts w:ascii="Arial" w:cs="Arial" w:eastAsia="Arial" w:hAnsi="Arial"/>
                <w:sz w:val="16"/>
                <w:szCs w:val="16"/>
                <w:color w:val="auto"/>
              </w:rPr>
              <w:t>Litigation provision liability</w:t>
            </w:r>
          </w:p>
        </w:tc>
        <w:tc>
          <w:tcPr>
            <w:tcW w:w="1880" w:type="dxa"/>
            <w:vAlign w:val="bottom"/>
          </w:tcPr>
          <w:p>
            <w:pPr>
              <w:jc w:val="right"/>
              <w:spacing w:after="0"/>
              <w:rPr>
                <w:sz w:val="20"/>
                <w:szCs w:val="20"/>
                <w:color w:val="auto"/>
              </w:rPr>
            </w:pPr>
            <w:r>
              <w:rPr>
                <w:rFonts w:ascii="Arial" w:cs="Arial" w:eastAsia="Arial" w:hAnsi="Arial"/>
                <w:sz w:val="16"/>
                <w:szCs w:val="16"/>
                <w:color w:val="auto"/>
              </w:rPr>
              <w:t>29.0</w:t>
            </w:r>
          </w:p>
        </w:tc>
        <w:tc>
          <w:tcPr>
            <w:tcW w:w="1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230"/>
        </w:trPr>
        <w:tc>
          <w:tcPr>
            <w:tcW w:w="7360" w:type="dxa"/>
            <w:vAlign w:val="bottom"/>
          </w:tcPr>
          <w:p>
            <w:pPr>
              <w:ind w:left="120"/>
              <w:spacing w:after="0"/>
              <w:rPr>
                <w:sz w:val="20"/>
                <w:szCs w:val="20"/>
                <w:color w:val="auto"/>
              </w:rPr>
            </w:pPr>
            <w:r>
              <w:rPr>
                <w:rFonts w:ascii="Arial" w:cs="Arial" w:eastAsia="Arial" w:hAnsi="Arial"/>
                <w:sz w:val="16"/>
                <w:szCs w:val="16"/>
                <w:color w:val="auto"/>
              </w:rPr>
              <w:t>SNIA environmental liability</w:t>
            </w:r>
          </w:p>
        </w:tc>
        <w:tc>
          <w:tcPr>
            <w:tcW w:w="1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80" w:type="dxa"/>
            <w:vAlign w:val="bottom"/>
          </w:tcPr>
          <w:p>
            <w:pPr>
              <w:jc w:val="right"/>
              <w:spacing w:after="0"/>
              <w:rPr>
                <w:sz w:val="20"/>
                <w:szCs w:val="20"/>
                <w:color w:val="auto"/>
              </w:rPr>
            </w:pPr>
            <w:r>
              <w:rPr>
                <w:rFonts w:ascii="Arial" w:cs="Arial" w:eastAsia="Arial" w:hAnsi="Arial"/>
                <w:sz w:val="16"/>
                <w:szCs w:val="16"/>
                <w:color w:val="auto"/>
              </w:rPr>
              <w:t>363.8</w:t>
            </w:r>
          </w:p>
        </w:tc>
      </w:tr>
      <w:tr>
        <w:trPr>
          <w:trHeight w:val="222"/>
        </w:trPr>
        <w:tc>
          <w:tcPr>
            <w:tcW w:w="7360" w:type="dxa"/>
            <w:vAlign w:val="bottom"/>
          </w:tcPr>
          <w:p>
            <w:pPr>
              <w:ind w:left="40"/>
              <w:spacing w:after="0"/>
              <w:rPr>
                <w:sz w:val="20"/>
                <w:szCs w:val="20"/>
                <w:color w:val="auto"/>
              </w:rPr>
            </w:pPr>
            <w:r>
              <w:rPr>
                <w:rFonts w:ascii="Arial" w:cs="Arial" w:eastAsia="Arial" w:hAnsi="Arial"/>
                <w:sz w:val="16"/>
                <w:szCs w:val="16"/>
                <w:color w:val="060606"/>
              </w:rPr>
              <w:t>Net cash provided by operating activities</w:t>
            </w:r>
          </w:p>
        </w:tc>
        <w:tc>
          <w:tcPr>
            <w:tcW w:w="1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155.5</w:t>
            </w:r>
          </w:p>
        </w:tc>
        <w:tc>
          <w:tcPr>
            <w:tcW w:w="100" w:type="dxa"/>
            <w:vAlign w:val="bottom"/>
          </w:tcPr>
          <w:p>
            <w:pPr>
              <w:spacing w:after="0"/>
              <w:rPr>
                <w:sz w:val="19"/>
                <w:szCs w:val="19"/>
                <w:color w:val="auto"/>
              </w:rPr>
            </w:pPr>
          </w:p>
        </w:tc>
        <w:tc>
          <w:tcPr>
            <w:tcW w:w="1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171.9</w:t>
            </w:r>
          </w:p>
        </w:tc>
      </w:tr>
      <w:tr>
        <w:trPr>
          <w:trHeight w:val="210"/>
        </w:trPr>
        <w:tc>
          <w:tcPr>
            <w:tcW w:w="7360" w:type="dxa"/>
            <w:vAlign w:val="bottom"/>
          </w:tcPr>
          <w:p>
            <w:pPr>
              <w:spacing w:after="0"/>
              <w:rPr>
                <w:sz w:val="20"/>
                <w:szCs w:val="20"/>
                <w:color w:val="auto"/>
              </w:rPr>
            </w:pPr>
            <w:r>
              <w:rPr>
                <w:rFonts w:ascii="Arial" w:cs="Arial" w:eastAsia="Arial" w:hAnsi="Arial"/>
                <w:sz w:val="16"/>
                <w:szCs w:val="16"/>
                <w:color w:val="060606"/>
              </w:rPr>
              <w:t>Investing Activities:</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30"/>
        </w:trPr>
        <w:tc>
          <w:tcPr>
            <w:tcW w:w="7360" w:type="dxa"/>
            <w:vAlign w:val="bottom"/>
          </w:tcPr>
          <w:p>
            <w:pPr>
              <w:ind w:left="120"/>
              <w:spacing w:after="0"/>
              <w:rPr>
                <w:sz w:val="20"/>
                <w:szCs w:val="20"/>
                <w:color w:val="auto"/>
              </w:rPr>
            </w:pPr>
            <w:r>
              <w:rPr>
                <w:rFonts w:ascii="Arial" w:cs="Arial" w:eastAsia="Arial" w:hAnsi="Arial"/>
                <w:sz w:val="16"/>
                <w:szCs w:val="16"/>
                <w:color w:val="auto"/>
              </w:rPr>
              <w:t>Purchases of property, plant, and equipment</w:t>
            </w:r>
          </w:p>
        </w:tc>
        <w:tc>
          <w:tcPr>
            <w:tcW w:w="1880" w:type="dxa"/>
            <w:vAlign w:val="bottom"/>
          </w:tcPr>
          <w:p>
            <w:pPr>
              <w:jc w:val="right"/>
              <w:spacing w:after="0"/>
              <w:rPr>
                <w:sz w:val="20"/>
                <w:szCs w:val="20"/>
                <w:color w:val="auto"/>
              </w:rPr>
            </w:pPr>
            <w:r>
              <w:rPr>
                <w:rFonts w:ascii="Arial" w:cs="Arial" w:eastAsia="Arial" w:hAnsi="Arial"/>
                <w:sz w:val="16"/>
                <w:szCs w:val="16"/>
                <w:color w:val="auto"/>
              </w:rPr>
              <w:t>(76.6)</w:t>
            </w:r>
          </w:p>
        </w:tc>
        <w:tc>
          <w:tcPr>
            <w:tcW w:w="1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(48.8)</w:t>
            </w:r>
          </w:p>
        </w:tc>
      </w:tr>
      <w:tr>
        <w:trPr>
          <w:trHeight w:val="229"/>
        </w:trPr>
        <w:tc>
          <w:tcPr>
            <w:tcW w:w="7360" w:type="dxa"/>
            <w:vAlign w:val="bottom"/>
          </w:tcPr>
          <w:p>
            <w:pPr>
              <w:ind w:left="120"/>
              <w:spacing w:after="0"/>
              <w:rPr>
                <w:sz w:val="20"/>
                <w:szCs w:val="20"/>
                <w:color w:val="auto"/>
              </w:rPr>
            </w:pPr>
            <w:r>
              <w:rPr>
                <w:rFonts w:ascii="Arial" w:cs="Arial" w:eastAsia="Arial" w:hAnsi="Arial"/>
                <w:sz w:val="16"/>
                <w:szCs w:val="16"/>
                <w:color w:val="auto"/>
              </w:rPr>
              <w:t>Proceeds from investments</w:t>
            </w:r>
          </w:p>
        </w:tc>
        <w:tc>
          <w:tcPr>
            <w:tcW w:w="1880" w:type="dxa"/>
            <w:vAlign w:val="bottom"/>
          </w:tcPr>
          <w:p>
            <w:pPr>
              <w:jc w:val="right"/>
              <w:spacing w:after="0"/>
              <w:rPr>
                <w:sz w:val="20"/>
                <w:szCs w:val="20"/>
                <w:color w:val="auto"/>
              </w:rPr>
            </w:pPr>
            <w:r>
              <w:rPr>
                <w:rFonts w:ascii="Arial" w:cs="Arial" w:eastAsia="Arial" w:hAnsi="Arial"/>
                <w:sz w:val="16"/>
                <w:szCs w:val="16"/>
                <w:color w:val="auto"/>
              </w:rPr>
              <w:t>9.1</w:t>
            </w:r>
          </w:p>
        </w:tc>
        <w:tc>
          <w:tcPr>
            <w:tcW w:w="1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6.5</w:t>
            </w:r>
          </w:p>
        </w:tc>
      </w:tr>
      <w:tr>
        <w:trPr>
          <w:trHeight w:val="230"/>
        </w:trPr>
        <w:tc>
          <w:tcPr>
            <w:tcW w:w="7360" w:type="dxa"/>
            <w:vAlign w:val="bottom"/>
          </w:tcPr>
          <w:p>
            <w:pPr>
              <w:ind w:left="120"/>
              <w:spacing w:after="0"/>
              <w:rPr>
                <w:sz w:val="20"/>
                <w:szCs w:val="20"/>
                <w:color w:val="auto"/>
              </w:rPr>
            </w:pPr>
            <w:r>
              <w:rPr>
                <w:rFonts w:ascii="Arial" w:cs="Arial" w:eastAsia="Arial" w:hAnsi="Arial"/>
                <w:sz w:val="16"/>
                <w:szCs w:val="16"/>
                <w:color w:val="auto"/>
              </w:rPr>
              <w:t>Purchases of investments</w:t>
            </w:r>
          </w:p>
        </w:tc>
        <w:tc>
          <w:tcPr>
            <w:tcW w:w="188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7360" w:type="dxa"/>
            <w:vAlign w:val="bottom"/>
          </w:tcPr>
          <w:p>
            <w:pPr>
              <w:ind w:left="120"/>
              <w:spacing w:after="0"/>
              <w:rPr>
                <w:sz w:val="20"/>
                <w:szCs w:val="20"/>
                <w:color w:val="auto"/>
              </w:rPr>
            </w:pPr>
            <w:r>
              <w:rPr>
                <w:rFonts w:ascii="Arial" w:cs="Arial" w:eastAsia="Arial" w:hAnsi="Arial"/>
                <w:sz w:val="16"/>
                <w:szCs w:val="16"/>
                <w:color w:val="auto"/>
              </w:rPr>
              <w:t>Other, net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0"/>
                <w:szCs w:val="20"/>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w:t>
            </w:r>
          </w:p>
        </w:tc>
      </w:tr>
      <w:tr>
        <w:trPr>
          <w:trHeight w:val="222"/>
        </w:trPr>
        <w:tc>
          <w:tcPr>
            <w:tcW w:w="7360" w:type="dxa"/>
            <w:vAlign w:val="bottom"/>
          </w:tcPr>
          <w:p>
            <w:pPr>
              <w:ind w:left="40"/>
              <w:spacing w:after="0"/>
              <w:rPr>
                <w:sz w:val="20"/>
                <w:szCs w:val="20"/>
                <w:color w:val="auto"/>
              </w:rPr>
            </w:pPr>
            <w:r>
              <w:rPr>
                <w:rFonts w:ascii="Arial" w:cs="Arial" w:eastAsia="Arial" w:hAnsi="Arial"/>
                <w:sz w:val="16"/>
                <w:szCs w:val="16"/>
                <w:color w:val="060606"/>
              </w:rPr>
              <w:t>Net cash used in investing activities</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(69.6)</w:t>
            </w:r>
          </w:p>
        </w:tc>
        <w:tc>
          <w:tcPr>
            <w:tcW w:w="100" w:type="dxa"/>
            <w:vAlign w:val="bottom"/>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(42.7)</w:t>
            </w:r>
          </w:p>
        </w:tc>
      </w:tr>
      <w:tr>
        <w:trPr>
          <w:trHeight w:val="210"/>
        </w:trPr>
        <w:tc>
          <w:tcPr>
            <w:tcW w:w="7360" w:type="dxa"/>
            <w:vAlign w:val="bottom"/>
          </w:tcPr>
          <w:p>
            <w:pPr>
              <w:spacing w:after="0"/>
              <w:rPr>
                <w:sz w:val="20"/>
                <w:szCs w:val="20"/>
                <w:color w:val="auto"/>
              </w:rPr>
            </w:pPr>
            <w:r>
              <w:rPr>
                <w:rFonts w:ascii="Arial" w:cs="Arial" w:eastAsia="Arial" w:hAnsi="Arial"/>
                <w:sz w:val="16"/>
                <w:szCs w:val="16"/>
                <w:color w:val="060606"/>
              </w:rPr>
              <w:t>Financing Activities:</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29"/>
        </w:trPr>
        <w:tc>
          <w:tcPr>
            <w:tcW w:w="7360" w:type="dxa"/>
            <w:vAlign w:val="bottom"/>
          </w:tcPr>
          <w:p>
            <w:pPr>
              <w:ind w:left="120"/>
              <w:spacing w:after="0"/>
              <w:rPr>
                <w:sz w:val="20"/>
                <w:szCs w:val="20"/>
                <w:color w:val="auto"/>
              </w:rPr>
            </w:pPr>
            <w:r>
              <w:rPr>
                <w:rFonts w:ascii="Arial" w:cs="Arial" w:eastAsia="Arial" w:hAnsi="Arial"/>
                <w:sz w:val="16"/>
                <w:szCs w:val="16"/>
                <w:color w:val="auto"/>
              </w:rPr>
              <w:t>Repayment of long-term debt obligations</w:t>
            </w:r>
          </w:p>
        </w:tc>
        <w:tc>
          <w:tcPr>
            <w:tcW w:w="1880" w:type="dxa"/>
            <w:vAlign w:val="bottom"/>
          </w:tcPr>
          <w:p>
            <w:pPr>
              <w:jc w:val="right"/>
              <w:spacing w:after="0"/>
              <w:rPr>
                <w:sz w:val="20"/>
                <w:szCs w:val="20"/>
                <w:color w:val="auto"/>
              </w:rPr>
            </w:pPr>
            <w:r>
              <w:rPr>
                <w:rFonts w:ascii="Arial" w:cs="Arial" w:eastAsia="Arial" w:hAnsi="Arial"/>
                <w:sz w:val="16"/>
                <w:szCs w:val="16"/>
                <w:color w:val="auto"/>
              </w:rPr>
              <w:t>(95.9)</w:t>
            </w:r>
          </w:p>
        </w:tc>
        <w:tc>
          <w:tcPr>
            <w:tcW w:w="1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(216.8)</w:t>
            </w:r>
          </w:p>
        </w:tc>
      </w:tr>
      <w:tr>
        <w:trPr>
          <w:trHeight w:val="230"/>
        </w:trPr>
        <w:tc>
          <w:tcPr>
            <w:tcW w:w="7360" w:type="dxa"/>
            <w:vAlign w:val="bottom"/>
          </w:tcPr>
          <w:p>
            <w:pPr>
              <w:ind w:left="120"/>
              <w:spacing w:after="0"/>
              <w:rPr>
                <w:sz w:val="20"/>
                <w:szCs w:val="20"/>
                <w:color w:val="auto"/>
              </w:rPr>
            </w:pPr>
            <w:r>
              <w:rPr>
                <w:rFonts w:ascii="Arial" w:cs="Arial" w:eastAsia="Arial" w:hAnsi="Arial"/>
                <w:sz w:val="16"/>
                <w:szCs w:val="16"/>
                <w:color w:val="auto"/>
              </w:rPr>
              <w:t>Payment of contingent consideration</w:t>
            </w:r>
          </w:p>
        </w:tc>
        <w:tc>
          <w:tcPr>
            <w:tcW w:w="1880" w:type="dxa"/>
            <w:vAlign w:val="bottom"/>
          </w:tcPr>
          <w:p>
            <w:pPr>
              <w:jc w:val="right"/>
              <w:spacing w:after="0"/>
              <w:rPr>
                <w:sz w:val="20"/>
                <w:szCs w:val="20"/>
                <w:color w:val="auto"/>
              </w:rPr>
            </w:pPr>
            <w:r>
              <w:rPr>
                <w:rFonts w:ascii="Arial" w:cs="Arial" w:eastAsia="Arial" w:hAnsi="Arial"/>
                <w:sz w:val="16"/>
                <w:szCs w:val="16"/>
                <w:color w:val="auto"/>
              </w:rPr>
              <w:t>(50.4)</w:t>
            </w:r>
          </w:p>
        </w:tc>
        <w:tc>
          <w:tcPr>
            <w:tcW w:w="1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7360" w:type="dxa"/>
            <w:vAlign w:val="bottom"/>
          </w:tcPr>
          <w:p>
            <w:pPr>
              <w:ind w:left="120"/>
              <w:spacing w:after="0"/>
              <w:rPr>
                <w:sz w:val="20"/>
                <w:szCs w:val="20"/>
                <w:color w:val="auto"/>
              </w:rPr>
            </w:pPr>
            <w:r>
              <w:rPr>
                <w:rFonts w:ascii="Arial" w:cs="Arial" w:eastAsia="Arial" w:hAnsi="Arial"/>
                <w:sz w:val="16"/>
                <w:szCs w:val="16"/>
                <w:color w:val="auto"/>
              </w:rPr>
              <w:t>Shares repurchased from employees for minimum tax withholding</w:t>
            </w:r>
          </w:p>
        </w:tc>
        <w:tc>
          <w:tcPr>
            <w:tcW w:w="1880" w:type="dxa"/>
            <w:vAlign w:val="bottom"/>
          </w:tcPr>
          <w:p>
            <w:pPr>
              <w:jc w:val="right"/>
              <w:spacing w:after="0"/>
              <w:rPr>
                <w:sz w:val="20"/>
                <w:szCs w:val="20"/>
                <w:color w:val="auto"/>
              </w:rPr>
            </w:pPr>
            <w:r>
              <w:rPr>
                <w:rFonts w:ascii="Arial" w:cs="Arial" w:eastAsia="Arial" w:hAnsi="Arial"/>
                <w:sz w:val="16"/>
                <w:szCs w:val="16"/>
                <w:color w:val="auto"/>
              </w:rPr>
              <w:t>(11.7)</w:t>
            </w:r>
          </w:p>
        </w:tc>
        <w:tc>
          <w:tcPr>
            <w:tcW w:w="1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230"/>
        </w:trPr>
        <w:tc>
          <w:tcPr>
            <w:tcW w:w="7360" w:type="dxa"/>
            <w:vAlign w:val="bottom"/>
          </w:tcPr>
          <w:p>
            <w:pPr>
              <w:ind w:left="120"/>
              <w:spacing w:after="0"/>
              <w:rPr>
                <w:sz w:val="20"/>
                <w:szCs w:val="20"/>
                <w:color w:val="auto"/>
              </w:rPr>
            </w:pPr>
            <w:r>
              <w:rPr>
                <w:rFonts w:ascii="Arial" w:cs="Arial" w:eastAsia="Arial" w:hAnsi="Arial"/>
                <w:sz w:val="16"/>
                <w:szCs w:val="16"/>
                <w:color w:val="auto"/>
              </w:rPr>
              <w:t>Other, net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20"/>
                <w:szCs w:val="20"/>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r>
      <w:tr>
        <w:trPr>
          <w:trHeight w:val="223"/>
        </w:trPr>
        <w:tc>
          <w:tcPr>
            <w:tcW w:w="7360" w:type="dxa"/>
            <w:vAlign w:val="bottom"/>
          </w:tcPr>
          <w:p>
            <w:pPr>
              <w:ind w:left="40"/>
              <w:spacing w:after="0"/>
              <w:rPr>
                <w:sz w:val="20"/>
                <w:szCs w:val="20"/>
                <w:color w:val="auto"/>
              </w:rPr>
            </w:pPr>
            <w:r>
              <w:rPr>
                <w:rFonts w:ascii="Arial" w:cs="Arial" w:eastAsia="Arial" w:hAnsi="Arial"/>
                <w:sz w:val="16"/>
                <w:szCs w:val="16"/>
                <w:color w:val="060606"/>
              </w:rPr>
              <w:t>Net cash used in financing activities</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(153.6)</w:t>
            </w:r>
          </w:p>
        </w:tc>
        <w:tc>
          <w:tcPr>
            <w:tcW w:w="100" w:type="dxa"/>
            <w:vAlign w:val="bottom"/>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(222.8)</w:t>
            </w:r>
          </w:p>
        </w:tc>
      </w:tr>
      <w:tr>
        <w:trPr>
          <w:trHeight w:val="223"/>
        </w:trPr>
        <w:tc>
          <w:tcPr>
            <w:tcW w:w="7360" w:type="dxa"/>
            <w:vAlign w:val="bottom"/>
          </w:tcPr>
          <w:p>
            <w:pPr>
              <w:spacing w:after="0"/>
              <w:rPr>
                <w:sz w:val="20"/>
                <w:szCs w:val="20"/>
                <w:color w:val="auto"/>
              </w:rPr>
            </w:pPr>
            <w:r>
              <w:rPr>
                <w:rFonts w:ascii="Arial" w:cs="Arial" w:eastAsia="Arial" w:hAnsi="Arial"/>
                <w:sz w:val="16"/>
                <w:szCs w:val="16"/>
                <w:color w:val="auto"/>
              </w:rPr>
              <w:t>Effect of exchange rate changes on cash, cash equivalents, and restricted cash</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w:t>
            </w:r>
          </w:p>
        </w:tc>
      </w:tr>
      <w:tr>
        <w:trPr>
          <w:trHeight w:val="222"/>
        </w:trPr>
        <w:tc>
          <w:tcPr>
            <w:tcW w:w="7360" w:type="dxa"/>
            <w:vAlign w:val="bottom"/>
          </w:tcPr>
          <w:p>
            <w:pPr>
              <w:spacing w:after="0"/>
              <w:rPr>
                <w:sz w:val="20"/>
                <w:szCs w:val="20"/>
                <w:color w:val="auto"/>
              </w:rPr>
            </w:pPr>
            <w:r>
              <w:rPr>
                <w:rFonts w:ascii="Arial" w:cs="Arial" w:eastAsia="Arial" w:hAnsi="Arial"/>
                <w:sz w:val="16"/>
                <w:szCs w:val="16"/>
                <w:color w:val="060606"/>
              </w:rPr>
              <w:t>Net decrease in cash, cash equivalents, and restricted cash</w:t>
            </w:r>
          </w:p>
        </w:tc>
        <w:tc>
          <w:tcPr>
            <w:tcW w:w="1880" w:type="dxa"/>
            <w:vAlign w:val="bottom"/>
          </w:tcPr>
          <w:p>
            <w:pPr>
              <w:jc w:val="right"/>
              <w:spacing w:after="0"/>
              <w:rPr>
                <w:sz w:val="20"/>
                <w:szCs w:val="20"/>
                <w:color w:val="auto"/>
              </w:rPr>
            </w:pPr>
            <w:r>
              <w:rPr>
                <w:rFonts w:ascii="Arial" w:cs="Arial" w:eastAsia="Arial" w:hAnsi="Arial"/>
                <w:sz w:val="16"/>
                <w:szCs w:val="16"/>
                <w:color w:val="auto"/>
              </w:rPr>
              <w:t>(72.1)</w:t>
            </w:r>
          </w:p>
        </w:tc>
        <w:tc>
          <w:tcPr>
            <w:tcW w:w="1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(77.5)</w:t>
            </w:r>
          </w:p>
        </w:tc>
      </w:tr>
      <w:tr>
        <w:trPr>
          <w:trHeight w:val="230"/>
        </w:trPr>
        <w:tc>
          <w:tcPr>
            <w:tcW w:w="7360" w:type="dxa"/>
            <w:vAlign w:val="bottom"/>
          </w:tcPr>
          <w:p>
            <w:pPr>
              <w:spacing w:after="0"/>
              <w:rPr>
                <w:sz w:val="20"/>
                <w:szCs w:val="20"/>
                <w:color w:val="auto"/>
              </w:rPr>
            </w:pPr>
            <w:r>
              <w:rPr>
                <w:rFonts w:ascii="Arial" w:cs="Arial" w:eastAsia="Arial" w:hAnsi="Arial"/>
                <w:sz w:val="16"/>
                <w:szCs w:val="16"/>
                <w:color w:val="auto"/>
              </w:rPr>
              <w:t>Cash, cash equivalents, and restricted cash at beginning of period</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635.6</w:t>
            </w:r>
          </w:p>
        </w:tc>
        <w:tc>
          <w:tcPr>
            <w:tcW w:w="100" w:type="dxa"/>
            <w:vAlign w:val="bottom"/>
          </w:tcPr>
          <w:p>
            <w:pPr>
              <w:spacing w:after="0"/>
              <w:rPr>
                <w:sz w:val="20"/>
                <w:szCs w:val="20"/>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723.6</w:t>
            </w:r>
          </w:p>
        </w:tc>
      </w:tr>
      <w:tr>
        <w:trPr>
          <w:trHeight w:val="224"/>
        </w:trPr>
        <w:tc>
          <w:tcPr>
            <w:tcW w:w="7360" w:type="dxa"/>
            <w:vAlign w:val="bottom"/>
          </w:tcPr>
          <w:p>
            <w:pPr>
              <w:spacing w:after="0"/>
              <w:rPr>
                <w:sz w:val="20"/>
                <w:szCs w:val="20"/>
                <w:color w:val="auto"/>
              </w:rPr>
            </w:pPr>
            <w:r>
              <w:rPr>
                <w:rFonts w:ascii="Arial" w:cs="Arial" w:eastAsia="Arial" w:hAnsi="Arial"/>
                <w:sz w:val="16"/>
                <w:szCs w:val="16"/>
                <w:color w:val="auto"/>
              </w:rPr>
              <w:t>Cash and cash equivalents at end of period</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$563.5</w:t>
            </w:r>
          </w:p>
        </w:tc>
        <w:tc>
          <w:tcPr>
            <w:tcW w:w="100" w:type="dxa"/>
            <w:vAlign w:val="bottom"/>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$646.1</w:t>
            </w:r>
          </w:p>
        </w:tc>
      </w:tr>
      <w:tr>
        <w:trPr>
          <w:trHeight w:val="21"/>
        </w:trPr>
        <w:tc>
          <w:tcPr>
            <w:tcW w:w="736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pacing w:after="0"/>
        <w:tabs>
          <w:tab w:leader="none" w:pos="260" w:val="left"/>
        </w:tabs>
        <w:rPr>
          <w:sz w:val="20"/>
          <w:szCs w:val="20"/>
          <w:color w:val="auto"/>
        </w:rPr>
      </w:pPr>
      <w:r>
        <w:rPr>
          <w:rFonts w:ascii="Arial" w:cs="Arial" w:eastAsia="Arial" w:hAnsi="Arial"/>
          <w:sz w:val="16"/>
          <w:szCs w:val="16"/>
          <w:color w:val="060606"/>
        </w:rPr>
        <w:t>•</w:t>
        <w:tab/>
        <w:t>Numbers may not add precisely due to rounding.</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1"/>
          <w:szCs w:val="21"/>
          <w:color w:val="060606"/>
        </w:rPr>
        <w:t>19</w:t>
      </w:r>
    </w:p>
    <w:p>
      <w:pPr>
        <w:sectPr>
          <w:pgSz w:w="11900" w:h="16838" w:orient="portrait"/>
          <w:cols w:equalWidth="0" w:num="1">
            <w:col w:w="11240"/>
          </w:cols>
          <w:pgMar w:left="320" w:top="1440" w:right="339" w:bottom="1440" w:gutter="0" w:footer="0" w:header="0"/>
          <w:type w:val="continuous"/>
        </w:sectPr>
      </w:pPr>
    </w:p>
    <w:bookmarkStart w:id="22" w:name="page23"/>
    <w:bookmarkEnd w:id="22"/>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20" w:right="5320"/>
        <w:spacing w:after="0" w:line="264" w:lineRule="auto"/>
        <w:rPr>
          <w:sz w:val="20"/>
          <w:szCs w:val="20"/>
          <w:color w:val="auto"/>
        </w:rPr>
      </w:pPr>
      <w:r>
        <w:rPr>
          <w:rFonts w:ascii="Arial" w:cs="Arial" w:eastAsia="Arial" w:hAnsi="Arial"/>
          <w:sz w:val="14"/>
          <w:szCs w:val="14"/>
          <w:color w:val="060606"/>
        </w:rPr>
        <w:t>COMPUTATION OF BASIC AND DILUTED EARNINGS (LOSS) PER SHARE - UNAUDITED (In millions, except for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tbl>
      <w:tblPr>
        <w:tblLayout w:type="fixed"/>
        <w:tblInd w:w="40" w:type="dxa"/>
        <w:tblCellMar>
          <w:top w:w="0" w:type="dxa"/>
          <w:left w:w="0" w:type="dxa"/>
          <w:bottom w:w="0" w:type="dxa"/>
          <w:right w:w="0" w:type="dxa"/>
        </w:tblCellMar>
      </w:tblPr>
      <w:tr>
        <w:trPr>
          <w:trHeight w:val="159"/>
        </w:trPr>
        <w:tc>
          <w:tcPr>
            <w:tcW w:w="5940" w:type="dxa"/>
            <w:vAlign w:val="bottom"/>
          </w:tcPr>
          <w:p>
            <w:pPr>
              <w:spacing w:after="0"/>
              <w:rPr>
                <w:sz w:val="13"/>
                <w:szCs w:val="13"/>
                <w:color w:val="auto"/>
              </w:rPr>
            </w:pPr>
          </w:p>
        </w:tc>
        <w:tc>
          <w:tcPr>
            <w:tcW w:w="2140" w:type="dxa"/>
            <w:vAlign w:val="bottom"/>
            <w:gridSpan w:val="4"/>
          </w:tcPr>
          <w:p>
            <w:pPr>
              <w:jc w:val="center"/>
              <w:ind w:left="328"/>
              <w:spacing w:after="0" w:line="159" w:lineRule="exact"/>
              <w:rPr>
                <w:sz w:val="20"/>
                <w:szCs w:val="20"/>
                <w:color w:val="auto"/>
              </w:rPr>
            </w:pPr>
            <w:r>
              <w:rPr>
                <w:rFonts w:ascii="Arial" w:cs="Arial" w:eastAsia="Arial" w:hAnsi="Arial"/>
                <w:sz w:val="14"/>
                <w:szCs w:val="14"/>
                <w:color w:val="auto"/>
              </w:rPr>
              <w:t>Three Months Ended</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580" w:type="dxa"/>
            <w:vAlign w:val="bottom"/>
            <w:gridSpan w:val="4"/>
          </w:tcPr>
          <w:p>
            <w:pPr>
              <w:jc w:val="center"/>
              <w:spacing w:after="0" w:line="159" w:lineRule="exact"/>
              <w:rPr>
                <w:sz w:val="20"/>
                <w:szCs w:val="20"/>
                <w:color w:val="auto"/>
              </w:rPr>
            </w:pPr>
            <w:r>
              <w:rPr>
                <w:rFonts w:ascii="Arial" w:cs="Arial" w:eastAsia="Arial" w:hAnsi="Arial"/>
                <w:sz w:val="14"/>
                <w:szCs w:val="14"/>
                <w:color w:val="auto"/>
              </w:rPr>
              <w:t>Nine Months Ended</w:t>
            </w:r>
          </w:p>
        </w:tc>
      </w:tr>
      <w:tr>
        <w:trPr>
          <w:trHeight w:val="185"/>
        </w:trPr>
        <w:tc>
          <w:tcPr>
            <w:tcW w:w="594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center"/>
              <w:ind w:right="288"/>
              <w:spacing w:after="0"/>
              <w:rPr>
                <w:sz w:val="20"/>
                <w:szCs w:val="20"/>
                <w:color w:val="auto"/>
              </w:rPr>
            </w:pPr>
            <w:r>
              <w:rPr>
                <w:rFonts w:ascii="Arial" w:cs="Arial" w:eastAsia="Arial" w:hAnsi="Arial"/>
                <w:sz w:val="14"/>
                <w:szCs w:val="14"/>
                <w:color w:val="auto"/>
              </w:rPr>
              <w:t>September 30,</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tcBorders>
              <w:bottom w:val="single" w:sz="8" w:color="auto"/>
            </w:tcBorders>
            <w:gridSpan w:val="3"/>
          </w:tcPr>
          <w:p>
            <w:pPr>
              <w:jc w:val="center"/>
              <w:ind w:left="728"/>
              <w:spacing w:after="0"/>
              <w:rPr>
                <w:sz w:val="20"/>
                <w:szCs w:val="20"/>
                <w:color w:val="auto"/>
              </w:rPr>
            </w:pPr>
            <w:r>
              <w:rPr>
                <w:rFonts w:ascii="Arial" w:cs="Arial" w:eastAsia="Arial" w:hAnsi="Arial"/>
                <w:sz w:val="14"/>
                <w:szCs w:val="14"/>
                <w:color w:val="auto"/>
              </w:rPr>
              <w:t>September 30,</w:t>
            </w:r>
          </w:p>
        </w:tc>
        <w:tc>
          <w:tcPr>
            <w:tcW w:w="800" w:type="dxa"/>
            <w:vAlign w:val="bottom"/>
            <w:tcBorders>
              <w:bottom w:val="single" w:sz="8" w:color="auto"/>
            </w:tcBorders>
          </w:tcPr>
          <w:p>
            <w:pPr>
              <w:spacing w:after="0"/>
              <w:rPr>
                <w:sz w:val="16"/>
                <w:szCs w:val="16"/>
                <w:color w:val="auto"/>
              </w:rPr>
            </w:pPr>
          </w:p>
        </w:tc>
      </w:tr>
      <w:tr>
        <w:trPr>
          <w:trHeight w:val="205"/>
        </w:trPr>
        <w:tc>
          <w:tcPr>
            <w:tcW w:w="5940" w:type="dxa"/>
            <w:vAlign w:val="bottom"/>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2026</w:t>
            </w:r>
          </w:p>
        </w:tc>
        <w:tc>
          <w:tcPr>
            <w:tcW w:w="4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2025</w:t>
            </w:r>
          </w:p>
        </w:tc>
        <w:tc>
          <w:tcPr>
            <w:tcW w:w="4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2026</w:t>
            </w:r>
          </w:p>
        </w:tc>
        <w:tc>
          <w:tcPr>
            <w:tcW w:w="1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2025</w:t>
            </w:r>
          </w:p>
        </w:tc>
      </w:tr>
      <w:tr>
        <w:trPr>
          <w:trHeight w:val="192"/>
        </w:trPr>
        <w:tc>
          <w:tcPr>
            <w:tcW w:w="6740" w:type="dxa"/>
            <w:vAlign w:val="bottom"/>
            <w:gridSpan w:val="2"/>
          </w:tcPr>
          <w:p>
            <w:pPr>
              <w:spacing w:after="0"/>
              <w:rPr>
                <w:sz w:val="20"/>
                <w:szCs w:val="20"/>
                <w:color w:val="auto"/>
              </w:rPr>
            </w:pPr>
            <w:r>
              <w:rPr>
                <w:rFonts w:ascii="Arial" w:cs="Arial" w:eastAsia="Arial" w:hAnsi="Arial"/>
                <w:sz w:val="14"/>
                <w:szCs w:val="14"/>
                <w:color w:val="auto"/>
              </w:rPr>
              <w:t>Numerator:</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16"/>
        </w:trPr>
        <w:tc>
          <w:tcPr>
            <w:tcW w:w="6740" w:type="dxa"/>
            <w:vAlign w:val="bottom"/>
            <w:gridSpan w:val="2"/>
          </w:tcPr>
          <w:p>
            <w:pPr>
              <w:spacing w:after="0"/>
              <w:rPr>
                <w:sz w:val="20"/>
                <w:szCs w:val="20"/>
                <w:color w:val="auto"/>
              </w:rPr>
            </w:pPr>
            <w:r>
              <w:rPr>
                <w:rFonts w:ascii="Arial" w:cs="Arial" w:eastAsia="Arial" w:hAnsi="Arial"/>
                <w:sz w:val="14"/>
                <w:szCs w:val="14"/>
                <w:color w:val="auto"/>
              </w:rPr>
              <w:t>Net income (loss) - basic</w:t>
            </w:r>
          </w:p>
        </w:tc>
        <w:tc>
          <w:tcPr>
            <w:tcW w:w="440" w:type="dxa"/>
            <w:vAlign w:val="bottom"/>
          </w:tcPr>
          <w:p>
            <w:pPr>
              <w:jc w:val="right"/>
              <w:spacing w:after="0"/>
              <w:rPr>
                <w:sz w:val="20"/>
                <w:szCs w:val="20"/>
                <w:color w:val="auto"/>
              </w:rPr>
            </w:pPr>
            <w:r>
              <w:rPr>
                <w:rFonts w:ascii="Arial" w:cs="Arial" w:eastAsia="Arial" w:hAnsi="Arial"/>
                <w:sz w:val="14"/>
                <w:szCs w:val="14"/>
                <w:color w:val="060606"/>
              </w:rPr>
              <w:t>$34.3</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jc w:val="right"/>
              <w:ind w:right="8"/>
              <w:spacing w:after="0"/>
              <w:rPr>
                <w:sz w:val="20"/>
                <w:szCs w:val="20"/>
                <w:color w:val="auto"/>
              </w:rPr>
            </w:pPr>
            <w:r>
              <w:rPr>
                <w:rFonts w:ascii="Arial" w:cs="Arial" w:eastAsia="Arial" w:hAnsi="Arial"/>
                <w:sz w:val="14"/>
                <w:szCs w:val="14"/>
                <w:color w:val="060606"/>
                <w:w w:val="96"/>
              </w:rPr>
              <w:t>$26.8</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060606"/>
              </w:rPr>
              <w:t>$165.2</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060606"/>
              </w:rPr>
              <w:t>($273.4)</w:t>
            </w:r>
          </w:p>
        </w:tc>
      </w:tr>
      <w:tr>
        <w:trPr>
          <w:trHeight w:val="220"/>
        </w:trPr>
        <w:tc>
          <w:tcPr>
            <w:tcW w:w="5940" w:type="dxa"/>
            <w:vAlign w:val="bottom"/>
          </w:tcPr>
          <w:p>
            <w:pPr>
              <w:spacing w:after="0"/>
              <w:rPr>
                <w:sz w:val="20"/>
                <w:szCs w:val="20"/>
                <w:color w:val="auto"/>
              </w:rPr>
            </w:pPr>
            <w:r>
              <w:rPr>
                <w:rFonts w:ascii="Arial" w:cs="Arial" w:eastAsia="Arial" w:hAnsi="Arial"/>
                <w:sz w:val="14"/>
                <w:szCs w:val="14"/>
                <w:color w:val="auto"/>
              </w:rPr>
              <w:t xml:space="preserve">Less: Gain on 2029 Notes conversion option change in fair value, net of tax </w:t>
            </w:r>
            <w:r>
              <w:rPr>
                <w:rFonts w:ascii="Arial" w:cs="Arial" w:eastAsia="Arial" w:hAnsi="Arial"/>
                <w:sz w:val="9"/>
                <w:szCs w:val="9"/>
                <w:color w:val="auto"/>
              </w:rPr>
              <w:t>(1)</w:t>
            </w:r>
          </w:p>
        </w:tc>
        <w:tc>
          <w:tcPr>
            <w:tcW w:w="8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(28.2)</w:t>
            </w:r>
          </w:p>
        </w:tc>
        <w:tc>
          <w:tcPr>
            <w:tcW w:w="10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09"/>
        </w:trPr>
        <w:tc>
          <w:tcPr>
            <w:tcW w:w="5940" w:type="dxa"/>
            <w:vAlign w:val="bottom"/>
          </w:tcPr>
          <w:p>
            <w:pPr>
              <w:spacing w:after="0"/>
              <w:rPr>
                <w:sz w:val="20"/>
                <w:szCs w:val="20"/>
                <w:color w:val="auto"/>
              </w:rPr>
            </w:pPr>
            <w:r>
              <w:rPr>
                <w:rFonts w:ascii="Arial" w:cs="Arial" w:eastAsia="Arial" w:hAnsi="Arial"/>
                <w:sz w:val="14"/>
                <w:szCs w:val="14"/>
                <w:color w:val="auto"/>
              </w:rPr>
              <w:t>Net income (loss) - diluted</w:t>
            </w:r>
          </w:p>
        </w:tc>
        <w:tc>
          <w:tcPr>
            <w:tcW w:w="8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060606"/>
              </w:rPr>
              <w:t>$6.1</w:t>
            </w:r>
          </w:p>
        </w:tc>
        <w:tc>
          <w:tcPr>
            <w:tcW w:w="10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060606"/>
                <w:w w:val="96"/>
              </w:rPr>
              <w:t>$26.8</w:t>
            </w:r>
          </w:p>
        </w:tc>
        <w:tc>
          <w:tcPr>
            <w:tcW w:w="100" w:type="dxa"/>
            <w:vAlign w:val="bottom"/>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060606"/>
              </w:rPr>
              <w:t>$165.2</w:t>
            </w:r>
          </w:p>
        </w:tc>
        <w:tc>
          <w:tcPr>
            <w:tcW w:w="1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060606"/>
              </w:rPr>
              <w:t>($273.4)</w:t>
            </w:r>
          </w:p>
        </w:tc>
      </w:tr>
      <w:tr>
        <w:trPr>
          <w:trHeight w:val="24"/>
        </w:trPr>
        <w:tc>
          <w:tcPr>
            <w:tcW w:w="594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445"/>
        </w:trPr>
        <w:tc>
          <w:tcPr>
            <w:tcW w:w="6740" w:type="dxa"/>
            <w:vAlign w:val="bottom"/>
            <w:gridSpan w:val="2"/>
          </w:tcPr>
          <w:p>
            <w:pPr>
              <w:spacing w:after="0"/>
              <w:rPr>
                <w:sz w:val="20"/>
                <w:szCs w:val="20"/>
                <w:color w:val="auto"/>
              </w:rPr>
            </w:pPr>
            <w:r>
              <w:rPr>
                <w:rFonts w:ascii="Arial" w:cs="Arial" w:eastAsia="Arial" w:hAnsi="Arial"/>
                <w:sz w:val="14"/>
                <w:szCs w:val="14"/>
                <w:color w:val="auto"/>
              </w:rPr>
              <w:t>Denominator:</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16"/>
        </w:trPr>
        <w:tc>
          <w:tcPr>
            <w:tcW w:w="6740" w:type="dxa"/>
            <w:vAlign w:val="bottom"/>
            <w:gridSpan w:val="2"/>
          </w:tcPr>
          <w:p>
            <w:pPr>
              <w:spacing w:after="0"/>
              <w:rPr>
                <w:sz w:val="20"/>
                <w:szCs w:val="20"/>
                <w:color w:val="auto"/>
              </w:rPr>
            </w:pPr>
            <w:r>
              <w:rPr>
                <w:rFonts w:ascii="Arial" w:cs="Arial" w:eastAsia="Arial" w:hAnsi="Arial"/>
                <w:sz w:val="14"/>
                <w:szCs w:val="14"/>
                <w:color w:val="auto"/>
              </w:rPr>
              <w:t>Basic weighted average shares outstanding</w:t>
            </w:r>
          </w:p>
        </w:tc>
        <w:tc>
          <w:tcPr>
            <w:tcW w:w="440" w:type="dxa"/>
            <w:vAlign w:val="bottom"/>
          </w:tcPr>
          <w:p>
            <w:pPr>
              <w:jc w:val="right"/>
              <w:spacing w:after="0"/>
              <w:rPr>
                <w:sz w:val="20"/>
                <w:szCs w:val="20"/>
                <w:color w:val="auto"/>
              </w:rPr>
            </w:pPr>
            <w:r>
              <w:rPr>
                <w:rFonts w:ascii="Arial" w:cs="Arial" w:eastAsia="Arial" w:hAnsi="Arial"/>
                <w:sz w:val="14"/>
                <w:szCs w:val="14"/>
                <w:color w:val="auto"/>
              </w:rPr>
              <w:t>55.1</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jc w:val="right"/>
              <w:ind w:right="8"/>
              <w:spacing w:after="0"/>
              <w:rPr>
                <w:sz w:val="20"/>
                <w:szCs w:val="20"/>
                <w:color w:val="auto"/>
              </w:rPr>
            </w:pPr>
            <w:r>
              <w:rPr>
                <w:rFonts w:ascii="Arial" w:cs="Arial" w:eastAsia="Arial" w:hAnsi="Arial"/>
                <w:sz w:val="14"/>
                <w:szCs w:val="14"/>
                <w:color w:val="auto"/>
              </w:rPr>
              <w:t>54.6</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54.9</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54.5</w:t>
            </w:r>
          </w:p>
        </w:tc>
      </w:tr>
      <w:tr>
        <w:trPr>
          <w:trHeight w:val="216"/>
        </w:trPr>
        <w:tc>
          <w:tcPr>
            <w:tcW w:w="6740" w:type="dxa"/>
            <w:vAlign w:val="bottom"/>
            <w:gridSpan w:val="2"/>
          </w:tcPr>
          <w:p>
            <w:pPr>
              <w:spacing w:after="0"/>
              <w:rPr>
                <w:sz w:val="20"/>
                <w:szCs w:val="20"/>
                <w:color w:val="auto"/>
              </w:rPr>
            </w:pPr>
            <w:r>
              <w:rPr>
                <w:rFonts w:ascii="Arial" w:cs="Arial" w:eastAsia="Arial" w:hAnsi="Arial"/>
                <w:sz w:val="14"/>
                <w:szCs w:val="14"/>
                <w:color w:val="auto"/>
              </w:rPr>
              <w:t>Add: Dilutive effect of share-based compensation</w:t>
            </w:r>
          </w:p>
        </w:tc>
        <w:tc>
          <w:tcPr>
            <w:tcW w:w="440" w:type="dxa"/>
            <w:vAlign w:val="bottom"/>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jc w:val="right"/>
              <w:ind w:right="8"/>
              <w:spacing w:after="0"/>
              <w:rPr>
                <w:sz w:val="20"/>
                <w:szCs w:val="20"/>
                <w:color w:val="auto"/>
              </w:rPr>
            </w:pPr>
            <w:r>
              <w:rPr>
                <w:rFonts w:ascii="Arial" w:cs="Arial" w:eastAsia="Arial" w:hAnsi="Arial"/>
                <w:sz w:val="14"/>
                <w:szCs w:val="14"/>
                <w:color w:val="auto"/>
              </w:rPr>
              <w:t>0.5</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0"/>
        </w:trPr>
        <w:tc>
          <w:tcPr>
            <w:tcW w:w="5940" w:type="dxa"/>
            <w:vAlign w:val="bottom"/>
          </w:tcPr>
          <w:p>
            <w:pPr>
              <w:spacing w:after="0"/>
              <w:rPr>
                <w:sz w:val="20"/>
                <w:szCs w:val="20"/>
                <w:color w:val="auto"/>
              </w:rPr>
            </w:pPr>
            <w:r>
              <w:rPr>
                <w:rFonts w:ascii="Arial" w:cs="Arial" w:eastAsia="Arial" w:hAnsi="Arial"/>
                <w:sz w:val="14"/>
                <w:szCs w:val="14"/>
                <w:color w:val="auto"/>
              </w:rPr>
              <w:t xml:space="preserve">Add: Dilutive effect of convertible debt instrument </w:t>
            </w:r>
            <w:r>
              <w:rPr>
                <w:rFonts w:ascii="Arial" w:cs="Arial" w:eastAsia="Arial" w:hAnsi="Arial"/>
                <w:sz w:val="9"/>
                <w:szCs w:val="9"/>
                <w:color w:val="auto"/>
              </w:rPr>
              <w:t>(1)</w:t>
            </w:r>
          </w:p>
        </w:tc>
        <w:tc>
          <w:tcPr>
            <w:tcW w:w="8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09"/>
        </w:trPr>
        <w:tc>
          <w:tcPr>
            <w:tcW w:w="6740" w:type="dxa"/>
            <w:vAlign w:val="bottom"/>
            <w:gridSpan w:val="2"/>
          </w:tcPr>
          <w:p>
            <w:pPr>
              <w:spacing w:after="0"/>
              <w:rPr>
                <w:sz w:val="20"/>
                <w:szCs w:val="20"/>
                <w:color w:val="auto"/>
              </w:rPr>
            </w:pPr>
            <w:r>
              <w:rPr>
                <w:rFonts w:ascii="Arial" w:cs="Arial" w:eastAsia="Arial" w:hAnsi="Arial"/>
                <w:sz w:val="14"/>
                <w:szCs w:val="14"/>
                <w:color w:val="auto"/>
              </w:rPr>
              <w:t>Diluted weighted average shares outstanding</w:t>
            </w:r>
          </w:p>
        </w:tc>
        <w:tc>
          <w:tcPr>
            <w:tcW w:w="440" w:type="dxa"/>
            <w:vAlign w:val="bottom"/>
          </w:tcPr>
          <w:p>
            <w:pPr>
              <w:jc w:val="right"/>
              <w:spacing w:after="0"/>
              <w:rPr>
                <w:sz w:val="20"/>
                <w:szCs w:val="20"/>
                <w:color w:val="auto"/>
              </w:rPr>
            </w:pPr>
            <w:r>
              <w:rPr>
                <w:rFonts w:ascii="Arial" w:cs="Arial" w:eastAsia="Arial" w:hAnsi="Arial"/>
                <w:sz w:val="14"/>
                <w:szCs w:val="14"/>
                <w:color w:val="auto"/>
              </w:rPr>
              <w:t>57.4</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jc w:val="right"/>
              <w:ind w:right="8"/>
              <w:spacing w:after="0"/>
              <w:rPr>
                <w:sz w:val="20"/>
                <w:szCs w:val="20"/>
                <w:color w:val="auto"/>
              </w:rPr>
            </w:pPr>
            <w:r>
              <w:rPr>
                <w:rFonts w:ascii="Arial" w:cs="Arial" w:eastAsia="Arial" w:hAnsi="Arial"/>
                <w:sz w:val="14"/>
                <w:szCs w:val="14"/>
                <w:color w:val="auto"/>
              </w:rPr>
              <w:t>55.2</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56.3</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54.5</w:t>
            </w:r>
          </w:p>
        </w:tc>
      </w:tr>
      <w:tr>
        <w:trPr>
          <w:trHeight w:val="25"/>
        </w:trPr>
        <w:tc>
          <w:tcPr>
            <w:tcW w:w="5940" w:type="dxa"/>
            <w:vAlign w:val="bottom"/>
          </w:tcPr>
          <w:p>
            <w:pPr>
              <w:spacing w:after="0"/>
              <w:rPr>
                <w:sz w:val="2"/>
                <w:szCs w:val="2"/>
                <w:color w:val="auto"/>
              </w:rPr>
            </w:pPr>
          </w:p>
        </w:tc>
        <w:tc>
          <w:tcPr>
            <w:tcW w:w="800" w:type="dxa"/>
            <w:vAlign w:val="bottom"/>
            <w:tcBorders>
              <w:top w:val="single" w:sz="8" w:color="auto"/>
              <w:bottom w:val="single" w:sz="8" w:color="auto"/>
            </w:tcBorders>
          </w:tcPr>
          <w:p>
            <w:pPr>
              <w:spacing w:after="0"/>
              <w:rPr>
                <w:sz w:val="2"/>
                <w:szCs w:val="2"/>
                <w:color w:val="auto"/>
              </w:rPr>
            </w:pPr>
          </w:p>
        </w:tc>
        <w:tc>
          <w:tcPr>
            <w:tcW w:w="4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top w:val="single" w:sz="8" w:color="auto"/>
              <w:bottom w:val="single" w:sz="8" w:color="auto"/>
            </w:tcBorders>
          </w:tcPr>
          <w:p>
            <w:pPr>
              <w:spacing w:after="0"/>
              <w:rPr>
                <w:sz w:val="2"/>
                <w:szCs w:val="2"/>
                <w:color w:val="auto"/>
              </w:rPr>
            </w:pPr>
          </w:p>
        </w:tc>
        <w:tc>
          <w:tcPr>
            <w:tcW w:w="4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top w:val="single" w:sz="8" w:color="auto"/>
              <w:bottom w:val="single" w:sz="8" w:color="auto"/>
            </w:tcBorders>
          </w:tcPr>
          <w:p>
            <w:pPr>
              <w:spacing w:after="0"/>
              <w:rPr>
                <w:sz w:val="2"/>
                <w:szCs w:val="2"/>
                <w:color w:val="auto"/>
              </w:rPr>
            </w:pPr>
          </w:p>
        </w:tc>
        <w:tc>
          <w:tcPr>
            <w:tcW w:w="800" w:type="dxa"/>
            <w:vAlign w:val="bottom"/>
            <w:tcBorders>
              <w:top w:val="single" w:sz="8" w:color="auto"/>
              <w:bottom w:val="single" w:sz="8" w:color="auto"/>
            </w:tcBorders>
          </w:tcPr>
          <w:p>
            <w:pPr>
              <w:spacing w:after="0"/>
              <w:rPr>
                <w:sz w:val="2"/>
                <w:szCs w:val="2"/>
                <w:color w:val="auto"/>
              </w:rPr>
            </w:pPr>
          </w:p>
        </w:tc>
      </w:tr>
      <w:tr>
        <w:trPr>
          <w:trHeight w:val="390"/>
        </w:trPr>
        <w:tc>
          <w:tcPr>
            <w:tcW w:w="6740" w:type="dxa"/>
            <w:vAlign w:val="bottom"/>
            <w:gridSpan w:val="2"/>
          </w:tcPr>
          <w:p>
            <w:pPr>
              <w:spacing w:after="0"/>
              <w:rPr>
                <w:sz w:val="20"/>
                <w:szCs w:val="20"/>
                <w:color w:val="auto"/>
              </w:rPr>
            </w:pPr>
            <w:r>
              <w:rPr>
                <w:rFonts w:ascii="Arial" w:cs="Arial" w:eastAsia="Arial" w:hAnsi="Arial"/>
                <w:sz w:val="14"/>
                <w:szCs w:val="14"/>
                <w:color w:val="auto"/>
              </w:rPr>
              <w:t>Earnings (Loss) Per Share:</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16"/>
        </w:trPr>
        <w:tc>
          <w:tcPr>
            <w:tcW w:w="6740" w:type="dxa"/>
            <w:vAlign w:val="bottom"/>
            <w:gridSpan w:val="2"/>
          </w:tcPr>
          <w:p>
            <w:pPr>
              <w:spacing w:after="0"/>
              <w:rPr>
                <w:sz w:val="20"/>
                <w:szCs w:val="20"/>
                <w:color w:val="auto"/>
              </w:rPr>
            </w:pPr>
            <w:r>
              <w:rPr>
                <w:rFonts w:ascii="Arial" w:cs="Arial" w:eastAsia="Arial" w:hAnsi="Arial"/>
                <w:sz w:val="14"/>
                <w:szCs w:val="14"/>
                <w:color w:val="auto"/>
              </w:rPr>
              <w:t>Basic</w:t>
            </w:r>
          </w:p>
        </w:tc>
        <w:tc>
          <w:tcPr>
            <w:tcW w:w="440" w:type="dxa"/>
            <w:vAlign w:val="bottom"/>
          </w:tcPr>
          <w:p>
            <w:pPr>
              <w:jc w:val="right"/>
              <w:spacing w:after="0"/>
              <w:rPr>
                <w:sz w:val="20"/>
                <w:szCs w:val="20"/>
                <w:color w:val="auto"/>
              </w:rPr>
            </w:pPr>
            <w:r>
              <w:rPr>
                <w:rFonts w:ascii="Arial" w:cs="Arial" w:eastAsia="Arial" w:hAnsi="Arial"/>
                <w:sz w:val="14"/>
                <w:szCs w:val="14"/>
                <w:color w:val="060606"/>
              </w:rPr>
              <w:t>$0.62</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jc w:val="right"/>
              <w:ind w:right="8"/>
              <w:spacing w:after="0"/>
              <w:rPr>
                <w:sz w:val="20"/>
                <w:szCs w:val="20"/>
                <w:color w:val="auto"/>
              </w:rPr>
            </w:pPr>
            <w:r>
              <w:rPr>
                <w:rFonts w:ascii="Arial" w:cs="Arial" w:eastAsia="Arial" w:hAnsi="Arial"/>
                <w:sz w:val="14"/>
                <w:szCs w:val="14"/>
                <w:color w:val="060606"/>
                <w:w w:val="96"/>
              </w:rPr>
              <w:t>$0.49</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060606"/>
              </w:rPr>
              <w:t>$3.01</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060606"/>
              </w:rPr>
              <w:t>($5.01)</w:t>
            </w:r>
          </w:p>
        </w:tc>
      </w:tr>
      <w:tr>
        <w:trPr>
          <w:trHeight w:val="216"/>
        </w:trPr>
        <w:tc>
          <w:tcPr>
            <w:tcW w:w="6740" w:type="dxa"/>
            <w:vAlign w:val="bottom"/>
            <w:gridSpan w:val="2"/>
          </w:tcPr>
          <w:p>
            <w:pPr>
              <w:spacing w:after="0"/>
              <w:rPr>
                <w:sz w:val="20"/>
                <w:szCs w:val="20"/>
                <w:color w:val="auto"/>
              </w:rPr>
            </w:pPr>
            <w:r>
              <w:rPr>
                <w:rFonts w:ascii="Arial" w:cs="Arial" w:eastAsia="Arial" w:hAnsi="Arial"/>
                <w:sz w:val="14"/>
                <w:szCs w:val="14"/>
                <w:color w:val="auto"/>
              </w:rPr>
              <w:t>Diluted</w:t>
            </w:r>
          </w:p>
        </w:tc>
        <w:tc>
          <w:tcPr>
            <w:tcW w:w="440" w:type="dxa"/>
            <w:vAlign w:val="bottom"/>
          </w:tcPr>
          <w:p>
            <w:pPr>
              <w:jc w:val="right"/>
              <w:spacing w:after="0"/>
              <w:rPr>
                <w:sz w:val="20"/>
                <w:szCs w:val="20"/>
                <w:color w:val="auto"/>
              </w:rPr>
            </w:pPr>
            <w:r>
              <w:rPr>
                <w:rFonts w:ascii="Arial" w:cs="Arial" w:eastAsia="Arial" w:hAnsi="Arial"/>
                <w:sz w:val="14"/>
                <w:szCs w:val="14"/>
                <w:color w:val="060606"/>
              </w:rPr>
              <w:t>$0.11</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jc w:val="right"/>
              <w:ind w:right="8"/>
              <w:spacing w:after="0"/>
              <w:rPr>
                <w:sz w:val="20"/>
                <w:szCs w:val="20"/>
                <w:color w:val="auto"/>
              </w:rPr>
            </w:pPr>
            <w:r>
              <w:rPr>
                <w:rFonts w:ascii="Arial" w:cs="Arial" w:eastAsia="Arial" w:hAnsi="Arial"/>
                <w:sz w:val="14"/>
                <w:szCs w:val="14"/>
                <w:color w:val="060606"/>
                <w:w w:val="96"/>
              </w:rPr>
              <w:t>$0.49</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060606"/>
              </w:rPr>
              <w:t>$2.93</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060606"/>
              </w:rPr>
              <w:t>($5.01)</w:t>
            </w:r>
          </w:p>
        </w:tc>
      </w:tr>
    </w:tbl>
    <w:p>
      <w:pPr>
        <w:spacing w:after="0" w:line="196" w:lineRule="exact"/>
        <w:rPr>
          <w:sz w:val="20"/>
          <w:szCs w:val="20"/>
          <w:color w:val="auto"/>
        </w:rPr>
      </w:pPr>
    </w:p>
    <w:p>
      <w:pPr>
        <w:jc w:val="both"/>
        <w:ind w:left="340" w:hanging="332"/>
        <w:spacing w:after="0" w:line="243" w:lineRule="auto"/>
        <w:tabs>
          <w:tab w:leader="none" w:pos="333" w:val="left"/>
        </w:tabs>
        <w:numPr>
          <w:ilvl w:val="0"/>
          <w:numId w:val="18"/>
        </w:numPr>
        <w:rPr>
          <w:rFonts w:ascii="Arial" w:cs="Arial" w:eastAsia="Arial" w:hAnsi="Arial"/>
          <w:sz w:val="21"/>
          <w:szCs w:val="21"/>
          <w:color w:val="060606"/>
          <w:vertAlign w:val="superscript"/>
        </w:rPr>
      </w:pPr>
      <w:r>
        <w:rPr>
          <w:rFonts w:ascii="Arial" w:cs="Arial" w:eastAsia="Arial" w:hAnsi="Arial"/>
          <w:sz w:val="16"/>
          <w:szCs w:val="16"/>
          <w:color w:val="060606"/>
        </w:rPr>
        <w:t>For the three months ended September 30, 2025, and for the nine months ended September 30, 2026 and 2025, the 2029 Notes were outstanding and potentially dilutive securities but were excluded from the computation of diluted earnings (loss) per share because their effect would have been anti-dilutive under the if-converted method.</w:t>
      </w:r>
    </w:p>
    <w:p>
      <w:pPr>
        <w:spacing w:after="0" w:line="3" w:lineRule="exact"/>
        <w:rPr>
          <w:sz w:val="20"/>
          <w:szCs w:val="20"/>
          <w:color w:val="auto"/>
        </w:rPr>
      </w:pPr>
    </w:p>
    <w:p>
      <w:pPr>
        <w:ind w:left="280" w:hanging="272"/>
        <w:spacing w:after="0"/>
        <w:tabs>
          <w:tab w:leader="none" w:pos="280" w:val="left"/>
        </w:tabs>
        <w:numPr>
          <w:ilvl w:val="0"/>
          <w:numId w:val="19"/>
        </w:numPr>
        <w:rPr>
          <w:rFonts w:ascii="Arial" w:cs="Arial" w:eastAsia="Arial" w:hAnsi="Arial"/>
          <w:sz w:val="16"/>
          <w:szCs w:val="16"/>
          <w:color w:val="060606"/>
        </w:rPr>
      </w:pPr>
      <w:r>
        <w:rPr>
          <w:rFonts w:ascii="Arial" w:cs="Arial" w:eastAsia="Arial" w:hAnsi="Arial"/>
          <w:sz w:val="16"/>
          <w:szCs w:val="16"/>
          <w:color w:val="060606"/>
        </w:rPr>
        <w:t>Numbers may not add precisely due to rounding.</w:t>
      </w:r>
    </w:p>
    <w:p>
      <w:pPr>
        <w:spacing w:after="0" w:line="173" w:lineRule="exact"/>
        <w:rPr>
          <w:sz w:val="20"/>
          <w:szCs w:val="20"/>
          <w:color w:val="auto"/>
        </w:rPr>
      </w:pPr>
    </w:p>
    <w:p>
      <w:pPr>
        <w:ind w:left="20"/>
        <w:spacing w:after="0"/>
        <w:rPr>
          <w:sz w:val="20"/>
          <w:szCs w:val="20"/>
          <w:color w:val="auto"/>
        </w:rPr>
      </w:pPr>
      <w:r>
        <w:rPr>
          <w:rFonts w:ascii="Arial" w:cs="Arial" w:eastAsia="Arial" w:hAnsi="Arial"/>
          <w:sz w:val="14"/>
          <w:szCs w:val="14"/>
          <w:color w:val="060606"/>
        </w:rPr>
        <w:t>RECONCILIATION OF GAAP TO NON-GAAP FINANCIAL MEASURES - UNAUDITED</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4"/>
          <w:szCs w:val="14"/>
          <w:color w:val="060606"/>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2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5"/>
          </w:tcPr>
          <w:p>
            <w:pPr>
              <w:jc w:val="center"/>
              <w:ind w:right="80"/>
              <w:spacing w:after="0"/>
              <w:rPr>
                <w:sz w:val="20"/>
                <w:szCs w:val="20"/>
                <w:color w:val="auto"/>
              </w:rPr>
            </w:pPr>
            <w:r>
              <w:rPr>
                <w:rFonts w:ascii="Arial" w:cs="Arial" w:eastAsia="Arial" w:hAnsi="Arial"/>
                <w:sz w:val="14"/>
                <w:szCs w:val="14"/>
                <w:color w:val="060606"/>
              </w:rPr>
              <w:t>Three Months Ended September 30,</w:t>
            </w: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r>
      <w:tr>
        <w:trPr>
          <w:trHeight w:val="209"/>
        </w:trPr>
        <w:tc>
          <w:tcPr>
            <w:tcW w:w="3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060606"/>
              </w:rPr>
              <w:t>2026</w:t>
            </w: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060606"/>
              </w:rPr>
              <w:t>2025</w:t>
            </w: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r>
      <w:tr>
        <w:trPr>
          <w:trHeight w:val="164"/>
        </w:trPr>
        <w:tc>
          <w:tcPr>
            <w:tcW w:w="3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60" w:type="dxa"/>
            <w:vAlign w:val="bottom"/>
            <w:gridSpan w:val="3"/>
          </w:tcPr>
          <w:p>
            <w:pPr>
              <w:jc w:val="center"/>
              <w:ind w:right="100"/>
              <w:spacing w:after="0"/>
              <w:rPr>
                <w:sz w:val="20"/>
                <w:szCs w:val="20"/>
                <w:color w:val="auto"/>
              </w:rPr>
            </w:pPr>
            <w:r>
              <w:rPr>
                <w:rFonts w:ascii="Arial" w:cs="Arial" w:eastAsia="Arial" w:hAnsi="Arial"/>
                <w:sz w:val="14"/>
                <w:szCs w:val="14"/>
                <w:color w:val="060606"/>
              </w:rPr>
              <w:t>GAAP Financial</w:t>
            </w:r>
          </w:p>
        </w:tc>
        <w:tc>
          <w:tcPr>
            <w:tcW w:w="20" w:type="dxa"/>
            <w:vAlign w:val="bottom"/>
          </w:tcPr>
          <w:p>
            <w:pPr>
              <w:spacing w:after="0"/>
              <w:rPr>
                <w:sz w:val="14"/>
                <w:szCs w:val="14"/>
                <w:color w:val="auto"/>
              </w:rPr>
            </w:pPr>
          </w:p>
        </w:tc>
        <w:tc>
          <w:tcPr>
            <w:tcW w:w="1260" w:type="dxa"/>
            <w:vAlign w:val="bottom"/>
            <w:gridSpan w:val="3"/>
          </w:tcPr>
          <w:p>
            <w:pPr>
              <w:jc w:val="center"/>
              <w:ind w:right="100"/>
              <w:spacing w:after="0"/>
              <w:rPr>
                <w:sz w:val="20"/>
                <w:szCs w:val="20"/>
                <w:color w:val="auto"/>
              </w:rPr>
            </w:pPr>
            <w:r>
              <w:rPr>
                <w:rFonts w:ascii="Arial" w:cs="Arial" w:eastAsia="Arial" w:hAnsi="Arial"/>
                <w:sz w:val="14"/>
                <w:szCs w:val="14"/>
                <w:color w:val="060606"/>
                <w:w w:val="99"/>
              </w:rPr>
              <w:t>Certain Tax</w:t>
            </w:r>
          </w:p>
        </w:tc>
        <w:tc>
          <w:tcPr>
            <w:tcW w:w="20" w:type="dxa"/>
            <w:vAlign w:val="bottom"/>
          </w:tcPr>
          <w:p>
            <w:pPr>
              <w:spacing w:after="0"/>
              <w:rPr>
                <w:sz w:val="14"/>
                <w:szCs w:val="14"/>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4"/>
                <w:szCs w:val="14"/>
                <w:color w:val="060606"/>
              </w:rPr>
              <w:t>Adjusted Financial</w:t>
            </w:r>
          </w:p>
        </w:tc>
        <w:tc>
          <w:tcPr>
            <w:tcW w:w="20" w:type="dxa"/>
            <w:vAlign w:val="bottom"/>
          </w:tcPr>
          <w:p>
            <w:pPr>
              <w:spacing w:after="0"/>
              <w:rPr>
                <w:sz w:val="14"/>
                <w:szCs w:val="14"/>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color w:val="060606"/>
              </w:rPr>
              <w:t>GAAP Financial</w:t>
            </w:r>
          </w:p>
        </w:tc>
        <w:tc>
          <w:tcPr>
            <w:tcW w:w="1300" w:type="dxa"/>
            <w:vAlign w:val="bottom"/>
            <w:gridSpan w:val="2"/>
          </w:tcPr>
          <w:p>
            <w:pPr>
              <w:jc w:val="center"/>
              <w:ind w:right="80"/>
              <w:spacing w:after="0"/>
              <w:rPr>
                <w:sz w:val="20"/>
                <w:szCs w:val="20"/>
                <w:color w:val="auto"/>
              </w:rPr>
            </w:pPr>
            <w:r>
              <w:rPr>
                <w:rFonts w:ascii="Arial" w:cs="Arial" w:eastAsia="Arial" w:hAnsi="Arial"/>
                <w:sz w:val="14"/>
                <w:szCs w:val="14"/>
                <w:color w:val="060606"/>
              </w:rPr>
              <w:t>Certain Tax</w:t>
            </w:r>
          </w:p>
        </w:tc>
        <w:tc>
          <w:tcPr>
            <w:tcW w:w="1300" w:type="dxa"/>
            <w:vAlign w:val="bottom"/>
          </w:tcPr>
          <w:p>
            <w:pPr>
              <w:jc w:val="center"/>
              <w:spacing w:after="0"/>
              <w:rPr>
                <w:sz w:val="20"/>
                <w:szCs w:val="20"/>
                <w:color w:val="auto"/>
              </w:rPr>
            </w:pPr>
            <w:r>
              <w:rPr>
                <w:rFonts w:ascii="Arial" w:cs="Arial" w:eastAsia="Arial" w:hAnsi="Arial"/>
                <w:sz w:val="14"/>
                <w:szCs w:val="14"/>
                <w:color w:val="060606"/>
              </w:rPr>
              <w:t>Adjusted Financial</w:t>
            </w:r>
          </w:p>
        </w:tc>
      </w:tr>
      <w:tr>
        <w:trPr>
          <w:trHeight w:val="185"/>
        </w:trPr>
        <w:tc>
          <w:tcPr>
            <w:tcW w:w="32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060606"/>
              </w:rPr>
              <w:t>Measures</w:t>
            </w:r>
          </w:p>
        </w:tc>
        <w:tc>
          <w:tcPr>
            <w:tcW w:w="80" w:type="dxa"/>
            <w:vAlign w:val="bottom"/>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060606"/>
              </w:rPr>
              <w:t>Adjustments</w:t>
            </w:r>
          </w:p>
        </w:tc>
        <w:tc>
          <w:tcPr>
            <w:tcW w:w="80" w:type="dxa"/>
            <w:vAlign w:val="bottom"/>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060606"/>
              </w:rPr>
              <w:t>Measures</w:t>
            </w: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060606"/>
              </w:rPr>
              <w:t>Measures</w:t>
            </w:r>
          </w:p>
        </w:tc>
        <w:tc>
          <w:tcPr>
            <w:tcW w:w="80" w:type="dxa"/>
            <w:vAlign w:val="bottom"/>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060606"/>
              </w:rPr>
              <w:t>Adjustments</w:t>
            </w:r>
          </w:p>
        </w:tc>
        <w:tc>
          <w:tcPr>
            <w:tcW w:w="100" w:type="dxa"/>
            <w:vAlign w:val="bottom"/>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060606"/>
              </w:rPr>
              <w:t>Measures</w:t>
            </w:r>
          </w:p>
        </w:tc>
      </w:tr>
      <w:tr>
        <w:trPr>
          <w:trHeight w:val="201"/>
        </w:trPr>
        <w:tc>
          <w:tcPr>
            <w:tcW w:w="3200" w:type="dxa"/>
            <w:vAlign w:val="bottom"/>
          </w:tcPr>
          <w:p>
            <w:pPr>
              <w:ind w:left="20"/>
              <w:spacing w:after="0"/>
              <w:rPr>
                <w:sz w:val="20"/>
                <w:szCs w:val="20"/>
                <w:color w:val="auto"/>
              </w:rPr>
            </w:pPr>
            <w:r>
              <w:rPr>
                <w:rFonts w:ascii="Arial" w:cs="Arial" w:eastAsia="Arial" w:hAnsi="Arial"/>
                <w:sz w:val="14"/>
                <w:szCs w:val="14"/>
                <w:color w:val="060606"/>
              </w:rPr>
              <w:t>Income before income tax</w:t>
            </w:r>
          </w:p>
        </w:tc>
        <w:tc>
          <w:tcPr>
            <w:tcW w:w="1300" w:type="dxa"/>
            <w:vAlign w:val="bottom"/>
            <w:gridSpan w:val="2"/>
          </w:tcPr>
          <w:p>
            <w:pPr>
              <w:jc w:val="right"/>
              <w:ind w:right="108"/>
              <w:spacing w:after="0"/>
              <w:rPr>
                <w:sz w:val="20"/>
                <w:szCs w:val="20"/>
                <w:color w:val="auto"/>
              </w:rPr>
            </w:pPr>
            <w:r>
              <w:rPr>
                <w:rFonts w:ascii="Arial" w:cs="Arial" w:eastAsia="Arial" w:hAnsi="Arial"/>
                <w:sz w:val="14"/>
                <w:szCs w:val="14"/>
                <w:color w:val="060606"/>
              </w:rPr>
              <w:t>$46.8</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gridSpan w:val="3"/>
          </w:tcPr>
          <w:p>
            <w:pPr>
              <w:jc w:val="right"/>
              <w:ind w:right="140"/>
              <w:spacing w:after="0"/>
              <w:rPr>
                <w:sz w:val="20"/>
                <w:szCs w:val="20"/>
                <w:color w:val="auto"/>
              </w:rPr>
            </w:pPr>
            <w:r>
              <w:rPr>
                <w:rFonts w:ascii="Arial" w:cs="Arial" w:eastAsia="Arial" w:hAnsi="Arial"/>
                <w:sz w:val="14"/>
                <w:szCs w:val="14"/>
                <w:color w:val="060606"/>
              </w:rPr>
              <w:t>$—</w:t>
            </w:r>
          </w:p>
        </w:tc>
        <w:tc>
          <w:tcPr>
            <w:tcW w:w="1320" w:type="dxa"/>
            <w:vAlign w:val="bottom"/>
            <w:gridSpan w:val="2"/>
          </w:tcPr>
          <w:p>
            <w:pPr>
              <w:jc w:val="right"/>
              <w:ind w:right="128"/>
              <w:spacing w:after="0"/>
              <w:rPr>
                <w:sz w:val="20"/>
                <w:szCs w:val="20"/>
                <w:color w:val="auto"/>
              </w:rPr>
            </w:pPr>
            <w:r>
              <w:rPr>
                <w:rFonts w:ascii="Arial" w:cs="Arial" w:eastAsia="Arial" w:hAnsi="Arial"/>
                <w:sz w:val="14"/>
                <w:szCs w:val="14"/>
                <w:color w:val="060606"/>
              </w:rPr>
              <w:t>$92.3</w:t>
            </w:r>
          </w:p>
        </w:tc>
        <w:tc>
          <w:tcPr>
            <w:tcW w:w="80" w:type="dxa"/>
            <w:vAlign w:val="bottom"/>
          </w:tcPr>
          <w:p>
            <w:pPr>
              <w:spacing w:after="0"/>
              <w:rPr>
                <w:sz w:val="17"/>
                <w:szCs w:val="17"/>
                <w:color w:val="auto"/>
              </w:rPr>
            </w:pPr>
          </w:p>
        </w:tc>
        <w:tc>
          <w:tcPr>
            <w:tcW w:w="1300" w:type="dxa"/>
            <w:vAlign w:val="bottom"/>
            <w:gridSpan w:val="2"/>
          </w:tcPr>
          <w:p>
            <w:pPr>
              <w:jc w:val="right"/>
              <w:ind w:right="108"/>
              <w:spacing w:after="0"/>
              <w:rPr>
                <w:sz w:val="20"/>
                <w:szCs w:val="20"/>
                <w:color w:val="auto"/>
              </w:rPr>
            </w:pPr>
            <w:r>
              <w:rPr>
                <w:rFonts w:ascii="Arial" w:cs="Arial" w:eastAsia="Arial" w:hAnsi="Arial"/>
                <w:sz w:val="14"/>
                <w:szCs w:val="14"/>
                <w:color w:val="060606"/>
              </w:rPr>
              <w:t>$33.9</w:t>
            </w:r>
          </w:p>
        </w:tc>
        <w:tc>
          <w:tcPr>
            <w:tcW w:w="8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060606"/>
              </w:rPr>
              <w:t>$—</w:t>
            </w:r>
          </w:p>
        </w:tc>
        <w:tc>
          <w:tcPr>
            <w:tcW w:w="1300" w:type="dxa"/>
            <w:vAlign w:val="bottom"/>
          </w:tcPr>
          <w:p>
            <w:pPr>
              <w:jc w:val="right"/>
              <w:ind w:right="108"/>
              <w:spacing w:after="0"/>
              <w:rPr>
                <w:sz w:val="20"/>
                <w:szCs w:val="20"/>
                <w:color w:val="auto"/>
              </w:rPr>
            </w:pPr>
            <w:r>
              <w:rPr>
                <w:rFonts w:ascii="Arial" w:cs="Arial" w:eastAsia="Arial" w:hAnsi="Arial"/>
                <w:sz w:val="14"/>
                <w:szCs w:val="14"/>
                <w:color w:val="060606"/>
              </w:rPr>
              <w:t>$78.9</w:t>
            </w:r>
          </w:p>
        </w:tc>
      </w:tr>
      <w:tr>
        <w:trPr>
          <w:trHeight w:val="216"/>
        </w:trPr>
        <w:tc>
          <w:tcPr>
            <w:tcW w:w="3200" w:type="dxa"/>
            <w:vAlign w:val="bottom"/>
          </w:tcPr>
          <w:p>
            <w:pPr>
              <w:ind w:left="20"/>
              <w:spacing w:after="0"/>
              <w:rPr>
                <w:sz w:val="20"/>
                <w:szCs w:val="20"/>
                <w:color w:val="auto"/>
              </w:rPr>
            </w:pPr>
            <w:r>
              <w:rPr>
                <w:rFonts w:ascii="Arial" w:cs="Arial" w:eastAsia="Arial" w:hAnsi="Arial"/>
                <w:sz w:val="14"/>
                <w:szCs w:val="14"/>
                <w:color w:val="060606"/>
              </w:rPr>
              <w:t>Income tax expense</w:t>
            </w:r>
          </w:p>
        </w:tc>
        <w:tc>
          <w:tcPr>
            <w:tcW w:w="1300" w:type="dxa"/>
            <w:vAlign w:val="bottom"/>
            <w:gridSpan w:val="2"/>
          </w:tcPr>
          <w:p>
            <w:pPr>
              <w:jc w:val="right"/>
              <w:ind w:right="108"/>
              <w:spacing w:after="0"/>
              <w:rPr>
                <w:sz w:val="20"/>
                <w:szCs w:val="20"/>
                <w:color w:val="auto"/>
              </w:rPr>
            </w:pPr>
            <w:r>
              <w:rPr>
                <w:rFonts w:ascii="Arial" w:cs="Arial" w:eastAsia="Arial" w:hAnsi="Arial"/>
                <w:sz w:val="14"/>
                <w:szCs w:val="14"/>
                <w:color w:val="060606"/>
              </w:rPr>
              <w:t>12.4</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4"/>
                <w:szCs w:val="14"/>
                <w:color w:val="060606"/>
              </w:rPr>
              <w:t>9.1</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20" w:type="dxa"/>
            <w:vAlign w:val="bottom"/>
            <w:gridSpan w:val="2"/>
          </w:tcPr>
          <w:p>
            <w:pPr>
              <w:jc w:val="right"/>
              <w:ind w:right="128"/>
              <w:spacing w:after="0"/>
              <w:rPr>
                <w:sz w:val="20"/>
                <w:szCs w:val="20"/>
                <w:color w:val="auto"/>
              </w:rPr>
            </w:pPr>
            <w:r>
              <w:rPr>
                <w:rFonts w:ascii="Arial" w:cs="Arial" w:eastAsia="Arial" w:hAnsi="Arial"/>
                <w:sz w:val="14"/>
                <w:szCs w:val="14"/>
                <w:color w:val="060606"/>
              </w:rPr>
              <w:t>21.5</w:t>
            </w:r>
          </w:p>
        </w:tc>
        <w:tc>
          <w:tcPr>
            <w:tcW w:w="80" w:type="dxa"/>
            <w:vAlign w:val="bottom"/>
          </w:tcPr>
          <w:p>
            <w:pPr>
              <w:spacing w:after="0"/>
              <w:rPr>
                <w:sz w:val="18"/>
                <w:szCs w:val="18"/>
                <w:color w:val="auto"/>
              </w:rPr>
            </w:pPr>
          </w:p>
        </w:tc>
        <w:tc>
          <w:tcPr>
            <w:tcW w:w="1300" w:type="dxa"/>
            <w:vAlign w:val="bottom"/>
            <w:gridSpan w:val="2"/>
          </w:tcPr>
          <w:p>
            <w:pPr>
              <w:jc w:val="right"/>
              <w:ind w:right="108"/>
              <w:spacing w:after="0"/>
              <w:rPr>
                <w:sz w:val="20"/>
                <w:szCs w:val="20"/>
                <w:color w:val="auto"/>
              </w:rPr>
            </w:pPr>
            <w:r>
              <w:rPr>
                <w:rFonts w:ascii="Arial" w:cs="Arial" w:eastAsia="Arial" w:hAnsi="Arial"/>
                <w:sz w:val="14"/>
                <w:szCs w:val="14"/>
                <w:color w:val="060606"/>
              </w:rPr>
              <w:t>7.1</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060606"/>
              </w:rPr>
              <w:t>10.4</w:t>
            </w:r>
          </w:p>
        </w:tc>
        <w:tc>
          <w:tcPr>
            <w:tcW w:w="100" w:type="dxa"/>
            <w:vAlign w:val="bottom"/>
          </w:tcPr>
          <w:p>
            <w:pPr>
              <w:spacing w:after="0"/>
              <w:rPr>
                <w:sz w:val="18"/>
                <w:szCs w:val="18"/>
                <w:color w:val="auto"/>
              </w:rPr>
            </w:pPr>
          </w:p>
        </w:tc>
        <w:tc>
          <w:tcPr>
            <w:tcW w:w="1300" w:type="dxa"/>
            <w:vAlign w:val="bottom"/>
          </w:tcPr>
          <w:p>
            <w:pPr>
              <w:jc w:val="right"/>
              <w:ind w:right="108"/>
              <w:spacing w:after="0"/>
              <w:rPr>
                <w:sz w:val="20"/>
                <w:szCs w:val="20"/>
                <w:color w:val="auto"/>
              </w:rPr>
            </w:pPr>
            <w:r>
              <w:rPr>
                <w:rFonts w:ascii="Arial" w:cs="Arial" w:eastAsia="Arial" w:hAnsi="Arial"/>
                <w:sz w:val="14"/>
                <w:szCs w:val="14"/>
                <w:color w:val="060606"/>
              </w:rPr>
              <w:t>17.5</w:t>
            </w:r>
          </w:p>
        </w:tc>
      </w:tr>
      <w:tr>
        <w:trPr>
          <w:trHeight w:val="220"/>
        </w:trPr>
        <w:tc>
          <w:tcPr>
            <w:tcW w:w="3200" w:type="dxa"/>
            <w:vAlign w:val="bottom"/>
          </w:tcPr>
          <w:p>
            <w:pPr>
              <w:ind w:left="20"/>
              <w:spacing w:after="0"/>
              <w:rPr>
                <w:sz w:val="20"/>
                <w:szCs w:val="20"/>
                <w:color w:val="auto"/>
              </w:rPr>
            </w:pPr>
            <w:r>
              <w:rPr>
                <w:rFonts w:ascii="Arial" w:cs="Arial" w:eastAsia="Arial" w:hAnsi="Arial"/>
                <w:sz w:val="14"/>
                <w:szCs w:val="14"/>
                <w:color w:val="060606"/>
              </w:rPr>
              <w:t>Loss from equity method investments</w:t>
            </w:r>
          </w:p>
        </w:tc>
        <w:tc>
          <w:tcPr>
            <w:tcW w:w="1300" w:type="dxa"/>
            <w:vAlign w:val="bottom"/>
            <w:gridSpan w:val="2"/>
          </w:tcPr>
          <w:p>
            <w:pPr>
              <w:jc w:val="right"/>
              <w:ind w:right="68"/>
              <w:spacing w:after="0"/>
              <w:rPr>
                <w:sz w:val="20"/>
                <w:szCs w:val="20"/>
                <w:color w:val="auto"/>
              </w:rPr>
            </w:pPr>
            <w:r>
              <w:rPr>
                <w:rFonts w:ascii="Arial" w:cs="Arial" w:eastAsia="Arial" w:hAnsi="Arial"/>
                <w:sz w:val="14"/>
                <w:szCs w:val="14"/>
                <w:color w:val="060606"/>
              </w:rPr>
              <w:t>(0.1)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60" w:type="dxa"/>
            <w:vAlign w:val="bottom"/>
            <w:gridSpan w:val="3"/>
          </w:tcPr>
          <w:p>
            <w:pPr>
              <w:jc w:val="right"/>
              <w:ind w:right="140"/>
              <w:spacing w:after="0"/>
              <w:rPr>
                <w:sz w:val="20"/>
                <w:szCs w:val="20"/>
                <w:color w:val="auto"/>
              </w:rPr>
            </w:pPr>
            <w:r>
              <w:rPr>
                <w:rFonts w:ascii="Arial" w:cs="Arial" w:eastAsia="Arial" w:hAnsi="Arial"/>
                <w:sz w:val="14"/>
                <w:szCs w:val="14"/>
                <w:color w:val="060606"/>
              </w:rPr>
              <w:t>—</w:t>
            </w:r>
          </w:p>
        </w:tc>
        <w:tc>
          <w:tcPr>
            <w:tcW w:w="1320" w:type="dxa"/>
            <w:vAlign w:val="bottom"/>
            <w:gridSpan w:val="2"/>
          </w:tcPr>
          <w:p>
            <w:pPr>
              <w:jc w:val="right"/>
              <w:ind w:right="88"/>
              <w:spacing w:after="0"/>
              <w:rPr>
                <w:sz w:val="20"/>
                <w:szCs w:val="20"/>
                <w:color w:val="auto"/>
              </w:rPr>
            </w:pPr>
            <w:r>
              <w:rPr>
                <w:rFonts w:ascii="Arial" w:cs="Arial" w:eastAsia="Arial" w:hAnsi="Arial"/>
                <w:sz w:val="14"/>
                <w:szCs w:val="14"/>
                <w:color w:val="060606"/>
              </w:rPr>
              <w:t>(0.1)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4"/>
                <w:szCs w:val="14"/>
                <w:color w:val="060606"/>
              </w:rPr>
              <w:t>—</w:t>
            </w: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060606"/>
              </w:rPr>
              <w:t>—</w:t>
            </w:r>
          </w:p>
        </w:tc>
        <w:tc>
          <w:tcPr>
            <w:tcW w:w="1300" w:type="dxa"/>
            <w:vAlign w:val="bottom"/>
          </w:tcPr>
          <w:p>
            <w:pPr>
              <w:jc w:val="right"/>
              <w:ind w:right="108"/>
              <w:spacing w:after="0"/>
              <w:rPr>
                <w:sz w:val="20"/>
                <w:szCs w:val="20"/>
                <w:color w:val="auto"/>
              </w:rPr>
            </w:pPr>
            <w:r>
              <w:rPr>
                <w:rFonts w:ascii="Arial" w:cs="Arial" w:eastAsia="Arial" w:hAnsi="Arial"/>
                <w:sz w:val="14"/>
                <w:szCs w:val="14"/>
                <w:color w:val="060606"/>
              </w:rPr>
              <w:t>—</w:t>
            </w:r>
          </w:p>
        </w:tc>
      </w:tr>
      <w:tr>
        <w:trPr>
          <w:trHeight w:val="213"/>
        </w:trPr>
        <w:tc>
          <w:tcPr>
            <w:tcW w:w="3200" w:type="dxa"/>
            <w:vAlign w:val="bottom"/>
          </w:tcPr>
          <w:p>
            <w:pPr>
              <w:ind w:left="20"/>
              <w:spacing w:after="0"/>
              <w:rPr>
                <w:sz w:val="20"/>
                <w:szCs w:val="20"/>
                <w:color w:val="auto"/>
              </w:rPr>
            </w:pPr>
            <w:r>
              <w:rPr>
                <w:rFonts w:ascii="Arial" w:cs="Arial" w:eastAsia="Arial" w:hAnsi="Arial"/>
                <w:sz w:val="14"/>
                <w:szCs w:val="14"/>
                <w:color w:val="060606"/>
              </w:rPr>
              <w:t>Net income</w:t>
            </w:r>
          </w:p>
        </w:tc>
        <w:tc>
          <w:tcPr>
            <w:tcW w:w="1300" w:type="dxa"/>
            <w:vAlign w:val="bottom"/>
            <w:tcBorders>
              <w:top w:val="single" w:sz="8" w:color="auto"/>
              <w:bottom w:val="single" w:sz="8" w:color="auto"/>
            </w:tcBorders>
            <w:gridSpan w:val="2"/>
          </w:tcPr>
          <w:p>
            <w:pPr>
              <w:jc w:val="right"/>
              <w:ind w:right="108"/>
              <w:spacing w:after="0"/>
              <w:rPr>
                <w:sz w:val="20"/>
                <w:szCs w:val="20"/>
                <w:color w:val="auto"/>
              </w:rPr>
            </w:pPr>
            <w:r>
              <w:rPr>
                <w:rFonts w:ascii="Arial" w:cs="Arial" w:eastAsia="Arial" w:hAnsi="Arial"/>
                <w:sz w:val="14"/>
                <w:szCs w:val="14"/>
                <w:color w:val="060606"/>
              </w:rPr>
              <w:t>$34.3</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060606"/>
              </w:rPr>
              <w:t>($9.1)</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20" w:type="dxa"/>
            <w:vAlign w:val="bottom"/>
            <w:tcBorders>
              <w:top w:val="single" w:sz="8" w:color="auto"/>
              <w:bottom w:val="single" w:sz="8" w:color="auto"/>
            </w:tcBorders>
            <w:gridSpan w:val="2"/>
          </w:tcPr>
          <w:p>
            <w:pPr>
              <w:jc w:val="right"/>
              <w:ind w:right="128"/>
              <w:spacing w:after="0"/>
              <w:rPr>
                <w:sz w:val="20"/>
                <w:szCs w:val="20"/>
                <w:color w:val="auto"/>
              </w:rPr>
            </w:pPr>
            <w:r>
              <w:rPr>
                <w:rFonts w:ascii="Arial" w:cs="Arial" w:eastAsia="Arial" w:hAnsi="Arial"/>
                <w:sz w:val="14"/>
                <w:szCs w:val="14"/>
                <w:color w:val="060606"/>
              </w:rPr>
              <w:t>$70.7</w:t>
            </w:r>
          </w:p>
        </w:tc>
        <w:tc>
          <w:tcPr>
            <w:tcW w:w="80" w:type="dxa"/>
            <w:vAlign w:val="bottom"/>
          </w:tcPr>
          <w:p>
            <w:pPr>
              <w:spacing w:after="0"/>
              <w:rPr>
                <w:sz w:val="18"/>
                <w:szCs w:val="18"/>
                <w:color w:val="auto"/>
              </w:rPr>
            </w:pPr>
          </w:p>
        </w:tc>
        <w:tc>
          <w:tcPr>
            <w:tcW w:w="1300" w:type="dxa"/>
            <w:vAlign w:val="bottom"/>
            <w:tcBorders>
              <w:top w:val="single" w:sz="8" w:color="auto"/>
              <w:bottom w:val="single" w:sz="8" w:color="auto"/>
            </w:tcBorders>
            <w:gridSpan w:val="2"/>
          </w:tcPr>
          <w:p>
            <w:pPr>
              <w:jc w:val="right"/>
              <w:ind w:right="108"/>
              <w:spacing w:after="0"/>
              <w:rPr>
                <w:sz w:val="20"/>
                <w:szCs w:val="20"/>
                <w:color w:val="auto"/>
              </w:rPr>
            </w:pPr>
            <w:r>
              <w:rPr>
                <w:rFonts w:ascii="Arial" w:cs="Arial" w:eastAsia="Arial" w:hAnsi="Arial"/>
                <w:sz w:val="14"/>
                <w:szCs w:val="14"/>
                <w:color w:val="060606"/>
              </w:rPr>
              <w:t>$26.8</w:t>
            </w:r>
          </w:p>
        </w:tc>
        <w:tc>
          <w:tcPr>
            <w:tcW w:w="80" w:type="dxa"/>
            <w:vAlign w:val="bottom"/>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060606"/>
              </w:rPr>
              <w:t>($10.4)</w:t>
            </w:r>
          </w:p>
        </w:tc>
        <w:tc>
          <w:tcPr>
            <w:tcW w:w="100" w:type="dxa"/>
            <w:vAlign w:val="bottom"/>
          </w:tcPr>
          <w:p>
            <w:pPr>
              <w:spacing w:after="0"/>
              <w:rPr>
                <w:sz w:val="18"/>
                <w:szCs w:val="18"/>
                <w:color w:val="auto"/>
              </w:rPr>
            </w:pPr>
          </w:p>
        </w:tc>
        <w:tc>
          <w:tcPr>
            <w:tcW w:w="130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060606"/>
              </w:rPr>
              <w:t>$61.4</w:t>
            </w:r>
          </w:p>
        </w:tc>
      </w:tr>
      <w:tr>
        <w:trPr>
          <w:trHeight w:val="21"/>
        </w:trPr>
        <w:tc>
          <w:tcPr>
            <w:tcW w:w="3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01"/>
        </w:trPr>
        <w:tc>
          <w:tcPr>
            <w:tcW w:w="3200" w:type="dxa"/>
            <w:vAlign w:val="bottom"/>
          </w:tcPr>
          <w:p>
            <w:pPr>
              <w:ind w:left="20"/>
              <w:spacing w:after="0"/>
              <w:rPr>
                <w:sz w:val="20"/>
                <w:szCs w:val="20"/>
                <w:color w:val="auto"/>
              </w:rPr>
            </w:pPr>
            <w:r>
              <w:rPr>
                <w:rFonts w:ascii="Arial" w:cs="Arial" w:eastAsia="Arial" w:hAnsi="Arial"/>
                <w:sz w:val="14"/>
                <w:szCs w:val="14"/>
                <w:color w:val="060606"/>
              </w:rPr>
              <w:t>Income tax rate</w:t>
            </w:r>
          </w:p>
        </w:tc>
        <w:tc>
          <w:tcPr>
            <w:tcW w:w="1300" w:type="dxa"/>
            <w:vAlign w:val="bottom"/>
            <w:gridSpan w:val="2"/>
          </w:tcPr>
          <w:p>
            <w:pPr>
              <w:jc w:val="right"/>
              <w:spacing w:after="0"/>
              <w:rPr>
                <w:sz w:val="20"/>
                <w:szCs w:val="20"/>
                <w:color w:val="auto"/>
              </w:rPr>
            </w:pPr>
            <w:r>
              <w:rPr>
                <w:rFonts w:ascii="Arial" w:cs="Arial" w:eastAsia="Arial" w:hAnsi="Arial"/>
                <w:sz w:val="14"/>
                <w:szCs w:val="14"/>
                <w:color w:val="060606"/>
              </w:rPr>
              <w:t>26.5 %</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20" w:type="dxa"/>
            <w:vAlign w:val="bottom"/>
            <w:gridSpan w:val="2"/>
          </w:tcPr>
          <w:p>
            <w:pPr>
              <w:jc w:val="right"/>
              <w:spacing w:after="0"/>
              <w:rPr>
                <w:sz w:val="20"/>
                <w:szCs w:val="20"/>
                <w:color w:val="auto"/>
              </w:rPr>
            </w:pPr>
            <w:r>
              <w:rPr>
                <w:rFonts w:ascii="Arial" w:cs="Arial" w:eastAsia="Arial" w:hAnsi="Arial"/>
                <w:sz w:val="14"/>
                <w:szCs w:val="14"/>
                <w:color w:val="060606"/>
              </w:rPr>
              <w:t>23.3 %</w:t>
            </w:r>
          </w:p>
        </w:tc>
        <w:tc>
          <w:tcPr>
            <w:tcW w:w="80" w:type="dxa"/>
            <w:vAlign w:val="bottom"/>
          </w:tcPr>
          <w:p>
            <w:pPr>
              <w:spacing w:after="0"/>
              <w:rPr>
                <w:sz w:val="17"/>
                <w:szCs w:val="17"/>
                <w:color w:val="auto"/>
              </w:rPr>
            </w:pPr>
          </w:p>
        </w:tc>
        <w:tc>
          <w:tcPr>
            <w:tcW w:w="1300" w:type="dxa"/>
            <w:vAlign w:val="bottom"/>
            <w:gridSpan w:val="2"/>
          </w:tcPr>
          <w:p>
            <w:pPr>
              <w:jc w:val="right"/>
              <w:spacing w:after="0"/>
              <w:rPr>
                <w:sz w:val="20"/>
                <w:szCs w:val="20"/>
                <w:color w:val="auto"/>
              </w:rPr>
            </w:pPr>
            <w:r>
              <w:rPr>
                <w:rFonts w:ascii="Arial" w:cs="Arial" w:eastAsia="Arial" w:hAnsi="Arial"/>
                <w:sz w:val="14"/>
                <w:szCs w:val="14"/>
                <w:color w:val="060606"/>
              </w:rPr>
              <w:t>21.0 %</w:t>
            </w: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060606"/>
              </w:rPr>
              <w:t>22.1 %</w:t>
            </w:r>
          </w:p>
        </w:tc>
      </w:tr>
      <w:tr>
        <w:trPr>
          <w:trHeight w:val="400"/>
        </w:trPr>
        <w:tc>
          <w:tcPr>
            <w:tcW w:w="5860" w:type="dxa"/>
            <w:vAlign w:val="bottom"/>
            <w:gridSpan w:val="9"/>
          </w:tcPr>
          <w:p>
            <w:pPr>
              <w:ind w:left="20"/>
              <w:spacing w:after="0"/>
              <w:rPr>
                <w:sz w:val="20"/>
                <w:szCs w:val="20"/>
                <w:color w:val="auto"/>
              </w:rPr>
            </w:pPr>
            <w:r>
              <w:rPr>
                <w:rFonts w:ascii="Arial" w:cs="Arial" w:eastAsia="Arial" w:hAnsi="Arial"/>
                <w:sz w:val="14"/>
                <w:szCs w:val="14"/>
                <w:color w:val="060606"/>
              </w:rPr>
              <w:t>RECONCILIATION OF GAAP TO NON-GAAP FINANCIAL MEASURES - UNAUDITED</w:t>
            </w: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89"/>
        </w:trPr>
        <w:tc>
          <w:tcPr>
            <w:tcW w:w="3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060606"/>
              </w:rPr>
              <w:t>(In millions)</w:t>
            </w:r>
          </w:p>
        </w:tc>
        <w:tc>
          <w:tcPr>
            <w:tcW w:w="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r>
      <w:tr>
        <w:trPr>
          <w:trHeight w:val="206"/>
        </w:trPr>
        <w:tc>
          <w:tcPr>
            <w:tcW w:w="3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gridSpan w:val="5"/>
          </w:tcPr>
          <w:p>
            <w:pPr>
              <w:jc w:val="center"/>
              <w:ind w:right="60"/>
              <w:spacing w:after="0"/>
              <w:rPr>
                <w:sz w:val="20"/>
                <w:szCs w:val="20"/>
                <w:color w:val="auto"/>
              </w:rPr>
            </w:pPr>
            <w:r>
              <w:rPr>
                <w:rFonts w:ascii="Arial" w:cs="Arial" w:eastAsia="Arial" w:hAnsi="Arial"/>
                <w:sz w:val="14"/>
                <w:szCs w:val="14"/>
                <w:color w:val="060606"/>
              </w:rPr>
              <w:t>Nine Months Ended September 30,</w:t>
            </w:r>
          </w:p>
        </w:tc>
        <w:tc>
          <w:tcPr>
            <w:tcW w:w="1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r>
      <w:tr>
        <w:trPr>
          <w:trHeight w:val="209"/>
        </w:trPr>
        <w:tc>
          <w:tcPr>
            <w:tcW w:w="3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060606"/>
              </w:rPr>
              <w:t>2026</w:t>
            </w: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060606"/>
              </w:rPr>
              <w:t>2025</w:t>
            </w: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r>
      <w:tr>
        <w:trPr>
          <w:trHeight w:val="160"/>
        </w:trPr>
        <w:tc>
          <w:tcPr>
            <w:tcW w:w="3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60" w:type="dxa"/>
            <w:vAlign w:val="bottom"/>
            <w:gridSpan w:val="3"/>
          </w:tcPr>
          <w:p>
            <w:pPr>
              <w:jc w:val="center"/>
              <w:ind w:right="60"/>
              <w:spacing w:after="0" w:line="159" w:lineRule="exact"/>
              <w:rPr>
                <w:sz w:val="20"/>
                <w:szCs w:val="20"/>
                <w:color w:val="auto"/>
              </w:rPr>
            </w:pPr>
            <w:r>
              <w:rPr>
                <w:rFonts w:ascii="Arial" w:cs="Arial" w:eastAsia="Arial" w:hAnsi="Arial"/>
                <w:sz w:val="14"/>
                <w:szCs w:val="14"/>
                <w:color w:val="060606"/>
              </w:rPr>
              <w:t>GAAP Financial</w:t>
            </w:r>
          </w:p>
        </w:tc>
        <w:tc>
          <w:tcPr>
            <w:tcW w:w="20" w:type="dxa"/>
            <w:vAlign w:val="bottom"/>
          </w:tcPr>
          <w:p>
            <w:pPr>
              <w:spacing w:after="0"/>
              <w:rPr>
                <w:sz w:val="13"/>
                <w:szCs w:val="13"/>
                <w:color w:val="auto"/>
              </w:rPr>
            </w:pPr>
          </w:p>
        </w:tc>
        <w:tc>
          <w:tcPr>
            <w:tcW w:w="1260" w:type="dxa"/>
            <w:vAlign w:val="bottom"/>
            <w:gridSpan w:val="3"/>
          </w:tcPr>
          <w:p>
            <w:pPr>
              <w:jc w:val="center"/>
              <w:ind w:right="60"/>
              <w:spacing w:after="0" w:line="159" w:lineRule="exact"/>
              <w:rPr>
                <w:sz w:val="20"/>
                <w:szCs w:val="20"/>
                <w:color w:val="auto"/>
              </w:rPr>
            </w:pPr>
            <w:r>
              <w:rPr>
                <w:rFonts w:ascii="Arial" w:cs="Arial" w:eastAsia="Arial" w:hAnsi="Arial"/>
                <w:sz w:val="14"/>
                <w:szCs w:val="14"/>
                <w:color w:val="060606"/>
                <w:w w:val="99"/>
              </w:rPr>
              <w:t>Certain Tax</w:t>
            </w:r>
          </w:p>
        </w:tc>
        <w:tc>
          <w:tcPr>
            <w:tcW w:w="20" w:type="dxa"/>
            <w:vAlign w:val="bottom"/>
          </w:tcPr>
          <w:p>
            <w:pPr>
              <w:spacing w:after="0"/>
              <w:rPr>
                <w:sz w:val="13"/>
                <w:szCs w:val="13"/>
                <w:color w:val="auto"/>
              </w:rPr>
            </w:pPr>
          </w:p>
        </w:tc>
        <w:tc>
          <w:tcPr>
            <w:tcW w:w="1380" w:type="dxa"/>
            <w:vAlign w:val="bottom"/>
            <w:gridSpan w:val="2"/>
          </w:tcPr>
          <w:p>
            <w:pPr>
              <w:jc w:val="center"/>
              <w:ind w:right="80"/>
              <w:spacing w:after="0" w:line="159" w:lineRule="exact"/>
              <w:rPr>
                <w:sz w:val="20"/>
                <w:szCs w:val="20"/>
                <w:color w:val="auto"/>
              </w:rPr>
            </w:pPr>
            <w:r>
              <w:rPr>
                <w:rFonts w:ascii="Arial" w:cs="Arial" w:eastAsia="Arial" w:hAnsi="Arial"/>
                <w:sz w:val="14"/>
                <w:szCs w:val="14"/>
                <w:color w:val="060606"/>
              </w:rPr>
              <w:t>Adjusted Financial</w:t>
            </w:r>
          </w:p>
        </w:tc>
        <w:tc>
          <w:tcPr>
            <w:tcW w:w="20" w:type="dxa"/>
            <w:vAlign w:val="bottom"/>
          </w:tcPr>
          <w:p>
            <w:pPr>
              <w:spacing w:after="0"/>
              <w:rPr>
                <w:sz w:val="13"/>
                <w:szCs w:val="13"/>
                <w:color w:val="auto"/>
              </w:rPr>
            </w:pPr>
          </w:p>
        </w:tc>
        <w:tc>
          <w:tcPr>
            <w:tcW w:w="1360" w:type="dxa"/>
            <w:vAlign w:val="bottom"/>
            <w:gridSpan w:val="2"/>
          </w:tcPr>
          <w:p>
            <w:pPr>
              <w:jc w:val="center"/>
              <w:ind w:right="80"/>
              <w:spacing w:after="0" w:line="159" w:lineRule="exact"/>
              <w:rPr>
                <w:sz w:val="20"/>
                <w:szCs w:val="20"/>
                <w:color w:val="auto"/>
              </w:rPr>
            </w:pPr>
            <w:r>
              <w:rPr>
                <w:rFonts w:ascii="Arial" w:cs="Arial" w:eastAsia="Arial" w:hAnsi="Arial"/>
                <w:sz w:val="14"/>
                <w:szCs w:val="14"/>
                <w:color w:val="060606"/>
              </w:rPr>
              <w:t>GAAP Financial</w:t>
            </w:r>
          </w:p>
        </w:tc>
        <w:tc>
          <w:tcPr>
            <w:tcW w:w="1300" w:type="dxa"/>
            <w:vAlign w:val="bottom"/>
            <w:gridSpan w:val="2"/>
          </w:tcPr>
          <w:p>
            <w:pPr>
              <w:jc w:val="center"/>
              <w:ind w:right="80"/>
              <w:spacing w:after="0" w:line="159" w:lineRule="exact"/>
              <w:rPr>
                <w:sz w:val="20"/>
                <w:szCs w:val="20"/>
                <w:color w:val="auto"/>
              </w:rPr>
            </w:pPr>
            <w:r>
              <w:rPr>
                <w:rFonts w:ascii="Arial" w:cs="Arial" w:eastAsia="Arial" w:hAnsi="Arial"/>
                <w:sz w:val="14"/>
                <w:szCs w:val="14"/>
                <w:color w:val="060606"/>
              </w:rPr>
              <w:t>Certain Tax</w:t>
            </w:r>
          </w:p>
        </w:tc>
        <w:tc>
          <w:tcPr>
            <w:tcW w:w="1300" w:type="dxa"/>
            <w:vAlign w:val="bottom"/>
          </w:tcPr>
          <w:p>
            <w:pPr>
              <w:jc w:val="center"/>
              <w:spacing w:after="0" w:line="159" w:lineRule="exact"/>
              <w:rPr>
                <w:sz w:val="20"/>
                <w:szCs w:val="20"/>
                <w:color w:val="auto"/>
              </w:rPr>
            </w:pPr>
            <w:r>
              <w:rPr>
                <w:rFonts w:ascii="Arial" w:cs="Arial" w:eastAsia="Arial" w:hAnsi="Arial"/>
                <w:sz w:val="14"/>
                <w:szCs w:val="14"/>
                <w:color w:val="060606"/>
              </w:rPr>
              <w:t>Adjusted Financial</w:t>
            </w:r>
          </w:p>
        </w:tc>
      </w:tr>
      <w:tr>
        <w:trPr>
          <w:trHeight w:val="189"/>
        </w:trPr>
        <w:tc>
          <w:tcPr>
            <w:tcW w:w="3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060606"/>
              </w:rPr>
              <w:t>Measures</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060606"/>
              </w:rPr>
              <w:t>Adjustments</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060606"/>
              </w:rPr>
              <w:t>Measures</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060606"/>
              </w:rPr>
              <w:t>Measures</w:t>
            </w:r>
          </w:p>
        </w:tc>
        <w:tc>
          <w:tcPr>
            <w:tcW w:w="80" w:type="dxa"/>
            <w:vAlign w:val="bottom"/>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060606"/>
              </w:rPr>
              <w:t>Adjustments</w:t>
            </w:r>
          </w:p>
        </w:tc>
        <w:tc>
          <w:tcPr>
            <w:tcW w:w="100" w:type="dxa"/>
            <w:vAlign w:val="bottom"/>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060606"/>
              </w:rPr>
              <w:t>Measures</w:t>
            </w:r>
          </w:p>
        </w:tc>
      </w:tr>
      <w:tr>
        <w:trPr>
          <w:trHeight w:val="201"/>
        </w:trPr>
        <w:tc>
          <w:tcPr>
            <w:tcW w:w="3200" w:type="dxa"/>
            <w:vAlign w:val="bottom"/>
          </w:tcPr>
          <w:p>
            <w:pPr>
              <w:ind w:left="20"/>
              <w:spacing w:after="0"/>
              <w:rPr>
                <w:sz w:val="20"/>
                <w:szCs w:val="20"/>
                <w:color w:val="auto"/>
              </w:rPr>
            </w:pPr>
            <w:r>
              <w:rPr>
                <w:rFonts w:ascii="Arial" w:cs="Arial" w:eastAsia="Arial" w:hAnsi="Arial"/>
                <w:sz w:val="14"/>
                <w:szCs w:val="14"/>
                <w:color w:val="060606"/>
              </w:rPr>
              <w:t>Income (loss) before income tax</w:t>
            </w:r>
          </w:p>
        </w:tc>
        <w:tc>
          <w:tcPr>
            <w:tcW w:w="1300" w:type="dxa"/>
            <w:vAlign w:val="bottom"/>
            <w:gridSpan w:val="2"/>
          </w:tcPr>
          <w:p>
            <w:pPr>
              <w:jc w:val="right"/>
              <w:ind w:right="108"/>
              <w:spacing w:after="0"/>
              <w:rPr>
                <w:sz w:val="20"/>
                <w:szCs w:val="20"/>
                <w:color w:val="auto"/>
              </w:rPr>
            </w:pPr>
            <w:r>
              <w:rPr>
                <w:rFonts w:ascii="Arial" w:cs="Arial" w:eastAsia="Arial" w:hAnsi="Arial"/>
                <w:sz w:val="14"/>
                <w:szCs w:val="14"/>
                <w:color w:val="060606"/>
              </w:rPr>
              <w:t>$92.7</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gridSpan w:val="3"/>
          </w:tcPr>
          <w:p>
            <w:pPr>
              <w:jc w:val="right"/>
              <w:ind w:right="120"/>
              <w:spacing w:after="0"/>
              <w:rPr>
                <w:sz w:val="20"/>
                <w:szCs w:val="20"/>
                <w:color w:val="auto"/>
              </w:rPr>
            </w:pPr>
            <w:r>
              <w:rPr>
                <w:rFonts w:ascii="Arial" w:cs="Arial" w:eastAsia="Arial" w:hAnsi="Arial"/>
                <w:sz w:val="14"/>
                <w:szCs w:val="14"/>
                <w:color w:val="060606"/>
              </w:rPr>
              <w:t>$—</w:t>
            </w:r>
          </w:p>
        </w:tc>
        <w:tc>
          <w:tcPr>
            <w:tcW w:w="1320" w:type="dxa"/>
            <w:vAlign w:val="bottom"/>
            <w:gridSpan w:val="2"/>
          </w:tcPr>
          <w:p>
            <w:pPr>
              <w:jc w:val="right"/>
              <w:ind w:right="108"/>
              <w:spacing w:after="0"/>
              <w:rPr>
                <w:sz w:val="20"/>
                <w:szCs w:val="20"/>
                <w:color w:val="auto"/>
              </w:rPr>
            </w:pPr>
            <w:r>
              <w:rPr>
                <w:rFonts w:ascii="Arial" w:cs="Arial" w:eastAsia="Arial" w:hAnsi="Arial"/>
                <w:sz w:val="14"/>
                <w:szCs w:val="14"/>
                <w:color w:val="060606"/>
              </w:rPr>
              <w:t>$255.3</w:t>
            </w:r>
          </w:p>
        </w:tc>
        <w:tc>
          <w:tcPr>
            <w:tcW w:w="80" w:type="dxa"/>
            <w:vAlign w:val="bottom"/>
          </w:tcPr>
          <w:p>
            <w:pPr>
              <w:spacing w:after="0"/>
              <w:rPr>
                <w:sz w:val="17"/>
                <w:szCs w:val="17"/>
                <w:color w:val="auto"/>
              </w:rPr>
            </w:pPr>
          </w:p>
        </w:tc>
        <w:tc>
          <w:tcPr>
            <w:tcW w:w="1300" w:type="dxa"/>
            <w:vAlign w:val="bottom"/>
            <w:gridSpan w:val="2"/>
          </w:tcPr>
          <w:p>
            <w:pPr>
              <w:jc w:val="right"/>
              <w:ind w:right="68"/>
              <w:spacing w:after="0"/>
              <w:rPr>
                <w:sz w:val="20"/>
                <w:szCs w:val="20"/>
                <w:color w:val="auto"/>
              </w:rPr>
            </w:pPr>
            <w:r>
              <w:rPr>
                <w:rFonts w:ascii="Arial" w:cs="Arial" w:eastAsia="Arial" w:hAnsi="Arial"/>
                <w:sz w:val="14"/>
                <w:szCs w:val="14"/>
                <w:color w:val="060606"/>
              </w:rPr>
              <w:t>($248.4)</w:t>
            </w:r>
          </w:p>
        </w:tc>
        <w:tc>
          <w:tcPr>
            <w:tcW w:w="8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060606"/>
              </w:rPr>
              <w:t>$—</w:t>
            </w:r>
          </w:p>
        </w:tc>
        <w:tc>
          <w:tcPr>
            <w:tcW w:w="1300" w:type="dxa"/>
            <w:vAlign w:val="bottom"/>
          </w:tcPr>
          <w:p>
            <w:pPr>
              <w:jc w:val="right"/>
              <w:ind w:right="108"/>
              <w:spacing w:after="0"/>
              <w:rPr>
                <w:sz w:val="20"/>
                <w:szCs w:val="20"/>
                <w:color w:val="auto"/>
              </w:rPr>
            </w:pPr>
            <w:r>
              <w:rPr>
                <w:rFonts w:ascii="Arial" w:cs="Arial" w:eastAsia="Arial" w:hAnsi="Arial"/>
                <w:sz w:val="14"/>
                <w:szCs w:val="14"/>
                <w:color w:val="060606"/>
              </w:rPr>
              <w:t>$215.9</w:t>
            </w:r>
          </w:p>
        </w:tc>
      </w:tr>
      <w:tr>
        <w:trPr>
          <w:trHeight w:val="216"/>
        </w:trPr>
        <w:tc>
          <w:tcPr>
            <w:tcW w:w="3200" w:type="dxa"/>
            <w:vAlign w:val="bottom"/>
          </w:tcPr>
          <w:p>
            <w:pPr>
              <w:ind w:left="20"/>
              <w:spacing w:after="0"/>
              <w:rPr>
                <w:sz w:val="20"/>
                <w:szCs w:val="20"/>
                <w:color w:val="auto"/>
              </w:rPr>
            </w:pPr>
            <w:r>
              <w:rPr>
                <w:rFonts w:ascii="Arial" w:cs="Arial" w:eastAsia="Arial" w:hAnsi="Arial"/>
                <w:sz w:val="14"/>
                <w:szCs w:val="14"/>
                <w:color w:val="060606"/>
              </w:rPr>
              <w:t>Income tax (benefit) expense</w:t>
            </w:r>
          </w:p>
        </w:tc>
        <w:tc>
          <w:tcPr>
            <w:tcW w:w="1300" w:type="dxa"/>
            <w:vAlign w:val="bottom"/>
            <w:gridSpan w:val="2"/>
          </w:tcPr>
          <w:p>
            <w:pPr>
              <w:jc w:val="right"/>
              <w:ind w:right="68"/>
              <w:spacing w:after="0"/>
              <w:rPr>
                <w:sz w:val="20"/>
                <w:szCs w:val="20"/>
                <w:color w:val="auto"/>
              </w:rPr>
            </w:pPr>
            <w:r>
              <w:rPr>
                <w:rFonts w:ascii="Arial" w:cs="Arial" w:eastAsia="Arial" w:hAnsi="Arial"/>
                <w:sz w:val="14"/>
                <w:szCs w:val="14"/>
                <w:color w:val="060606"/>
              </w:rPr>
              <w:t>(73.5)</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4"/>
                <w:szCs w:val="14"/>
                <w:color w:val="060606"/>
              </w:rPr>
              <w:t>131.5</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20" w:type="dxa"/>
            <w:vAlign w:val="bottom"/>
            <w:gridSpan w:val="2"/>
          </w:tcPr>
          <w:p>
            <w:pPr>
              <w:jc w:val="right"/>
              <w:ind w:right="108"/>
              <w:spacing w:after="0"/>
              <w:rPr>
                <w:sz w:val="20"/>
                <w:szCs w:val="20"/>
                <w:color w:val="auto"/>
              </w:rPr>
            </w:pPr>
            <w:r>
              <w:rPr>
                <w:rFonts w:ascii="Arial" w:cs="Arial" w:eastAsia="Arial" w:hAnsi="Arial"/>
                <w:sz w:val="14"/>
                <w:szCs w:val="14"/>
                <w:color w:val="060606"/>
              </w:rPr>
              <w:t>58.0</w:t>
            </w:r>
          </w:p>
        </w:tc>
        <w:tc>
          <w:tcPr>
            <w:tcW w:w="80" w:type="dxa"/>
            <w:vAlign w:val="bottom"/>
          </w:tcPr>
          <w:p>
            <w:pPr>
              <w:spacing w:after="0"/>
              <w:rPr>
                <w:sz w:val="18"/>
                <w:szCs w:val="18"/>
                <w:color w:val="auto"/>
              </w:rPr>
            </w:pPr>
          </w:p>
        </w:tc>
        <w:tc>
          <w:tcPr>
            <w:tcW w:w="1300" w:type="dxa"/>
            <w:vAlign w:val="bottom"/>
            <w:gridSpan w:val="2"/>
          </w:tcPr>
          <w:p>
            <w:pPr>
              <w:jc w:val="right"/>
              <w:ind w:right="108"/>
              <w:spacing w:after="0"/>
              <w:rPr>
                <w:sz w:val="20"/>
                <w:szCs w:val="20"/>
                <w:color w:val="auto"/>
              </w:rPr>
            </w:pPr>
            <w:r>
              <w:rPr>
                <w:rFonts w:ascii="Arial" w:cs="Arial" w:eastAsia="Arial" w:hAnsi="Arial"/>
                <w:sz w:val="14"/>
                <w:szCs w:val="14"/>
                <w:color w:val="060606"/>
              </w:rPr>
              <w:t>24.9</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060606"/>
              </w:rPr>
              <w:t>24.1</w:t>
            </w:r>
          </w:p>
        </w:tc>
        <w:tc>
          <w:tcPr>
            <w:tcW w:w="100" w:type="dxa"/>
            <w:vAlign w:val="bottom"/>
          </w:tcPr>
          <w:p>
            <w:pPr>
              <w:spacing w:after="0"/>
              <w:rPr>
                <w:sz w:val="18"/>
                <w:szCs w:val="18"/>
                <w:color w:val="auto"/>
              </w:rPr>
            </w:pPr>
          </w:p>
        </w:tc>
        <w:tc>
          <w:tcPr>
            <w:tcW w:w="1300" w:type="dxa"/>
            <w:vAlign w:val="bottom"/>
          </w:tcPr>
          <w:p>
            <w:pPr>
              <w:jc w:val="right"/>
              <w:ind w:right="108"/>
              <w:spacing w:after="0"/>
              <w:rPr>
                <w:sz w:val="20"/>
                <w:szCs w:val="20"/>
                <w:color w:val="auto"/>
              </w:rPr>
            </w:pPr>
            <w:r>
              <w:rPr>
                <w:rFonts w:ascii="Arial" w:cs="Arial" w:eastAsia="Arial" w:hAnsi="Arial"/>
                <w:sz w:val="14"/>
                <w:szCs w:val="14"/>
                <w:color w:val="060606"/>
              </w:rPr>
              <w:t>49.0</w:t>
            </w:r>
          </w:p>
        </w:tc>
      </w:tr>
      <w:tr>
        <w:trPr>
          <w:trHeight w:val="220"/>
        </w:trPr>
        <w:tc>
          <w:tcPr>
            <w:tcW w:w="3200" w:type="dxa"/>
            <w:vAlign w:val="bottom"/>
          </w:tcPr>
          <w:p>
            <w:pPr>
              <w:ind w:left="20"/>
              <w:spacing w:after="0"/>
              <w:rPr>
                <w:sz w:val="20"/>
                <w:szCs w:val="20"/>
                <w:color w:val="auto"/>
              </w:rPr>
            </w:pPr>
            <w:r>
              <w:rPr>
                <w:rFonts w:ascii="Arial" w:cs="Arial" w:eastAsia="Arial" w:hAnsi="Arial"/>
                <w:sz w:val="14"/>
                <w:szCs w:val="14"/>
                <w:color w:val="060606"/>
              </w:rPr>
              <w:t>Loss from equity method investments</w:t>
            </w:r>
          </w:p>
        </w:tc>
        <w:tc>
          <w:tcPr>
            <w:tcW w:w="20" w:type="dxa"/>
            <w:vAlign w:val="bottom"/>
          </w:tcPr>
          <w:p>
            <w:pPr>
              <w:spacing w:after="0"/>
              <w:rPr>
                <w:sz w:val="19"/>
                <w:szCs w:val="19"/>
                <w:color w:val="auto"/>
              </w:rPr>
            </w:pPr>
          </w:p>
        </w:tc>
        <w:tc>
          <w:tcPr>
            <w:tcW w:w="12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060606"/>
              </w:rPr>
              <w:t>(1.0)</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060606"/>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060606"/>
              </w:rPr>
              <w:t>(1.0)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060606"/>
              </w:rPr>
              <w:t>—</w:t>
            </w:r>
          </w:p>
        </w:tc>
        <w:tc>
          <w:tcPr>
            <w:tcW w:w="8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060606"/>
              </w:rPr>
              <w:t>—</w:t>
            </w:r>
          </w:p>
        </w:tc>
        <w:tc>
          <w:tcPr>
            <w:tcW w:w="100" w:type="dxa"/>
            <w:vAlign w:val="bottom"/>
          </w:tcPr>
          <w:p>
            <w:pPr>
              <w:spacing w:after="0"/>
              <w:rPr>
                <w:sz w:val="19"/>
                <w:szCs w:val="19"/>
                <w:color w:val="auto"/>
              </w:rPr>
            </w:pPr>
          </w:p>
        </w:tc>
        <w:tc>
          <w:tcPr>
            <w:tcW w:w="13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060606"/>
              </w:rPr>
              <w:t>—</w:t>
            </w:r>
          </w:p>
        </w:tc>
      </w:tr>
      <w:tr>
        <w:trPr>
          <w:trHeight w:val="214"/>
        </w:trPr>
        <w:tc>
          <w:tcPr>
            <w:tcW w:w="3200" w:type="dxa"/>
            <w:vAlign w:val="bottom"/>
          </w:tcPr>
          <w:p>
            <w:pPr>
              <w:ind w:left="20"/>
              <w:spacing w:after="0"/>
              <w:rPr>
                <w:sz w:val="20"/>
                <w:szCs w:val="20"/>
                <w:color w:val="auto"/>
              </w:rPr>
            </w:pPr>
            <w:r>
              <w:rPr>
                <w:rFonts w:ascii="Arial" w:cs="Arial" w:eastAsia="Arial" w:hAnsi="Arial"/>
                <w:sz w:val="14"/>
                <w:szCs w:val="14"/>
                <w:color w:val="060606"/>
              </w:rPr>
              <w:t>Net income (loss)</w:t>
            </w:r>
          </w:p>
        </w:tc>
        <w:tc>
          <w:tcPr>
            <w:tcW w:w="1300" w:type="dxa"/>
            <w:vAlign w:val="bottom"/>
            <w:gridSpan w:val="2"/>
          </w:tcPr>
          <w:p>
            <w:pPr>
              <w:jc w:val="right"/>
              <w:ind w:right="108"/>
              <w:spacing w:after="0"/>
              <w:rPr>
                <w:sz w:val="20"/>
                <w:szCs w:val="20"/>
                <w:color w:val="auto"/>
              </w:rPr>
            </w:pPr>
            <w:r>
              <w:rPr>
                <w:rFonts w:ascii="Arial" w:cs="Arial" w:eastAsia="Arial" w:hAnsi="Arial"/>
                <w:sz w:val="14"/>
                <w:szCs w:val="14"/>
                <w:color w:val="060606"/>
              </w:rPr>
              <w:t>$165.2</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4"/>
                <w:szCs w:val="14"/>
                <w:color w:val="060606"/>
              </w:rPr>
              <w:t>($131.5)</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20" w:type="dxa"/>
            <w:vAlign w:val="bottom"/>
            <w:gridSpan w:val="2"/>
          </w:tcPr>
          <w:p>
            <w:pPr>
              <w:jc w:val="right"/>
              <w:ind w:right="108"/>
              <w:spacing w:after="0"/>
              <w:rPr>
                <w:sz w:val="20"/>
                <w:szCs w:val="20"/>
                <w:color w:val="auto"/>
              </w:rPr>
            </w:pPr>
            <w:r>
              <w:rPr>
                <w:rFonts w:ascii="Arial" w:cs="Arial" w:eastAsia="Arial" w:hAnsi="Arial"/>
                <w:sz w:val="14"/>
                <w:szCs w:val="14"/>
                <w:color w:val="060606"/>
              </w:rPr>
              <w:t>$196.2</w:t>
            </w:r>
          </w:p>
        </w:tc>
        <w:tc>
          <w:tcPr>
            <w:tcW w:w="80" w:type="dxa"/>
            <w:vAlign w:val="bottom"/>
          </w:tcPr>
          <w:p>
            <w:pPr>
              <w:spacing w:after="0"/>
              <w:rPr>
                <w:sz w:val="18"/>
                <w:szCs w:val="18"/>
                <w:color w:val="auto"/>
              </w:rPr>
            </w:pPr>
          </w:p>
        </w:tc>
        <w:tc>
          <w:tcPr>
            <w:tcW w:w="1300" w:type="dxa"/>
            <w:vAlign w:val="bottom"/>
            <w:gridSpan w:val="2"/>
          </w:tcPr>
          <w:p>
            <w:pPr>
              <w:jc w:val="right"/>
              <w:ind w:right="68"/>
              <w:spacing w:after="0"/>
              <w:rPr>
                <w:sz w:val="20"/>
                <w:szCs w:val="20"/>
                <w:color w:val="auto"/>
              </w:rPr>
            </w:pPr>
            <w:r>
              <w:rPr>
                <w:rFonts w:ascii="Arial" w:cs="Arial" w:eastAsia="Arial" w:hAnsi="Arial"/>
                <w:sz w:val="14"/>
                <w:szCs w:val="14"/>
                <w:color w:val="060606"/>
              </w:rPr>
              <w:t>($273.4)</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060606"/>
              </w:rPr>
              <w:t>($24.1)</w:t>
            </w:r>
          </w:p>
        </w:tc>
        <w:tc>
          <w:tcPr>
            <w:tcW w:w="100" w:type="dxa"/>
            <w:vAlign w:val="bottom"/>
          </w:tcPr>
          <w:p>
            <w:pPr>
              <w:spacing w:after="0"/>
              <w:rPr>
                <w:sz w:val="18"/>
                <w:szCs w:val="18"/>
                <w:color w:val="auto"/>
              </w:rPr>
            </w:pPr>
          </w:p>
        </w:tc>
        <w:tc>
          <w:tcPr>
            <w:tcW w:w="1300" w:type="dxa"/>
            <w:vAlign w:val="bottom"/>
          </w:tcPr>
          <w:p>
            <w:pPr>
              <w:jc w:val="right"/>
              <w:ind w:right="108"/>
              <w:spacing w:after="0"/>
              <w:rPr>
                <w:sz w:val="20"/>
                <w:szCs w:val="20"/>
                <w:color w:val="auto"/>
              </w:rPr>
            </w:pPr>
            <w:r>
              <w:rPr>
                <w:rFonts w:ascii="Arial" w:cs="Arial" w:eastAsia="Arial" w:hAnsi="Arial"/>
                <w:sz w:val="14"/>
                <w:szCs w:val="14"/>
                <w:color w:val="060606"/>
              </w:rPr>
              <w:t>$166.9</w:t>
            </w:r>
          </w:p>
        </w:tc>
      </w:tr>
      <w:tr>
        <w:trPr>
          <w:trHeight w:val="20"/>
        </w:trPr>
        <w:tc>
          <w:tcPr>
            <w:tcW w:w="3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202"/>
        </w:trPr>
        <w:tc>
          <w:tcPr>
            <w:tcW w:w="3200" w:type="dxa"/>
            <w:vAlign w:val="bottom"/>
          </w:tcPr>
          <w:p>
            <w:pPr>
              <w:ind w:left="20"/>
              <w:spacing w:after="0"/>
              <w:rPr>
                <w:sz w:val="20"/>
                <w:szCs w:val="20"/>
                <w:color w:val="auto"/>
              </w:rPr>
            </w:pPr>
            <w:r>
              <w:rPr>
                <w:rFonts w:ascii="Arial" w:cs="Arial" w:eastAsia="Arial" w:hAnsi="Arial"/>
                <w:sz w:val="14"/>
                <w:szCs w:val="14"/>
                <w:color w:val="060606"/>
              </w:rPr>
              <w:t>Income tax rate</w:t>
            </w:r>
          </w:p>
        </w:tc>
        <w:tc>
          <w:tcPr>
            <w:tcW w:w="1300" w:type="dxa"/>
            <w:vAlign w:val="bottom"/>
            <w:gridSpan w:val="2"/>
          </w:tcPr>
          <w:p>
            <w:pPr>
              <w:jc w:val="right"/>
              <w:spacing w:after="0"/>
              <w:rPr>
                <w:sz w:val="20"/>
                <w:szCs w:val="20"/>
                <w:color w:val="auto"/>
              </w:rPr>
            </w:pPr>
            <w:r>
              <w:rPr>
                <w:rFonts w:ascii="Arial" w:cs="Arial" w:eastAsia="Arial" w:hAnsi="Arial"/>
                <w:sz w:val="14"/>
                <w:szCs w:val="14"/>
                <w:color w:val="060606"/>
              </w:rPr>
              <w:t>(79.2)%</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20" w:type="dxa"/>
            <w:vAlign w:val="bottom"/>
            <w:gridSpan w:val="2"/>
          </w:tcPr>
          <w:p>
            <w:pPr>
              <w:jc w:val="right"/>
              <w:spacing w:after="0"/>
              <w:rPr>
                <w:sz w:val="20"/>
                <w:szCs w:val="20"/>
                <w:color w:val="auto"/>
              </w:rPr>
            </w:pPr>
            <w:r>
              <w:rPr>
                <w:rFonts w:ascii="Arial" w:cs="Arial" w:eastAsia="Arial" w:hAnsi="Arial"/>
                <w:sz w:val="14"/>
                <w:szCs w:val="14"/>
                <w:color w:val="060606"/>
              </w:rPr>
              <w:t>22.7 %</w:t>
            </w:r>
          </w:p>
        </w:tc>
        <w:tc>
          <w:tcPr>
            <w:tcW w:w="80" w:type="dxa"/>
            <w:vAlign w:val="bottom"/>
          </w:tcPr>
          <w:p>
            <w:pPr>
              <w:spacing w:after="0"/>
              <w:rPr>
                <w:sz w:val="17"/>
                <w:szCs w:val="17"/>
                <w:color w:val="auto"/>
              </w:rPr>
            </w:pPr>
          </w:p>
        </w:tc>
        <w:tc>
          <w:tcPr>
            <w:tcW w:w="1300" w:type="dxa"/>
            <w:vAlign w:val="bottom"/>
            <w:gridSpan w:val="2"/>
          </w:tcPr>
          <w:p>
            <w:pPr>
              <w:jc w:val="right"/>
              <w:spacing w:after="0"/>
              <w:rPr>
                <w:sz w:val="20"/>
                <w:szCs w:val="20"/>
                <w:color w:val="auto"/>
              </w:rPr>
            </w:pPr>
            <w:r>
              <w:rPr>
                <w:rFonts w:ascii="Arial" w:cs="Arial" w:eastAsia="Arial" w:hAnsi="Arial"/>
                <w:sz w:val="14"/>
                <w:szCs w:val="14"/>
                <w:color w:val="060606"/>
              </w:rPr>
              <w:t>(10.0)%</w:t>
            </w: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060606"/>
              </w:rPr>
              <w:t>22.7 %</w:t>
            </w:r>
          </w:p>
        </w:tc>
      </w:tr>
    </w:tbl>
    <w:p>
      <w:pPr>
        <w:spacing w:after="0" w:line="223" w:lineRule="exact"/>
        <w:rPr>
          <w:sz w:val="20"/>
          <w:szCs w:val="20"/>
          <w:color w:val="auto"/>
        </w:rPr>
      </w:pPr>
    </w:p>
    <w:p>
      <w:pPr>
        <w:ind w:left="280" w:hanging="272"/>
        <w:spacing w:after="0"/>
        <w:tabs>
          <w:tab w:leader="none" w:pos="280" w:val="left"/>
        </w:tabs>
        <w:numPr>
          <w:ilvl w:val="0"/>
          <w:numId w:val="20"/>
        </w:numPr>
        <w:rPr>
          <w:rFonts w:ascii="Arial" w:cs="Arial" w:eastAsia="Arial" w:hAnsi="Arial"/>
          <w:sz w:val="16"/>
          <w:szCs w:val="16"/>
          <w:color w:val="060606"/>
        </w:rPr>
      </w:pPr>
      <w:r>
        <w:rPr>
          <w:rFonts w:ascii="Arial" w:cs="Arial" w:eastAsia="Arial" w:hAnsi="Arial"/>
          <w:sz w:val="16"/>
          <w:szCs w:val="16"/>
          <w:color w:val="060606"/>
        </w:rPr>
        <w:t>Numbers may not add precisely due to rounding.</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1"/>
          <w:szCs w:val="21"/>
          <w:color w:val="060606"/>
        </w:rPr>
        <w:t>20</w:t>
      </w:r>
    </w:p>
    <w:p>
      <w:pPr>
        <w:sectPr>
          <w:pgSz w:w="11900" w:h="16838" w:orient="portrait"/>
          <w:cols w:equalWidth="0" w:num="1">
            <w:col w:w="11240"/>
          </w:cols>
          <w:pgMar w:left="320" w:top="1440" w:right="339" w:bottom="1440" w:gutter="0" w:footer="0" w:header="0"/>
          <w:type w:val="continuous"/>
        </w:sectPr>
      </w:pPr>
    </w:p>
    <w:bookmarkStart w:id="23" w:name="page24"/>
    <w:bookmarkEnd w:id="23"/>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20"/>
        <w:spacing w:after="0"/>
        <w:rPr>
          <w:sz w:val="20"/>
          <w:szCs w:val="20"/>
          <w:color w:val="auto"/>
        </w:rPr>
      </w:pPr>
      <w:r>
        <w:rPr>
          <w:rFonts w:ascii="Arial" w:cs="Arial" w:eastAsia="Arial" w:hAnsi="Arial"/>
          <w:sz w:val="14"/>
          <w:szCs w:val="14"/>
          <w:color w:val="060606"/>
        </w:rPr>
        <w:t>RECONCILIATION OF GAAP TO NON-GAAP FINANCIAL MEASURES - UNAUDITED</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4"/>
          <w:szCs w:val="14"/>
          <w:color w:val="060606"/>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9360" w:type="dxa"/>
            <w:vAlign w:val="bottom"/>
          </w:tcPr>
          <w:p>
            <w:pPr>
              <w:spacing w:after="0"/>
              <w:rPr>
                <w:sz w:val="14"/>
                <w:szCs w:val="14"/>
                <w:color w:val="auto"/>
              </w:rPr>
            </w:pPr>
          </w:p>
        </w:tc>
        <w:tc>
          <w:tcPr>
            <w:tcW w:w="1860" w:type="dxa"/>
            <w:vAlign w:val="bottom"/>
          </w:tcPr>
          <w:p>
            <w:pPr>
              <w:jc w:val="right"/>
              <w:ind w:right="188"/>
              <w:spacing w:after="0"/>
              <w:rPr>
                <w:sz w:val="20"/>
                <w:szCs w:val="20"/>
                <w:color w:val="auto"/>
              </w:rPr>
            </w:pPr>
            <w:r>
              <w:rPr>
                <w:rFonts w:ascii="Arial" w:cs="Arial" w:eastAsia="Arial" w:hAnsi="Arial"/>
                <w:sz w:val="14"/>
                <w:szCs w:val="14"/>
                <w:color w:val="060606"/>
              </w:rPr>
              <w:t>Three Months Ended</w:t>
            </w:r>
          </w:p>
        </w:tc>
      </w:tr>
      <w:tr>
        <w:trPr>
          <w:trHeight w:val="185"/>
        </w:trPr>
        <w:tc>
          <w:tcPr>
            <w:tcW w:w="9360" w:type="dxa"/>
            <w:vAlign w:val="bottom"/>
          </w:tcPr>
          <w:p>
            <w:pPr>
              <w:spacing w:after="0"/>
              <w:rPr>
                <w:sz w:val="16"/>
                <w:szCs w:val="16"/>
                <w:color w:val="auto"/>
              </w:rPr>
            </w:pPr>
          </w:p>
        </w:tc>
        <w:tc>
          <w:tcPr>
            <w:tcW w:w="18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060606"/>
              </w:rPr>
              <w:t>September 30, 2026</w:t>
            </w:r>
          </w:p>
        </w:tc>
      </w:tr>
      <w:tr>
        <w:trPr>
          <w:trHeight w:val="201"/>
        </w:trPr>
        <w:tc>
          <w:tcPr>
            <w:tcW w:w="9360" w:type="dxa"/>
            <w:vAlign w:val="bottom"/>
          </w:tcPr>
          <w:p>
            <w:pPr>
              <w:spacing w:after="0"/>
              <w:rPr>
                <w:sz w:val="20"/>
                <w:szCs w:val="20"/>
                <w:color w:val="auto"/>
              </w:rPr>
            </w:pPr>
            <w:r>
              <w:rPr>
                <w:rFonts w:ascii="Arial" w:cs="Arial" w:eastAsia="Arial" w:hAnsi="Arial"/>
                <w:sz w:val="14"/>
                <w:szCs w:val="14"/>
                <w:color w:val="060606"/>
              </w:rPr>
              <w:t>Net cash provided by operating activities</w:t>
            </w:r>
          </w:p>
        </w:tc>
        <w:tc>
          <w:tcPr>
            <w:tcW w:w="1860" w:type="dxa"/>
            <w:vAlign w:val="bottom"/>
          </w:tcPr>
          <w:p>
            <w:pPr>
              <w:jc w:val="right"/>
              <w:spacing w:after="0"/>
              <w:rPr>
                <w:sz w:val="20"/>
                <w:szCs w:val="20"/>
                <w:color w:val="auto"/>
              </w:rPr>
            </w:pPr>
            <w:r>
              <w:rPr>
                <w:rFonts w:ascii="Arial" w:cs="Arial" w:eastAsia="Arial" w:hAnsi="Arial"/>
                <w:sz w:val="14"/>
                <w:szCs w:val="14"/>
                <w:color w:val="060606"/>
              </w:rPr>
              <w:t>$73.7</w:t>
            </w:r>
          </w:p>
        </w:tc>
      </w:tr>
      <w:tr>
        <w:trPr>
          <w:trHeight w:val="216"/>
        </w:trPr>
        <w:tc>
          <w:tcPr>
            <w:tcW w:w="9360" w:type="dxa"/>
            <w:vAlign w:val="bottom"/>
          </w:tcPr>
          <w:p>
            <w:pPr>
              <w:spacing w:after="0"/>
              <w:rPr>
                <w:sz w:val="20"/>
                <w:szCs w:val="20"/>
                <w:color w:val="auto"/>
              </w:rPr>
            </w:pPr>
            <w:r>
              <w:rPr>
                <w:rFonts w:ascii="Arial" w:cs="Arial" w:eastAsia="Arial" w:hAnsi="Arial"/>
                <w:sz w:val="14"/>
                <w:szCs w:val="14"/>
                <w:color w:val="060606"/>
              </w:rPr>
              <w:t>Less: Purchases of property, plant, and equipment</w:t>
            </w:r>
          </w:p>
        </w:tc>
        <w:tc>
          <w:tcPr>
            <w:tcW w:w="1860" w:type="dxa"/>
            <w:vAlign w:val="bottom"/>
          </w:tcPr>
          <w:p>
            <w:pPr>
              <w:jc w:val="right"/>
              <w:spacing w:after="0"/>
              <w:rPr>
                <w:sz w:val="20"/>
                <w:szCs w:val="20"/>
                <w:color w:val="auto"/>
              </w:rPr>
            </w:pPr>
            <w:r>
              <w:rPr>
                <w:rFonts w:ascii="Arial" w:cs="Arial" w:eastAsia="Arial" w:hAnsi="Arial"/>
                <w:sz w:val="14"/>
                <w:szCs w:val="14"/>
                <w:color w:val="060606"/>
              </w:rPr>
              <w:t>(30.8)</w:t>
            </w:r>
          </w:p>
        </w:tc>
      </w:tr>
      <w:tr>
        <w:trPr>
          <w:trHeight w:val="220"/>
        </w:trPr>
        <w:tc>
          <w:tcPr>
            <w:tcW w:w="9360" w:type="dxa"/>
            <w:vAlign w:val="bottom"/>
          </w:tcPr>
          <w:p>
            <w:pPr>
              <w:spacing w:after="0"/>
              <w:rPr>
                <w:sz w:val="20"/>
                <w:szCs w:val="20"/>
                <w:color w:val="auto"/>
              </w:rPr>
            </w:pPr>
            <w:r>
              <w:rPr>
                <w:rFonts w:ascii="Arial" w:cs="Arial" w:eastAsia="Arial" w:hAnsi="Arial"/>
                <w:sz w:val="14"/>
                <w:szCs w:val="14"/>
                <w:color w:val="060606"/>
              </w:rPr>
              <w:t>Add: 3T Heater-Cooler litigation payments</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060606"/>
              </w:rPr>
              <w:t>12.9</w:t>
            </w:r>
          </w:p>
        </w:tc>
      </w:tr>
      <w:tr>
        <w:trPr>
          <w:trHeight w:val="214"/>
        </w:trPr>
        <w:tc>
          <w:tcPr>
            <w:tcW w:w="9360" w:type="dxa"/>
            <w:vAlign w:val="bottom"/>
          </w:tcPr>
          <w:p>
            <w:pPr>
              <w:spacing w:after="0"/>
              <w:rPr>
                <w:sz w:val="20"/>
                <w:szCs w:val="20"/>
                <w:color w:val="auto"/>
              </w:rPr>
            </w:pPr>
            <w:r>
              <w:rPr>
                <w:rFonts w:ascii="Arial" w:cs="Arial" w:eastAsia="Arial" w:hAnsi="Arial"/>
                <w:sz w:val="14"/>
                <w:szCs w:val="14"/>
                <w:color w:val="060606"/>
              </w:rPr>
              <w:t>Adjusted free cash flow</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060606"/>
              </w:rPr>
              <w:t>$55.8</w:t>
            </w:r>
          </w:p>
        </w:tc>
      </w:tr>
      <w:tr>
        <w:trPr>
          <w:trHeight w:val="20"/>
        </w:trPr>
        <w:tc>
          <w:tcPr>
            <w:tcW w:w="936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280" w:hanging="272"/>
        <w:spacing w:after="0"/>
        <w:tabs>
          <w:tab w:leader="none" w:pos="280" w:val="left"/>
        </w:tabs>
        <w:numPr>
          <w:ilvl w:val="0"/>
          <w:numId w:val="21"/>
        </w:numPr>
        <w:rPr>
          <w:rFonts w:ascii="Arial" w:cs="Arial" w:eastAsia="Arial" w:hAnsi="Arial"/>
          <w:sz w:val="16"/>
          <w:szCs w:val="16"/>
          <w:color w:val="060606"/>
        </w:rPr>
      </w:pPr>
      <w:r>
        <w:rPr>
          <w:rFonts w:ascii="Arial" w:cs="Arial" w:eastAsia="Arial" w:hAnsi="Arial"/>
          <w:sz w:val="16"/>
          <w:szCs w:val="16"/>
          <w:color w:val="060606"/>
        </w:rPr>
        <w:t>Numbers may not add precisely due to rounding.</w:t>
      </w:r>
    </w:p>
    <w:p>
      <w:pPr>
        <w:spacing w:after="0" w:line="241" w:lineRule="exact"/>
        <w:rPr>
          <w:sz w:val="20"/>
          <w:szCs w:val="20"/>
          <w:color w:val="auto"/>
        </w:rPr>
      </w:pPr>
    </w:p>
    <w:p>
      <w:pPr>
        <w:jc w:val="both"/>
        <w:spacing w:after="0" w:line="382" w:lineRule="auto"/>
        <w:rPr>
          <w:sz w:val="20"/>
          <w:szCs w:val="20"/>
          <w:color w:val="auto"/>
        </w:rPr>
      </w:pPr>
      <w:r>
        <w:rPr>
          <w:rFonts w:ascii="Arial" w:cs="Arial" w:eastAsia="Arial" w:hAnsi="Arial"/>
          <w:sz w:val="20"/>
          <w:szCs w:val="20"/>
          <w:color w:val="060606"/>
        </w:rPr>
        <w:t>The following table presents the reconciliation of GAAP diluted weighted average shares outstanding, used in the computation of GAAP diluted loss per share, to adjusted diluted weighted average shares outstanding, used in the computation of adjusted diluted earnings per share:</w:t>
      </w:r>
    </w:p>
    <w:p>
      <w:pPr>
        <w:sectPr>
          <w:pgSz w:w="11900" w:h="16838" w:orient="portrait"/>
          <w:cols w:equalWidth="0" w:num="1">
            <w:col w:w="11240"/>
          </w:cols>
          <w:pgMar w:left="320" w:top="1440" w:right="339" w:bottom="1440" w:gutter="0" w:footer="0" w:header="0"/>
        </w:sectPr>
      </w:pPr>
    </w:p>
    <w:p>
      <w:pPr>
        <w:spacing w:after="0" w:line="75" w:lineRule="exact"/>
        <w:rPr>
          <w:sz w:val="20"/>
          <w:szCs w:val="20"/>
          <w:color w:val="auto"/>
        </w:rPr>
      </w:pPr>
    </w:p>
    <w:p>
      <w:pPr>
        <w:ind w:left="20" w:right="3380"/>
        <w:spacing w:after="0" w:line="244" w:lineRule="auto"/>
        <w:rPr>
          <w:sz w:val="20"/>
          <w:szCs w:val="20"/>
          <w:color w:val="auto"/>
        </w:rPr>
      </w:pPr>
      <w:r>
        <w:rPr>
          <w:rFonts w:ascii="Arial" w:cs="Arial" w:eastAsia="Arial" w:hAnsi="Arial"/>
          <w:sz w:val="14"/>
          <w:szCs w:val="14"/>
          <w:color w:val="auto"/>
        </w:rPr>
        <w:t>RECONCILIATION OF GAAP TO NON-GAAP FINANCIAL MEASURES - UNAUDITED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2" w:lineRule="exact"/>
        <w:rPr>
          <w:sz w:val="20"/>
          <w:szCs w:val="20"/>
          <w:color w:val="auto"/>
        </w:rPr>
      </w:pPr>
    </w:p>
    <w:p>
      <w:pPr>
        <w:ind w:left="20"/>
        <w:spacing w:after="0"/>
        <w:rPr>
          <w:sz w:val="20"/>
          <w:szCs w:val="20"/>
          <w:color w:val="auto"/>
        </w:rPr>
      </w:pPr>
      <w:r>
        <w:rPr>
          <w:rFonts w:ascii="Arial" w:cs="Arial" w:eastAsia="Arial" w:hAnsi="Arial"/>
          <w:sz w:val="14"/>
          <w:szCs w:val="14"/>
          <w:color w:val="auto"/>
        </w:rPr>
        <w:t>GAAP diluted weighted average shares outstanding</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Add: Effects of share-based compensation instruments</w:t>
      </w:r>
    </w:p>
    <w:p>
      <w:pPr>
        <w:spacing w:after="0" w:line="96" w:lineRule="exact"/>
        <w:rPr>
          <w:sz w:val="20"/>
          <w:szCs w:val="20"/>
          <w:color w:val="auto"/>
        </w:rPr>
      </w:pPr>
    </w:p>
    <w:p>
      <w:pPr>
        <w:ind w:left="20"/>
        <w:spacing w:after="0"/>
        <w:rPr>
          <w:sz w:val="20"/>
          <w:szCs w:val="20"/>
          <w:color w:val="auto"/>
        </w:rPr>
      </w:pPr>
      <w:r>
        <w:rPr>
          <w:rFonts w:ascii="Arial" w:cs="Arial" w:eastAsia="Arial" w:hAnsi="Arial"/>
          <w:sz w:val="14"/>
          <w:szCs w:val="14"/>
          <w:color w:val="auto"/>
        </w:rPr>
        <w:t>Adjusted diluted weighted average shares outstanding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4"/>
          <w:szCs w:val="14"/>
          <w:color w:val="auto"/>
        </w:rPr>
        <w:t>Nine Months Ended</w:t>
      </w:r>
    </w:p>
    <w:p>
      <w:pPr>
        <w:spacing w:after="0"/>
        <w:rPr>
          <w:sz w:val="20"/>
          <w:szCs w:val="20"/>
          <w:color w:val="auto"/>
        </w:rPr>
      </w:pPr>
      <w:r>
        <w:rPr>
          <w:rFonts w:ascii="Arial" w:cs="Arial" w:eastAsia="Arial" w:hAnsi="Arial"/>
          <w:sz w:val="14"/>
          <w:szCs w:val="14"/>
          <w:color w:val="auto"/>
        </w:rPr>
        <w:t>September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-179070</wp:posOffset>
            </wp:positionH>
            <wp:positionV relativeFrom="paragraph">
              <wp:posOffset>14605</wp:posOffset>
            </wp:positionV>
            <wp:extent cx="118300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83005" cy="8255"/>
                    </a:xfrm>
                    <a:prstGeom prst="rect">
                      <a:avLst/>
                    </a:prstGeom>
                    <a:noFill/>
                  </pic:spPr>
                </pic:pic>
              </a:graphicData>
            </a:graphic>
          </wp:anchor>
        </w:drawing>
      </w:r>
    </w:p>
    <w:p>
      <w:pPr>
        <w:spacing w:after="0" w:line="35"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auto"/>
        </w:rPr>
        <w:t>54.5</w:t>
      </w:r>
    </w:p>
    <w:p>
      <w:pPr>
        <w:spacing w:after="0" w:line="55"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auto"/>
        </w:rPr>
        <w:t>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-179070</wp:posOffset>
            </wp:positionH>
            <wp:positionV relativeFrom="paragraph">
              <wp:posOffset>23495</wp:posOffset>
            </wp:positionV>
            <wp:extent cx="118300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183005" cy="8890"/>
                    </a:xfrm>
                    <a:prstGeom prst="rect">
                      <a:avLst/>
                    </a:prstGeom>
                    <a:noFill/>
                  </pic:spPr>
                </pic:pic>
              </a:graphicData>
            </a:graphic>
          </wp:anchor>
        </w:drawing>
      </w:r>
    </w:p>
    <w:p>
      <w:pPr>
        <w:spacing w:after="0" w:line="49"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auto"/>
        </w:rPr>
        <w:t>54.8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-179070</wp:posOffset>
            </wp:positionH>
            <wp:positionV relativeFrom="paragraph">
              <wp:posOffset>23495</wp:posOffset>
            </wp:positionV>
            <wp:extent cx="118300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183005" cy="8890"/>
                    </a:xfrm>
                    <a:prstGeom prst="rect">
                      <a:avLst/>
                    </a:prstGeom>
                    <a:noFill/>
                  </pic:spPr>
                </pic:pic>
              </a:graphicData>
            </a:graphic>
          </wp:anchor>
        </w:drawing>
        <w:drawing>
          <wp:anchor simplePos="0" relativeHeight="251657728" behindDoc="1" locked="0" layoutInCell="0" allowOverlap="1">
            <wp:simplePos x="0" y="0"/>
            <wp:positionH relativeFrom="column">
              <wp:posOffset>-179070</wp:posOffset>
            </wp:positionH>
            <wp:positionV relativeFrom="paragraph">
              <wp:posOffset>49530</wp:posOffset>
            </wp:positionV>
            <wp:extent cx="118300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183005" cy="8890"/>
                    </a:xfrm>
                    <a:prstGeom prst="rect">
                      <a:avLst/>
                    </a:prstGeom>
                    <a:noFill/>
                  </pic:spPr>
                </pic:pic>
              </a:graphicData>
            </a:graphic>
          </wp:anchor>
        </w:drawing>
      </w:r>
    </w:p>
    <w:p>
      <w:pPr>
        <w:spacing w:after="0" w:line="227" w:lineRule="exact"/>
        <w:rPr>
          <w:sz w:val="20"/>
          <w:szCs w:val="20"/>
          <w:color w:val="auto"/>
        </w:rPr>
      </w:pPr>
    </w:p>
    <w:p>
      <w:pPr>
        <w:sectPr>
          <w:pgSz w:w="11900" w:h="16838" w:orient="portrait"/>
          <w:cols w:equalWidth="0" w:num="2">
            <w:col w:w="8940" w:space="720"/>
            <w:col w:w="1580"/>
          </w:cols>
          <w:pgMar w:left="320" w:top="1440" w:right="339" w:bottom="1440" w:gutter="0" w:footer="0" w:header="0"/>
          <w:type w:val="continuous"/>
        </w:sectPr>
      </w:pPr>
    </w:p>
    <w:p>
      <w:pPr>
        <w:spacing w:after="0" w:line="39" w:lineRule="exact"/>
        <w:rPr>
          <w:sz w:val="20"/>
          <w:szCs w:val="20"/>
          <w:color w:val="auto"/>
        </w:rPr>
      </w:pPr>
    </w:p>
    <w:p>
      <w:pPr>
        <w:ind w:left="280" w:hanging="272"/>
        <w:spacing w:after="0"/>
        <w:tabs>
          <w:tab w:leader="none" w:pos="280" w:val="left"/>
        </w:tabs>
        <w:numPr>
          <w:ilvl w:val="0"/>
          <w:numId w:val="22"/>
        </w:numPr>
        <w:rPr>
          <w:rFonts w:ascii="Arial" w:cs="Arial" w:eastAsia="Arial" w:hAnsi="Arial"/>
          <w:sz w:val="16"/>
          <w:szCs w:val="16"/>
          <w:color w:val="060606"/>
        </w:rPr>
      </w:pPr>
      <w:r>
        <w:rPr>
          <w:rFonts w:ascii="Arial" w:cs="Arial" w:eastAsia="Arial" w:hAnsi="Arial"/>
          <w:sz w:val="16"/>
          <w:szCs w:val="16"/>
          <w:color w:val="060606"/>
        </w:rPr>
        <w:t>Numbers may not add precisely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1"/>
          <w:szCs w:val="21"/>
          <w:color w:val="060606"/>
        </w:rPr>
        <w:t>21</w:t>
      </w:r>
    </w:p>
    <w:sectPr>
      <w:pgSz w:w="11900" w:h="16838" w:orient="portrait"/>
      <w:cols w:equalWidth="0" w:num="1">
        <w:col w:w="11240"/>
      </w:cols>
      <w:pgMar w:left="320" w:top="1440"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1)"/>
      <w:numFmt w:val="lowerLetter"/>
      <w:start w:val="4"/>
    </w:lvl>
  </w:abstractNum>
  <w:abstractNum w:abstractNumId="2">
    <w:nsid w:val="140E0F76"/>
    <w:multiLevelType w:val="hybridMultilevel"/>
    <w:lvl w:ilvl="0">
      <w:lvlJc w:val="left"/>
      <w:lvlText w:val="\endash "/>
      <w:numFmt w:val="bullet"/>
      <w:start w:val="1"/>
    </w:lvl>
  </w:abstractNum>
  <w:abstractNum w:abstractNumId="3">
    <w:nsid w:val="3352255A"/>
    <w:multiLevelType w:val="hybridMultilevel"/>
    <w:lvl w:ilvl="0">
      <w:lvlJc w:val="left"/>
      <w:lvlText w:val="(%1)"/>
      <w:numFmt w:val="decimal"/>
    </w:lvl>
    <w:lvl w:ilvl="1">
      <w:lvlJc w:val="left"/>
      <w:lvlText w:val="•"/>
      <w:numFmt w:val="bullet"/>
      <w:start w:val="1"/>
    </w:lvl>
  </w:abstractNum>
  <w:abstractNum w:abstractNumId="4">
    <w:nsid w:val="109CF92E"/>
    <w:multiLevelType w:val="hybridMultilevel"/>
    <w:lvl w:ilvl="0">
      <w:lvlJc w:val="left"/>
      <w:lvlText w:val="(%1)"/>
      <w:numFmt w:val="decimal"/>
      <w:start w:val="1"/>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1)"/>
      <w:numFmt w:val="decimal"/>
      <w:start w:val="1"/>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1)"/>
      <w:numFmt w:val="decimal"/>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1)"/>
      <w:numFmt w:val="decimal"/>
      <w:start w:val="1"/>
    </w:lvl>
  </w:abstractNum>
  <w:abstractNum w:abstractNumId="11">
    <w:nsid w:val="25E45D32"/>
    <w:multiLevelType w:val="hybridMultilevel"/>
    <w:lvl w:ilvl="0">
      <w:lvlJc w:val="left"/>
      <w:lvlText w:val="(%1)"/>
      <w:numFmt w:val="decimal"/>
      <w:start w:val="1"/>
    </w:lvl>
  </w:abstractNum>
  <w:abstractNum w:abstractNumId="12">
    <w:nsid w:val="519B500D"/>
    <w:multiLevelType w:val="hybridMultilevel"/>
    <w:lvl w:ilvl="0">
      <w:lvlJc w:val="left"/>
      <w:lvlText w:val="(%1)"/>
      <w:numFmt w:val="decimal"/>
      <w:start w:val="1"/>
    </w:lvl>
  </w:abstractNum>
  <w:abstractNum w:abstractNumId="13">
    <w:nsid w:val="431BD7B7"/>
    <w:multiLevelType w:val="hybridMultilevel"/>
    <w:lvl w:ilvl="0">
      <w:lvlJc w:val="left"/>
      <w:lvlText w:val="(%1)"/>
      <w:numFmt w:val="decimal"/>
      <w:start w:val="1"/>
    </w:lvl>
  </w:abstractNum>
  <w:abstractNum w:abstractNumId="14">
    <w:nsid w:val="3F2DBA31"/>
    <w:multiLevelType w:val="hybridMultilevel"/>
    <w:lvl w:ilvl="0">
      <w:lvlJc w:val="left"/>
      <w:lvlText w:val="(%1)"/>
      <w:numFmt w:val="decimal"/>
      <w:start w:val="1"/>
    </w:lvl>
  </w:abstractNum>
  <w:abstractNum w:abstractNumId="15">
    <w:nsid w:val="7C83E458"/>
    <w:multiLevelType w:val="hybridMultilevel"/>
    <w:lvl w:ilvl="0">
      <w:lvlJc w:val="left"/>
      <w:lvlText w:val="(%1)"/>
      <w:numFmt w:val="decimal"/>
      <w:start w:val="1"/>
    </w:lvl>
  </w:abstractNum>
  <w:abstractNum w:abstractNumId="16">
    <w:nsid w:val="257130A3"/>
    <w:multiLevelType w:val="hybridMultilevel"/>
    <w:lvl w:ilvl="0">
      <w:lvlJc w:val="left"/>
      <w:lvlText w:val="•"/>
      <w:numFmt w:val="bullet"/>
      <w:start w:val="1"/>
    </w:lvl>
  </w:abstractNum>
  <w:abstractNum w:abstractNumId="17">
    <w:nsid w:val="62BBD95A"/>
    <w:multiLevelType w:val="hybridMultilevel"/>
    <w:lvl w:ilvl="0">
      <w:lvlJc w:val="left"/>
      <w:lvlText w:val="(%1)"/>
      <w:numFmt w:val="decimal"/>
      <w:start w:val="1"/>
    </w:lvl>
  </w:abstractNum>
  <w:abstractNum w:abstractNumId="18">
    <w:nsid w:val="436C6125"/>
    <w:multiLevelType w:val="hybridMultilevel"/>
    <w:lvl w:ilvl="0">
      <w:lvlJc w:val="left"/>
      <w:lvlText w:val="•"/>
      <w:numFmt w:val="bullet"/>
      <w:start w:val="1"/>
    </w:lvl>
  </w:abstractNum>
  <w:abstractNum w:abstractNumId="19">
    <w:nsid w:val="628C895D"/>
    <w:multiLevelType w:val="hybridMultilevel"/>
    <w:lvl w:ilvl="0">
      <w:lvlJc w:val="left"/>
      <w:lvlText w:val="•"/>
      <w:numFmt w:val="bullet"/>
      <w:start w:val="1"/>
    </w:lvl>
  </w:abstractNum>
  <w:abstractNum w:abstractNumId="20">
    <w:nsid w:val="333AB105"/>
    <w:multiLevelType w:val="hybridMultilevel"/>
    <w:lvl w:ilvl="0">
      <w:lvlJc w:val="left"/>
      <w:lvlText w:val="•"/>
      <w:numFmt w:val="bullet"/>
      <w:start w:val="1"/>
    </w:lvl>
  </w:abstractNum>
  <w:abstractNum w:abstractNumId="21">
    <w:nsid w:val="721DA31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2026-11-04T05:12:50Z</dcterms:created>
  <dcterms:modified xsi:type="dcterms:W3CDTF">2026-11-04T05:12:50Z</dcterms:modified>
</cp:coreProperties>
</file>