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791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791146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Shvartsburg Alex</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00" w:type="dxa"/>
            <w:vAlign w:val="bottom"/>
          </w:tcPr>
          <w:p>
            <w:pPr>
              <w:ind w:left="40"/>
              <w:spacing w:after="0"/>
              <w:rPr>
                <w:sz w:val="20"/>
                <w:szCs w:val="20"/>
                <w:color w:val="auto"/>
              </w:rPr>
            </w:pPr>
            <w:r>
              <w:rPr>
                <w:rFonts w:ascii="Arial" w:cs="Arial" w:eastAsia="Arial" w:hAnsi="Arial"/>
                <w:sz w:val="13"/>
                <w:szCs w:val="13"/>
                <w:color w:val="auto"/>
              </w:rPr>
              <w:t>(Last)</w:t>
            </w:r>
          </w:p>
        </w:tc>
        <w:tc>
          <w:tcPr>
            <w:tcW w:w="1300" w:type="dxa"/>
            <w:vAlign w:val="bottom"/>
          </w:tcPr>
          <w:p>
            <w:pPr>
              <w:ind w:left="260"/>
              <w:spacing w:after="0"/>
              <w:rPr>
                <w:sz w:val="20"/>
                <w:szCs w:val="20"/>
                <w:color w:val="auto"/>
              </w:rPr>
            </w:pPr>
            <w:r>
              <w:rPr>
                <w:rFonts w:ascii="Arial" w:cs="Arial" w:eastAsia="Arial" w:hAnsi="Arial"/>
                <w:sz w:val="13"/>
                <w:szCs w:val="13"/>
                <w:color w:val="auto"/>
              </w:rPr>
              <w:t>(First)</w:t>
            </w:r>
          </w:p>
        </w:tc>
        <w:tc>
          <w:tcPr>
            <w:tcW w:w="72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3"/>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20 EASTBOURNE TERRACE</w:t>
            </w:r>
          </w:p>
        </w:tc>
        <w:tc>
          <w:tcPr>
            <w:tcW w:w="720" w:type="dxa"/>
            <w:vAlign w:val="bottom"/>
          </w:tcPr>
          <w:p>
            <w:pPr>
              <w:spacing w:after="0"/>
              <w:rPr>
                <w:sz w:val="22"/>
                <w:szCs w:val="22"/>
                <w:color w:val="auto"/>
              </w:rPr>
            </w:pPr>
          </w:p>
        </w:tc>
      </w:tr>
      <w:tr>
        <w:trPr>
          <w:trHeight w:val="471"/>
        </w:trPr>
        <w:tc>
          <w:tcPr>
            <w:tcW w:w="1000" w:type="dxa"/>
            <w:vAlign w:val="bottom"/>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5"/>
        </w:trPr>
        <w:tc>
          <w:tcPr>
            <w:tcW w:w="10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LONDON</w:t>
            </w: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X0</w:t>
            </w:r>
          </w:p>
        </w:tc>
        <w:tc>
          <w:tcPr>
            <w:tcW w:w="720" w:type="dxa"/>
            <w:vAlign w:val="bottom"/>
          </w:tcPr>
          <w:p>
            <w:pPr>
              <w:ind w:left="180"/>
              <w:spacing w:after="0"/>
              <w:rPr>
                <w:sz w:val="20"/>
                <w:szCs w:val="20"/>
                <w:color w:val="auto"/>
              </w:rPr>
            </w:pPr>
            <w:r>
              <w:rPr>
                <w:rFonts w:ascii="Times New Roman" w:cs="Times New Roman" w:eastAsia="Times New Roman" w:hAnsi="Times New Roman"/>
                <w:sz w:val="16"/>
                <w:szCs w:val="16"/>
                <w:color w:val="0000FF"/>
                <w:w w:val="99"/>
              </w:rPr>
              <w:t>W26LG</w:t>
            </w:r>
          </w:p>
        </w:tc>
      </w:tr>
      <w:tr>
        <w:trPr>
          <w:trHeight w:val="458"/>
        </w:trPr>
        <w:tc>
          <w:tcPr>
            <w:tcW w:w="1000" w:type="dxa"/>
            <w:vAlign w:val="bottom"/>
          </w:tcPr>
          <w:p>
            <w:pPr>
              <w:ind w:left="40"/>
              <w:spacing w:after="0"/>
              <w:rPr>
                <w:sz w:val="20"/>
                <w:szCs w:val="20"/>
                <w:color w:val="auto"/>
              </w:rPr>
            </w:pPr>
            <w:r>
              <w:rPr>
                <w:rFonts w:ascii="Arial" w:cs="Arial" w:eastAsia="Arial" w:hAnsi="Arial"/>
                <w:sz w:val="13"/>
                <w:szCs w:val="13"/>
                <w:color w:val="auto"/>
              </w:rPr>
              <w:t>(City)</w:t>
            </w:r>
          </w:p>
        </w:tc>
        <w:tc>
          <w:tcPr>
            <w:tcW w:w="1300" w:type="dxa"/>
            <w:vAlign w:val="bottom"/>
          </w:tcPr>
          <w:p>
            <w:pPr>
              <w:ind w:left="260"/>
              <w:spacing w:after="0"/>
              <w:rPr>
                <w:sz w:val="20"/>
                <w:szCs w:val="20"/>
                <w:color w:val="auto"/>
              </w:rPr>
            </w:pPr>
            <w:r>
              <w:rPr>
                <w:rFonts w:ascii="Arial" w:cs="Arial" w:eastAsia="Arial" w:hAnsi="Arial"/>
                <w:sz w:val="13"/>
                <w:szCs w:val="13"/>
                <w:color w:val="auto"/>
              </w:rPr>
              <w:t>(State)</w:t>
            </w:r>
          </w:p>
        </w:tc>
        <w:tc>
          <w:tcPr>
            <w:tcW w:w="72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LivaNova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9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500" w:type="dxa"/>
            <w:vAlign w:val="bottom"/>
          </w:tcPr>
          <w:p>
            <w:pPr>
              <w:ind w:left="100"/>
              <w:spacing w:after="0" w:line="119" w:lineRule="exact"/>
              <w:rPr>
                <w:sz w:val="20"/>
                <w:szCs w:val="20"/>
                <w:color w:val="auto"/>
              </w:rPr>
            </w:pPr>
            <w:r>
              <w:rPr>
                <w:rFonts w:ascii="Arial" w:cs="Arial" w:eastAsia="Arial" w:hAnsi="Arial"/>
                <w:sz w:val="13"/>
                <w:szCs w:val="13"/>
                <w:color w:val="auto"/>
              </w:rPr>
              <w:t>below)</w:t>
            </w:r>
          </w:p>
        </w:tc>
        <w:tc>
          <w:tcPr>
            <w:tcW w:w="1300" w:type="dxa"/>
            <w:vAlign w:val="bottom"/>
          </w:tcPr>
          <w:p>
            <w:pPr>
              <w:ind w:left="16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03/30/2024</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vMerge w:val="restart"/>
          </w:tcPr>
          <w:p>
            <w:pPr>
              <w:ind w:left="1000"/>
              <w:spacing w:after="0"/>
              <w:rPr>
                <w:sz w:val="20"/>
                <w:szCs w:val="20"/>
                <w:color w:val="auto"/>
              </w:rPr>
            </w:pPr>
            <w:r>
              <w:rPr>
                <w:rFonts w:ascii="Times New Roman" w:cs="Times New Roman" w:eastAsia="Times New Roman" w:hAnsi="Times New Roman"/>
                <w:sz w:val="16"/>
                <w:szCs w:val="16"/>
                <w:color w:val="0000FF"/>
              </w:rPr>
              <w:t>CFO</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420"/>
        <w:spacing w:after="0" w:line="28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4"/>
              <w:spacing w:after="0"/>
              <w:rPr>
                <w:sz w:val="20"/>
                <w:szCs w:val="20"/>
                <w:color w:val="auto"/>
              </w:rPr>
            </w:pPr>
            <w:r>
              <w:rPr>
                <w:rFonts w:ascii="Times New Roman" w:cs="Times New Roman" w:eastAsia="Times New Roman" w:hAnsi="Times New Roman"/>
                <w:sz w:val="16"/>
                <w:szCs w:val="16"/>
                <w:color w:val="0000FF"/>
              </w:rPr>
              <w:t>03/30/2024</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3"/>
              <w:spacing w:after="0"/>
              <w:rPr>
                <w:sz w:val="20"/>
                <w:szCs w:val="20"/>
                <w:color w:val="auto"/>
              </w:rPr>
            </w:pPr>
            <w:r>
              <w:rPr>
                <w:rFonts w:ascii="Times New Roman" w:cs="Times New Roman" w:eastAsia="Times New Roman" w:hAnsi="Times New Roman"/>
                <w:sz w:val="16"/>
                <w:szCs w:val="16"/>
                <w:color w:val="0000FF"/>
              </w:rPr>
              <w:t>14,752</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right="7"/>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jc w:val="right"/>
              <w:ind w:right="339"/>
              <w:spacing w:after="0"/>
              <w:rPr>
                <w:sz w:val="20"/>
                <w:szCs w:val="20"/>
                <w:color w:val="auto"/>
              </w:rPr>
            </w:pPr>
            <w:r>
              <w:rPr>
                <w:rFonts w:ascii="Times New Roman" w:cs="Times New Roman" w:eastAsia="Times New Roman" w:hAnsi="Times New Roman"/>
                <w:sz w:val="16"/>
                <w:szCs w:val="16"/>
                <w:color w:val="0000FF"/>
              </w:rPr>
              <w:t>24,133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4"/>
              <w:spacing w:after="0"/>
              <w:rPr>
                <w:sz w:val="20"/>
                <w:szCs w:val="20"/>
                <w:color w:val="auto"/>
              </w:rPr>
            </w:pPr>
            <w:r>
              <w:rPr>
                <w:rFonts w:ascii="Times New Roman" w:cs="Times New Roman" w:eastAsia="Times New Roman" w:hAnsi="Times New Roman"/>
                <w:sz w:val="16"/>
                <w:szCs w:val="16"/>
                <w:color w:val="0000FF"/>
              </w:rPr>
              <w:t>03/30/2024</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6,310</w:t>
            </w:r>
            <w:r>
              <w:rPr>
                <w:rFonts w:ascii="Times New Roman" w:cs="Times New Roman" w:eastAsia="Times New Roman" w:hAnsi="Times New Roman"/>
                <w:sz w:val="21"/>
                <w:szCs w:val="21"/>
                <w:color w:val="008000"/>
                <w:vertAlign w:val="superscript"/>
              </w:rPr>
              <w:t>(2)</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55.94</w:t>
            </w:r>
          </w:p>
        </w:tc>
        <w:tc>
          <w:tcPr>
            <w:tcW w:w="1280" w:type="dxa"/>
            <w:vAlign w:val="bottom"/>
            <w:tcBorders>
              <w:bottom w:val="single" w:sz="8" w:color="2C2C2C"/>
            </w:tcBorders>
            <w:gridSpan w:val="3"/>
          </w:tcPr>
          <w:p>
            <w:pPr>
              <w:jc w:val="right"/>
              <w:ind w:right="339"/>
              <w:spacing w:after="0"/>
              <w:rPr>
                <w:sz w:val="20"/>
                <w:szCs w:val="20"/>
                <w:color w:val="auto"/>
              </w:rPr>
            </w:pPr>
            <w:r>
              <w:rPr>
                <w:rFonts w:ascii="Times New Roman" w:cs="Times New Roman" w:eastAsia="Times New Roman" w:hAnsi="Times New Roman"/>
                <w:sz w:val="16"/>
                <w:szCs w:val="16"/>
                <w:color w:val="0000FF"/>
              </w:rPr>
              <w:t>17,823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0"/>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60" w:type="dxa"/>
            <w:vAlign w:val="bottom"/>
            <w:gridSpan w:val="8"/>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705</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705</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853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853</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2"/>
              </w:rPr>
              <w:t>853</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914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914</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1,828</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2,364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2,364</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7,092</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3,412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3,412</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3,923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3,923</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2,581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2,581</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7,150</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7,150</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7,150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7,150</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7,150</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7,150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3,575</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3,575</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3,575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3,575</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3,575</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3,575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0000FF"/>
                <w:w w:val="99"/>
              </w:rPr>
              <w:t>15,631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55.94</w:t>
            </w:r>
          </w:p>
        </w:tc>
        <w:tc>
          <w:tcPr>
            <w:tcW w:w="102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03/30/2024</w:t>
            </w:r>
          </w:p>
        </w:tc>
        <w:tc>
          <w:tcPr>
            <w:tcW w:w="1120" w:type="dxa"/>
            <w:vAlign w:val="bottom"/>
          </w:tcPr>
          <w:p>
            <w:pPr>
              <w:spacing w:after="0"/>
              <w:rPr>
                <w:sz w:val="11"/>
                <w:szCs w:val="11"/>
                <w:color w:val="auto"/>
              </w:rPr>
            </w:pPr>
          </w:p>
        </w:tc>
        <w:tc>
          <w:tcPr>
            <w:tcW w:w="70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3"/>
                <w:szCs w:val="13"/>
                <w:color w:val="0000FF"/>
                <w:w w:val="94"/>
              </w:rPr>
              <w:t>15,631</w:t>
            </w:r>
          </w:p>
        </w:tc>
        <w:tc>
          <w:tcPr>
            <w:tcW w:w="4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2"/>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15,631</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-4638040</wp:posOffset>
            </wp:positionV>
            <wp:extent cx="28575" cy="4643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64312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and vested performance stock units (PSUs) settled in Ordinary Shares of LivaNova PLC (the Company), GBP 1.00 par value.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to satisfy tax liability.</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LivaNova PLC 2015 Incentive Award Plan (the 2015 Plan) and the award agreement.</w:t>
      </w:r>
    </w:p>
    <w:p>
      <w:pPr>
        <w:spacing w:after="0" w:line="40" w:lineRule="exact"/>
        <w:rPr>
          <w:rFonts w:ascii="Times New Roman" w:cs="Times New Roman" w:eastAsia="Times New Roman" w:hAnsi="Times New Roman"/>
          <w:sz w:val="13"/>
          <w:szCs w:val="13"/>
          <w:color w:val="008000"/>
        </w:rPr>
      </w:pPr>
    </w:p>
    <w:p>
      <w:pPr>
        <w:ind w:left="40" w:right="46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2020, reporting person was granted RSUs subject to a four-year vesting in equal annual installments, the first vesting occurring on March 30, 2021. The RSUs were subject to forfeiture prior to vesting in accordance with the terms of the 2015 Plan and the award agreement.</w:t>
      </w:r>
    </w:p>
    <w:p>
      <w:pPr>
        <w:spacing w:after="0" w:line="21" w:lineRule="exact"/>
        <w:rPr>
          <w:rFonts w:ascii="Times New Roman" w:cs="Times New Roman" w:eastAsia="Times New Roman" w:hAnsi="Times New Roman"/>
          <w:sz w:val="13"/>
          <w:szCs w:val="13"/>
          <w:color w:val="008000"/>
        </w:rPr>
      </w:pPr>
    </w:p>
    <w:p>
      <w:pPr>
        <w:ind w:left="40" w:right="20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RSUs subject to a four-year vesting in equal annual installments, the first vesting for which occurred on March 30, 2022. The RSUs are subject to forfeiture prior to vesting in accordance with the terms of the 2015 Plan and the award agreement.</w:t>
      </w:r>
    </w:p>
    <w:p>
      <w:pPr>
        <w:spacing w:after="0" w:line="21" w:lineRule="exact"/>
        <w:rPr>
          <w:rFonts w:ascii="Times New Roman" w:cs="Times New Roman" w:eastAsia="Times New Roman" w:hAnsi="Times New Roman"/>
          <w:sz w:val="13"/>
          <w:szCs w:val="13"/>
          <w:color w:val="008000"/>
        </w:rPr>
      </w:pPr>
    </w:p>
    <w:p>
      <w:pPr>
        <w:ind w:left="40" w:right="20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in equal annual installments, the first vesting for which occurred on March 30, 2023. The RSUs are subject to forfeiture prior to vesting in accordance with the terms of the 2015 Plan and the award agreement.</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LivaNova PLC 2022 Incentive Award Plan (the 2022 Plan) and the award agreement.</w:t>
      </w:r>
    </w:p>
    <w:p>
      <w:pPr>
        <w:spacing w:after="0" w:line="40" w:lineRule="exact"/>
        <w:rPr>
          <w:rFonts w:ascii="Times New Roman" w:cs="Times New Roman" w:eastAsia="Times New Roman" w:hAnsi="Times New Roman"/>
          <w:sz w:val="13"/>
          <w:szCs w:val="13"/>
          <w:color w:val="008000"/>
        </w:rPr>
      </w:pPr>
    </w:p>
    <w:p>
      <w:pPr>
        <w:ind w:left="40" w:right="14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in equal annual installments, the first vesting occurring on March 30, 2024. The RSUs are subject to forfeiture prior to vesting in accordance with the terms of the 2022 Plan and the award agreement.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21" w:hanging="121"/>
        <w:spacing w:after="0"/>
        <w:tabs>
          <w:tab w:leader="none" w:pos="12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represents a contingent right to receive one Ordinary Share of the Company in accordance with the terms of the 2015 Plan and the award agreement.</w:t>
      </w:r>
    </w:p>
    <w:p>
      <w:pPr>
        <w:spacing w:after="0" w:line="40" w:lineRule="exact"/>
        <w:rPr>
          <w:rFonts w:ascii="Times New Roman" w:cs="Times New Roman" w:eastAsia="Times New Roman" w:hAnsi="Times New Roman"/>
          <w:sz w:val="13"/>
          <w:szCs w:val="13"/>
          <w:color w:val="008000"/>
        </w:rPr>
      </w:pPr>
    </w:p>
    <w:p>
      <w:pPr>
        <w:ind w:left="1" w:right="60" w:hanging="1"/>
        <w:spacing w:after="0" w:line="23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1,706 PSUs to vest or lapse on March 30, 2024 based on how the Company's cumulative adjusted free cash flow (FCF) for fiscal year 2021 compares to a target determined by the 2015 Plan Administrator. The Company has determined that 200% of the underlying PSUs shall vest on March 30, 2024, subject to continued service during the vesting period and the award agreement. The performance achieved was 200%, and the actual number of vested shares is presented as the quantity that was acquired.</w:t>
      </w:r>
    </w:p>
    <w:p>
      <w:pPr>
        <w:spacing w:after="0" w:line="25" w:lineRule="exact"/>
        <w:rPr>
          <w:rFonts w:ascii="Times New Roman" w:cs="Times New Roman" w:eastAsia="Times New Roman" w:hAnsi="Times New Roman"/>
          <w:sz w:val="13"/>
          <w:szCs w:val="13"/>
          <w:color w:val="008000"/>
        </w:rPr>
      </w:pPr>
    </w:p>
    <w:p>
      <w:pPr>
        <w:jc w:val="both"/>
        <w:ind w:left="1" w:right="60" w:hanging="1"/>
        <w:spacing w:after="0" w:line="237" w:lineRule="auto"/>
        <w:tabs>
          <w:tab w:leader="none" w:pos="18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PSUs to vest or lapse on March 30, 2024 based on the the Company's total shareholder return (TSR) for the three-year period beginning on January 1, 2021 and ending December 31, 2023 relative to the total shareholder return of a peer group of companies, as determined by the 2015 Plan Administrator. The Company's performance achieved a result of 115%, and the actual number of vested shares is presented as the quantity that was acquired.</w:t>
      </w:r>
    </w:p>
    <w:p>
      <w:pPr>
        <w:spacing w:after="0" w:line="25" w:lineRule="exact"/>
        <w:rPr>
          <w:rFonts w:ascii="Times New Roman" w:cs="Times New Roman" w:eastAsia="Times New Roman" w:hAnsi="Times New Roman"/>
          <w:sz w:val="13"/>
          <w:szCs w:val="13"/>
          <w:color w:val="008000"/>
        </w:rPr>
      </w:pPr>
    </w:p>
    <w:p>
      <w:pPr>
        <w:ind w:left="1" w:right="560" w:hanging="1"/>
        <w:spacing w:after="0" w:line="24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PSUs to vest or lapse on March 30, 2024 based on how the Company's Return on Investment Capital (ROIC) for fiscal year 2021 compares to a target determined by the 2015 Plan Administrator. The performance achieved was 151.30%, and the actual number of vested shares is presented as the quantity that was acquired.</w:t>
      </w:r>
    </w:p>
    <w:p>
      <w:pPr>
        <w:spacing w:after="0" w:line="21" w:lineRule="exact"/>
        <w:rPr>
          <w:rFonts w:ascii="Times New Roman" w:cs="Times New Roman" w:eastAsia="Times New Roman" w:hAnsi="Times New Roman"/>
          <w:sz w:val="13"/>
          <w:szCs w:val="13"/>
          <w:color w:val="008000"/>
        </w:rPr>
      </w:pPr>
    </w:p>
    <w:p>
      <w:pPr>
        <w:ind w:left="1" w:right="140" w:hanging="1"/>
        <w:spacing w:after="0" w:line="24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subject to a three-year vesting schedule, the first vesting occurring on March 30, 2025. The RSUs are subject to forfeiture prior to vesting in accordance with the terms of the 2022 Plan and the award agreement.</w:t>
      </w:r>
    </w:p>
    <w:p>
      <w:pPr>
        <w:spacing w:after="0" w:line="21"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represents a contingent right to receive one Ordinary Share of the Company in accordance with the terms of the 2022 Plan and the award agreement.</w:t>
      </w:r>
    </w:p>
    <w:p>
      <w:pPr>
        <w:spacing w:after="0" w:line="40" w:lineRule="exact"/>
        <w:rPr>
          <w:rFonts w:ascii="Times New Roman" w:cs="Times New Roman" w:eastAsia="Times New Roman" w:hAnsi="Times New Roman"/>
          <w:sz w:val="13"/>
          <w:szCs w:val="13"/>
          <w:color w:val="008000"/>
        </w:rPr>
      </w:pPr>
    </w:p>
    <w:p>
      <w:pPr>
        <w:ind w:left="1" w:right="80" w:hanging="1"/>
        <w:spacing w:after="0" w:line="23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PSUs to vest or lapse on March 30, 2027 based on the Company's TSR for the three-year period beginning on January 1, 2024 and ending December 31, 2026 relative to the TSR of an index of companies, as determined by the 2022 Plan Administrator. The number included in column 5 of Table II reflects the target number of PSUs eligible for vesting subject to continued service during the vesting period and the award agreement.</w:t>
      </w:r>
    </w:p>
    <w:p>
      <w:pPr>
        <w:spacing w:after="0" w:line="25" w:lineRule="exact"/>
        <w:rPr>
          <w:rFonts w:ascii="Times New Roman" w:cs="Times New Roman" w:eastAsia="Times New Roman" w:hAnsi="Times New Roman"/>
          <w:sz w:val="13"/>
          <w:szCs w:val="13"/>
          <w:color w:val="008000"/>
        </w:rPr>
      </w:pPr>
    </w:p>
    <w:p>
      <w:pPr>
        <w:ind w:left="1" w:right="80" w:hanging="1"/>
        <w:spacing w:after="0" w:line="285"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30, 2024, reporting person was granted PSUs to vest or lapse on March 30, 2027 based on how the Company's ROIC calculated for the performance period 2024-2026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1" w:lineRule="exact"/>
        <w:rPr>
          <w:rFonts w:ascii="Times New Roman" w:cs="Times New Roman" w:eastAsia="Times New Roman" w:hAnsi="Times New Roman"/>
          <w:sz w:val="12"/>
          <w:szCs w:val="12"/>
          <w:color w:val="008000"/>
        </w:rPr>
      </w:pPr>
    </w:p>
    <w:p>
      <w:pPr>
        <w:ind w:left="1" w:hanging="1"/>
        <w:spacing w:after="0" w:line="24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PSUs to vest or lapse on March 30, 2027 based on how the Company's FCF for performance period 2024-2026 compares to a target determined by the 2022 Plan Administrator. The number included in column 5 of Table II reflects the target number of PSUs eligible for vesting.</w:t>
      </w:r>
    </w:p>
    <w:p>
      <w:pPr>
        <w:spacing w:after="0" w:line="21" w:lineRule="exact"/>
        <w:rPr>
          <w:rFonts w:ascii="Times New Roman" w:cs="Times New Roman" w:eastAsia="Times New Roman" w:hAnsi="Times New Roman"/>
          <w:sz w:val="13"/>
          <w:szCs w:val="13"/>
          <w:color w:val="008000"/>
        </w:rPr>
      </w:pPr>
    </w:p>
    <w:p>
      <w:pPr>
        <w:ind w:left="1" w:right="20" w:hanging="1"/>
        <w:spacing w:after="0" w:line="24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stock appreciation rights (SARs) subject to a four-year vesting in equal annual installments, the first vesting occurring on March 30, 2025. The SARs are subject to forfeiture prior to vesting in accordance with the terms of the 2022 Plan and the award agreement.</w:t>
      </w:r>
    </w:p>
    <w:p>
      <w:pPr>
        <w:sectPr>
          <w:pgSz w:w="11900" w:h="16838" w:orient="portrait"/>
          <w:cols w:equalWidth="0" w:num="1">
            <w:col w:w="10901"/>
          </w:cols>
          <w:pgMar w:left="499" w:top="127" w:right="499" w:bottom="1440" w:gutter="0" w:footer="0" w:header="0"/>
        </w:sectPr>
      </w:pP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/s/ Sarah K. Mohr,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-3810</wp:posOffset>
            </wp:positionV>
            <wp:extent cx="1318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11"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-11430</wp:posOffset>
            </wp:positionV>
            <wp:extent cx="179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37" w:lineRule="exact"/>
        <w:rPr>
          <w:sz w:val="20"/>
          <w:szCs w:val="20"/>
          <w:color w:val="auto"/>
        </w:rPr>
      </w:pPr>
    </w:p>
    <w:p>
      <w:pPr>
        <w:ind w:left="6561"/>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0"/>
          <w:szCs w:val="20"/>
          <w:color w:val="auto"/>
        </w:rPr>
      </w:pPr>
    </w:p>
    <w:p>
      <w:pPr>
        <w:sectPr>
          <w:pgSz w:w="11900" w:h="16838" w:orient="portrait"/>
          <w:cols w:equalWidth="0" w:num="2">
            <w:col w:w="8621" w:space="140"/>
            <w:col w:w="2140"/>
          </w:cols>
          <w:pgMar w:left="499" w:top="127" w:right="499" w:bottom="1440" w:gutter="0" w:footer="0" w:header="0"/>
          <w:type w:val="continuous"/>
        </w:sect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600" w:hanging="1"/>
        <w:spacing w:after="0" w:line="329"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1"/>
      </w:cols>
      <w:pgMar w:left="499"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3083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2024-04-02T20:23:05Z</dcterms:created>
  <dcterms:modified xsi:type="dcterms:W3CDTF">2024-04-02T20:23:05Z</dcterms:modified>
</cp:coreProperties>
</file>