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314-4_def14a.htm"/>
        <w:bookmarkStart w:id="1" w:name="kstm252314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 Narrow;Arial;Tahoma;Geneva;sans-serif" w:hAnsi="Arial Narrow;Arial;Tahoma;Geneva;sans-serif"/>
          <w:b/>
          <w:i w:val="false"/>
          <w:caps w:val="false"/>
          <w:smallCaps w:val="false"/>
          <w:color w:val="000000"/>
          <w:sz w:val="24"/>
        </w:rPr>
      </w:pPr>
      <w:r>
        <w:rPr>
          <w:rFonts w:ascii="Arial Narrow;Arial;Tahoma;Geneva;sans-serif" w:hAnsi="Arial Narrow;Arial;Tahoma;Geneva;sans-serif"/>
          <w:b/>
          <w:i w:val="false"/>
          <w:caps w:val="false"/>
          <w:smallCaps w:val="false"/>
          <w:color w:val="000000"/>
          <w:spacing w:val="14"/>
          <w:sz w:val="24"/>
        </w:rPr>
        <w:t xml:space="preserve">UNITED STATES </w:t>
        <w:br/>
        <w:t xml:space="preserve">SECURITIES AND EXCHANGE COMMISSION </w:t>
      </w:r>
      <w:r>
        <w:rPr>
          <w:rFonts w:ascii="Arial Narrow;Arial;Tahoma;Geneva;sans-serif" w:hAnsi="Arial Narrow;Arial;Tahoma;Geneva;sans-serif"/>
          <w:b/>
          <w:i w:val="false"/>
          <w:caps w:val="false"/>
          <w:smallCaps w:val="false"/>
          <w:color w:val="000000"/>
          <w:sz w:val="24"/>
        </w:rPr>
        <w:br/>
      </w:r>
      <w:r>
        <w:rPr>
          <w:rFonts w:ascii="Arial Narrow;Arial;Tahoma;Geneva;sans-serif" w:hAnsi="Arial Narrow;Arial;Tahoma;Geneva;sans-serif"/>
          <w:b/>
          <w:i w:val="false"/>
          <w:caps w:val="false"/>
          <w:smallCaps w:val="false"/>
          <w:color w:val="000000"/>
          <w:spacing w:val="11"/>
          <w:sz w:val="20"/>
        </w:rPr>
        <w:t>Washington, D.C. 20549</w:t>
      </w:r>
      <w:r>
        <w:rPr>
          <w:rFonts w:ascii="Arial Narrow;Arial;Tahoma;Geneva;sans-serif" w:hAnsi="Arial Narrow;Arial;Tahoma;Geneva;sans-serif"/>
          <w:b/>
          <w:i w:val="false"/>
          <w:caps w:val="false"/>
          <w:smallCaps w:val="false"/>
          <w:color w:val="000000"/>
          <w:spacing w:val="5"/>
          <w:sz w:val="24"/>
        </w:rPr>
        <w:t xml:space="preserve"> </w:t>
      </w:r>
    </w:p>
    <w:p>
      <w:pPr>
        <w:pStyle w:val="TextBody"/>
        <w:bidi w:val="0"/>
        <w:spacing w:lineRule="atLeast" w:line="280" w:before="120" w:after="283"/>
        <w:jc w:val="center"/>
        <w:rPr>
          <w:rFonts w:ascii="Arial Narrow;Arial;Tahoma;Geneva;sans-serif" w:hAnsi="Arial Narrow;Arial;Tahoma;Geneva;sans-serif"/>
          <w:b/>
          <w:i w:val="false"/>
          <w:caps w:val="false"/>
          <w:smallCaps w:val="false"/>
          <w:color w:val="000000"/>
          <w:sz w:val="24"/>
        </w:rPr>
      </w:pPr>
      <w:r>
        <w:rPr>
          <w:rFonts w:ascii="Arial Narrow;Arial;Tahoma;Geneva;sans-serif" w:hAnsi="Arial Narrow;Arial;Tahoma;Geneva;sans-serif"/>
          <w:b/>
          <w:i w:val="false"/>
          <w:caps w:val="false"/>
          <w:smallCaps w:val="false"/>
          <w:color w:val="000000"/>
          <w:spacing w:val="14"/>
          <w:sz w:val="24"/>
        </w:rPr>
        <w:t>SCHEDULE 14A</w:t>
      </w:r>
      <w:r>
        <w:rPr>
          <w:rFonts w:ascii="Arial Narrow;Arial;Tahoma;Geneva;sans-serif" w:hAnsi="Arial Narrow;Arial;Tahoma;Geneva;sans-serif"/>
          <w:b/>
          <w:i w:val="false"/>
          <w:caps w:val="false"/>
          <w:smallCaps w:val="false"/>
          <w:color w:val="000000"/>
          <w:spacing w:val="5"/>
          <w:sz w:val="24"/>
        </w:rPr>
        <w:t xml:space="preserve"> </w:t>
      </w:r>
    </w:p>
    <w:p>
      <w:pPr>
        <w:pStyle w:val="TextBody"/>
        <w:bidi w:val="0"/>
        <w:spacing w:lineRule="atLeast" w:line="240" w:before="12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Proxy Statement Pursuant to Section 14(a) of </w:t>
        <w:br/>
        <w:t>the Securities Exchange Act of 1934 (Amendment No.    )</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8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Filed by the Registrant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Filed by a Party other than the Registrant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Check the appropriate box: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Preliminary Proxy Statement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44">
                <wp:simplePos x="0" y="0"/>
                <wp:positionH relativeFrom="column">
                  <wp:align>left</wp:align>
                </wp:positionH>
                <wp:positionV relativeFrom="line">
                  <wp:align>top</wp:align>
                </wp:positionV>
                <wp:extent cx="2286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Confidential, for Use of the Commission Only (as permitted by Rule 14a-6(e)(2))</w:t>
      </w:r>
      <w:r>
        <w:rPr>
          <w:rFonts w:ascii="Arial Narrow;Arial;Tahoma;Geneva;sans-serif" w:hAnsi="Arial Narrow;Arial;Tahoma;Geneva;sans-serif"/>
          <w:b/>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4">
                <wp:simplePos x="0" y="0"/>
                <wp:positionH relativeFrom="column">
                  <wp:align>left</wp:align>
                </wp:positionH>
                <wp:positionV relativeFrom="line">
                  <wp:align>top</wp:align>
                </wp:positionV>
                <wp:extent cx="2286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11"/>
                              </w:rPr>
                              <w:t>☐</w:t>
                            </w:r>
                            <w:r>
                              <w:rPr/>
                              <w:t xml:space="preserve"> </w:t>
                            </w:r>
                            <w:r>
                              <w:rPr>
                                <w:rFonts w:ascii="Arial Narrow;Arial;Tahoma;Geneva;sans-serif" w:hAnsi="Arial Narrow;Arial;Tahoma;Geneva;sans-serif"/>
                                <w:b/>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1"/>
                        </w:rPr>
                        <w:t>☐</w:t>
                      </w:r>
                      <w:r>
                        <w:rPr/>
                        <w:t xml:space="preserve"> </w:t>
                      </w:r>
                      <w:r>
                        <w:rPr>
                          <w:rFonts w:ascii="Arial Narrow;Arial;Tahoma;Geneva;sans-serif" w:hAnsi="Arial Narrow;Arial;Tahoma;Geneva;sans-serif"/>
                          <w:b/>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Definitive Proxy Statement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5">
                <wp:simplePos x="0" y="0"/>
                <wp:positionH relativeFrom="column">
                  <wp:align>left</wp:align>
                </wp:positionH>
                <wp:positionV relativeFrom="line">
                  <wp:align>top</wp:align>
                </wp:positionV>
                <wp:extent cx="2286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Definitive Additional Materials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6">
                <wp:simplePos x="0" y="0"/>
                <wp:positionH relativeFrom="column">
                  <wp:align>left</wp:align>
                </wp:positionH>
                <wp:positionV relativeFrom="line">
                  <wp:align>top</wp:align>
                </wp:positionV>
                <wp:extent cx="2286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Soliciting Material under §240.14a-12 </w:t>
      </w:r>
      <w:r>
        <mc:AlternateContent>
          <mc:Choice Requires="wps">
            <w:drawing>
              <wp:anchor behindDoc="0" distT="50800" distB="0" distL="0" distR="0" simplePos="0" locked="0" layoutInCell="1" allowOverlap="1" relativeHeight="357">
                <wp:simplePos x="0" y="0"/>
                <wp:positionH relativeFrom="column">
                  <wp:align>left</wp:align>
                </wp:positionH>
                <wp:positionV relativeFrom="line">
                  <wp:align>top</wp:align>
                </wp:positionV>
                <wp:extent cx="2286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Arial Narrow;Arial;Tahoma;Geneva;sans-serif" w:hAnsi="Arial Narrow;Arial;Tahoma;Geneva;sans-serif"/>
          <w:b/>
          <w:i w:val="false"/>
          <w:caps w:val="false"/>
          <w:smallCaps w:val="false"/>
          <w:color w:val="000000"/>
          <w:spacing w:val="16"/>
          <w:sz w:val="28"/>
        </w:rPr>
      </w:pPr>
      <w:r>
        <w:rPr>
          <w:rFonts w:ascii="Arial Narrow;Arial;Tahoma;Geneva;sans-serif" w:hAnsi="Arial Narrow;Arial;Tahoma;Geneva;sans-serif"/>
          <w:b/>
          <w:i w:val="false"/>
          <w:caps w:val="false"/>
          <w:smallCaps w:val="false"/>
          <w:color w:val="000000"/>
          <w:spacing w:val="16"/>
          <w:sz w:val="28"/>
        </w:rPr>
        <w:t xml:space="preserve">LivaNova PLC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(Name of Registrant as Specified In Its Charter)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(Name of Person(s) Filing Proxy Statement, if other than the Registrant)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Payment of Filing Fee (Check the appropriate box):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 fee required.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8">
                <wp:simplePos x="0" y="0"/>
                <wp:positionH relativeFrom="column">
                  <wp:align>left</wp:align>
                </wp:positionH>
                <wp:positionV relativeFrom="line">
                  <wp:align>top</wp:align>
                </wp:positionV>
                <wp:extent cx="2286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Fee paid previously with preliminary materials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9">
                <wp:simplePos x="0" y="0"/>
                <wp:positionH relativeFrom="column">
                  <wp:align>left</wp:align>
                </wp:positionH>
                <wp:positionV relativeFrom="line">
                  <wp:align>top</wp:align>
                </wp:positionV>
                <wp:extent cx="2286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Fee computed on table in exhibit required by Item 25(b) per Exchange Act Rules 14a-6(i)(1) and 0-11</w:t>
      </w:r>
      <w:r>
        <w:rPr>
          <w:rFonts w:ascii="Tahoma;Geneva;sans-serif" w:hAnsi="Tahoma;Genev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60">
                <wp:simplePos x="0" y="0"/>
                <wp:positionH relativeFrom="column">
                  <wp:align>left</wp:align>
                </wp:positionH>
                <wp:positionV relativeFrom="line">
                  <wp:align>top</wp:align>
                </wp:positionV>
                <wp:extent cx="2286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center"/>
        <w:rPr>
          <w:caps w:val="false"/>
          <w:smallCaps w:val="false"/>
          <w:color w:val="000000"/>
        </w:rPr>
      </w:pPr>
      <w:r>
        <w:rPr>
          <w:caps w:val="false"/>
          <w:smallCaps w:val="false"/>
          <w:color w:val="000000"/>
        </w:rPr>
        <w:drawing>
          <wp:inline distT="0" distB="0" distL="0" distR="0">
            <wp:extent cx="2390775" cy="6953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390775" cy="695325"/>
                    </a:xfrm>
                    <a:prstGeom prst="rect">
                      <a:avLst/>
                    </a:prstGeom>
                  </pic:spPr>
                </pic:pic>
              </a:graphicData>
            </a:graphic>
          </wp:inline>
        </w:drawing>
      </w:r>
      <w:r>
        <w:rPr>
          <w:caps w:val="false"/>
          <w:smallCaps w:val="false"/>
          <w:color w:val="000000"/>
        </w:rPr>
        <w:t xml:space="preserve"> </w:t>
      </w:r>
    </w:p>
    <w:tbl>
      <w:tblPr>
        <w:tblW w:w="8656" w:type="dxa"/>
        <w:jc w:val="left"/>
        <w:tblInd w:w="1173" w:type="dxa"/>
        <w:tblLayout w:type="fixed"/>
        <w:tblCellMar>
          <w:top w:w="0" w:type="dxa"/>
          <w:left w:w="0" w:type="dxa"/>
          <w:bottom w:w="0" w:type="dxa"/>
          <w:right w:w="0" w:type="dxa"/>
        </w:tblCellMar>
      </w:tblPr>
      <w:tblGrid>
        <w:gridCol w:w="124"/>
        <w:gridCol w:w="8378"/>
        <w:gridCol w:w="154"/>
      </w:tblGrid>
      <w:tr>
        <w:trPr/>
        <w:tc>
          <w:tcPr>
            <w:tcW w:w="124" w:type="dxa"/>
            <w:tcBorders/>
            <w:shd w:fill="702076" w:val="clear"/>
            <w:vAlign w:val="center"/>
          </w:tcPr>
          <w:p>
            <w:pPr>
              <w:pStyle w:val="TableContents"/>
              <w:bidi w:val="0"/>
              <w:spacing w:before="0" w:after="283"/>
              <w:jc w:val="left"/>
              <w:rPr/>
            </w:pPr>
            <w:r>
              <w:rPr/>
              <w:t>​</w:t>
            </w:r>
          </w:p>
        </w:tc>
        <w:tc>
          <w:tcPr>
            <w:tcW w:w="8378" w:type="dxa"/>
            <w:tcBorders/>
            <w:shd w:fill="702076" w:val="clear"/>
            <w:vAlign w:val="center"/>
          </w:tcPr>
          <w:p>
            <w:pPr>
              <w:pStyle w:val="TableContents"/>
              <w:bidi w:val="0"/>
              <w:spacing w:lineRule="atLeast" w:line="240" w:before="0" w:after="0"/>
              <w:jc w:val="center"/>
              <w:rPr/>
            </w:pPr>
            <w:r>
              <w:rPr>
                <w:spacing w:val="14"/>
              </w:rPr>
              <w:t>NOTICE OF 2025 ANNUAL GENERAL MEETING OF SHAREHOLDERS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Notice is hereby given that the 2025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28" w:type="dxa"/>
          <w:right w:w="0" w:type="dxa"/>
        </w:tblCellMar>
      </w:tblPr>
      <w:tblGrid>
        <w:gridCol w:w="124"/>
        <w:gridCol w:w="933"/>
        <w:gridCol w:w="109"/>
        <w:gridCol w:w="109"/>
        <w:gridCol w:w="1564"/>
        <w:gridCol w:w="109"/>
        <w:gridCol w:w="109"/>
        <w:gridCol w:w="5820"/>
        <w:gridCol w:w="155"/>
      </w:tblGrid>
      <w:tr>
        <w:trPr/>
        <w:tc>
          <w:tcPr>
            <w:tcW w:w="124" w:type="dxa"/>
            <w:tcBorders>
              <w:bottom w:val="single" w:sz="16" w:space="0" w:color="702076"/>
            </w:tcBorders>
            <w:vAlign w:val="center"/>
          </w:tcPr>
          <w:p>
            <w:pPr>
              <w:pStyle w:val="TableContents"/>
              <w:bidi w:val="0"/>
              <w:spacing w:before="0" w:after="283"/>
              <w:jc w:val="left"/>
              <w:rPr/>
            </w:pPr>
            <w:r>
              <w:rPr/>
              <w:t>​</w:t>
            </w:r>
          </w:p>
        </w:tc>
        <w:tc>
          <w:tcPr>
            <w:tcW w:w="933" w:type="dxa"/>
            <w:tcBorders>
              <w:bottom w:val="single" w:sz="16" w:space="0" w:color="702076"/>
            </w:tcBorders>
            <w:tcMar>
              <w:bottom w:w="360" w:type="dxa"/>
            </w:tcMar>
            <w:vAlign w:val="center"/>
          </w:tcPr>
          <w:p>
            <w:pPr>
              <w:pStyle w:val="TableContents"/>
              <w:bidi w:val="0"/>
              <w:spacing w:before="0" w:after="0"/>
              <w:jc w:val="center"/>
              <w:rPr/>
            </w:pPr>
            <w:r>
              <w:rPr/>
              <w:drawing>
                <wp:inline distT="0" distB="0" distL="0" distR="0">
                  <wp:extent cx="466725" cy="4095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466725" cy="409575"/>
                          </a:xfrm>
                          <a:prstGeom prst="rect">
                            <a:avLst/>
                          </a:prstGeom>
                        </pic:spPr>
                      </pic:pic>
                    </a:graphicData>
                  </a:graphic>
                </wp:inline>
              </w:drawing>
            </w:r>
            <w:r>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1564" w:type="dxa"/>
            <w:tcBorders>
              <w:bottom w:val="single" w:sz="16" w:space="0" w:color="702076"/>
            </w:tcBorders>
            <w:tcMar>
              <w:bottom w:w="280" w:type="dxa"/>
            </w:tcMar>
            <w:vAlign w:val="center"/>
          </w:tcPr>
          <w:p>
            <w:pPr>
              <w:pStyle w:val="TableContents"/>
              <w:bidi w:val="0"/>
              <w:spacing w:lineRule="atLeast" w:line="260" w:before="0" w:after="283"/>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Date and Time:</w:t>
            </w:r>
            <w:r>
              <w:rPr>
                <w:rFonts w:ascii="Arial Narrow;Arial;Tahoma;Geneva;sans-serif" w:hAnsi="Arial Narrow;Arial;Tahoma;Geneva;sans-serif"/>
                <w:b/>
                <w:color w:val="FF5B34"/>
                <w:sz w:val="22"/>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5820" w:type="dxa"/>
            <w:tcBorders>
              <w:bottom w:val="single" w:sz="16" w:space="0" w:color="702076"/>
            </w:tcBorders>
            <w:tcMar>
              <w:bottom w:w="280" w:type="dxa"/>
            </w:tcMar>
            <w:vAlign w:val="center"/>
          </w:tcPr>
          <w:p>
            <w:pPr>
              <w:pStyle w:val="TableContents"/>
              <w:bidi w:val="0"/>
              <w:spacing w:lineRule="atLeast" w:line="240" w:before="0" w:after="283"/>
              <w:jc w:val="left"/>
              <w:rPr>
                <w:spacing w:val="2"/>
              </w:rPr>
            </w:pPr>
            <w:r>
              <w:rPr>
                <w:spacing w:val="2"/>
              </w:rPr>
              <w:t xml:space="preserve">Wednesday, June 11, 2025 </w:t>
              <w:br/>
              <w:t xml:space="preserve">3:00 pm British Summer Time/10:00 am Eastern Time </w:t>
            </w:r>
          </w:p>
        </w:tc>
        <w:tc>
          <w:tcPr>
            <w:tcW w:w="155" w:type="dxa"/>
            <w:tcBorders>
              <w:bottom w:val="single" w:sz="16" w:space="0" w:color="702076"/>
            </w:tcBorders>
            <w:vAlign w:val="center"/>
          </w:tcPr>
          <w:p>
            <w:pPr>
              <w:pStyle w:val="TableContents"/>
              <w:bidi w:val="0"/>
              <w:spacing w:before="0" w:after="283"/>
              <w:jc w:val="left"/>
              <w:rPr/>
            </w:pPr>
            <w:r>
              <w:rPr/>
              <w:t>​</w:t>
            </w:r>
          </w:p>
        </w:tc>
      </w:tr>
      <w:tr>
        <w:trPr/>
        <w:tc>
          <w:tcPr>
            <w:tcW w:w="124" w:type="dxa"/>
            <w:tcBorders>
              <w:bottom w:val="single" w:sz="16" w:space="0" w:color="702076"/>
            </w:tcBorders>
            <w:vAlign w:val="center"/>
          </w:tcPr>
          <w:p>
            <w:pPr>
              <w:pStyle w:val="TableContents"/>
              <w:bidi w:val="0"/>
              <w:spacing w:before="0" w:after="283"/>
              <w:jc w:val="left"/>
              <w:rPr/>
            </w:pPr>
            <w:r>
              <w:rPr/>
              <w:t>​</w:t>
            </w:r>
          </w:p>
        </w:tc>
        <w:tc>
          <w:tcPr>
            <w:tcW w:w="933" w:type="dxa"/>
            <w:tcBorders>
              <w:bottom w:val="single" w:sz="16" w:space="0" w:color="702076"/>
            </w:tcBorders>
            <w:vAlign w:val="center"/>
          </w:tcPr>
          <w:p>
            <w:pPr>
              <w:pStyle w:val="TableContents"/>
              <w:bidi w:val="0"/>
              <w:spacing w:before="0" w:after="0"/>
              <w:jc w:val="center"/>
              <w:rPr/>
            </w:pPr>
            <w:r>
              <w:rPr/>
              <w:drawing>
                <wp:inline distT="0" distB="0" distL="0" distR="0">
                  <wp:extent cx="485775" cy="4191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85775" cy="419100"/>
                          </a:xfrm>
                          <a:prstGeom prst="rect">
                            <a:avLst/>
                          </a:prstGeom>
                        </pic:spPr>
                      </pic:pic>
                    </a:graphicData>
                  </a:graphic>
                </wp:inline>
              </w:drawing>
            </w:r>
            <w:r>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1564" w:type="dxa"/>
            <w:tcBorders>
              <w:bottom w:val="single" w:sz="16" w:space="0" w:color="702076"/>
            </w:tcBorders>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Virtual Meeting Site:</w:t>
            </w:r>
            <w:r>
              <w:rPr>
                <w:rFonts w:ascii="Arial Narrow;Arial;Tahoma;Geneva;sans-serif" w:hAnsi="Arial Narrow;Arial;Tahoma;Geneva;sans-serif"/>
                <w:b/>
                <w:color w:val="FF5B34"/>
                <w:sz w:val="22"/>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5820" w:type="dxa"/>
            <w:tcBorders>
              <w:bottom w:val="single" w:sz="16" w:space="0" w:color="702076"/>
            </w:tcBorders>
            <w:vAlign w:val="center"/>
          </w:tcPr>
          <w:p>
            <w:pPr>
              <w:pStyle w:val="TableContents"/>
              <w:bidi w:val="0"/>
              <w:spacing w:lineRule="atLeast" w:line="240" w:before="0" w:after="0"/>
              <w:jc w:val="left"/>
              <w:rPr>
                <w:rFonts w:ascii="Arial Narrow;Arial;Tahoma;Geneva;sans-serif" w:hAnsi="Arial Narrow;Arial;Tahoma;Geneva;sans-serif"/>
                <w:b/>
              </w:rPr>
            </w:pPr>
            <w:r>
              <w:rPr>
                <w:rFonts w:ascii="Arial Narrow;Arial;Tahoma;Geneva;sans-serif" w:hAnsi="Arial Narrow;Arial;Tahoma;Geneva;sans-serif"/>
                <w:b/>
                <w:spacing w:val="11"/>
              </w:rPr>
              <w:t>www.meetnow.global/MFSFQWM</w:t>
            </w:r>
            <w:r>
              <w:rPr>
                <w:rFonts w:ascii="Arial Narrow;Arial;Tahoma;Geneva;sans-serif" w:hAnsi="Arial Narrow;Arial;Tahoma;Geneva;sans-serif"/>
                <w:b/>
              </w:rPr>
              <w:t xml:space="preserve"> </w:t>
            </w:r>
          </w:p>
        </w:tc>
        <w:tc>
          <w:tcPr>
            <w:tcW w:w="155" w:type="dxa"/>
            <w:tcBorders>
              <w:bottom w:val="single" w:sz="16" w:space="0" w:color="702076"/>
            </w:tcBorders>
            <w:vAlign w:val="center"/>
          </w:tcPr>
          <w:p>
            <w:pPr>
              <w:pStyle w:val="TableContents"/>
              <w:bidi w:val="0"/>
              <w:spacing w:before="0" w:after="283"/>
              <w:jc w:val="left"/>
              <w:rPr/>
            </w:pPr>
            <w:r>
              <w:rPr/>
              <w:t>​</w:t>
            </w:r>
          </w:p>
        </w:tc>
      </w:tr>
      <w:tr>
        <w:trPr/>
        <w:tc>
          <w:tcPr>
            <w:tcW w:w="124" w:type="dxa"/>
            <w:tcBorders>
              <w:bottom w:val="single" w:sz="16" w:space="0" w:color="702076"/>
            </w:tcBorders>
            <w:vAlign w:val="center"/>
          </w:tcPr>
          <w:p>
            <w:pPr>
              <w:pStyle w:val="TableContents"/>
              <w:bidi w:val="0"/>
              <w:spacing w:before="0" w:after="283"/>
              <w:jc w:val="left"/>
              <w:rPr/>
            </w:pPr>
            <w:r>
              <w:rPr/>
              <w:t>​</w:t>
            </w:r>
          </w:p>
        </w:tc>
        <w:tc>
          <w:tcPr>
            <w:tcW w:w="933" w:type="dxa"/>
            <w:tcBorders>
              <w:bottom w:val="single" w:sz="16" w:space="0" w:color="702076"/>
            </w:tcBorders>
            <w:vAlign w:val="center"/>
          </w:tcPr>
          <w:p>
            <w:pPr>
              <w:pStyle w:val="TableContents"/>
              <w:bidi w:val="0"/>
              <w:spacing w:before="0" w:after="0"/>
              <w:jc w:val="center"/>
              <w:rPr/>
            </w:pPr>
            <w:r>
              <w:rPr/>
              <w:drawing>
                <wp:inline distT="0" distB="0" distL="0" distR="0">
                  <wp:extent cx="533400" cy="3905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533400" cy="390525"/>
                          </a:xfrm>
                          <a:prstGeom prst="rect">
                            <a:avLst/>
                          </a:prstGeom>
                        </pic:spPr>
                      </pic:pic>
                    </a:graphicData>
                  </a:graphic>
                </wp:inline>
              </w:drawing>
            </w:r>
            <w:r>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1564" w:type="dxa"/>
            <w:tcBorders>
              <w:bottom w:val="single" w:sz="16" w:space="0" w:color="702076"/>
            </w:tcBorders>
            <w:tcMar>
              <w:bottom w:w="280" w:type="dxa"/>
            </w:tcMar>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 xml:space="preserve">Shareholders Eligible </w:t>
              <w:br/>
              <w:t>to Attend:</w:t>
            </w:r>
            <w:r>
              <w:rPr>
                <w:rFonts w:ascii="Arial Narrow;Arial;Tahoma;Geneva;sans-serif" w:hAnsi="Arial Narrow;Arial;Tahoma;Geneva;sans-serif"/>
                <w:b/>
                <w:color w:val="FF5B34"/>
                <w:sz w:val="22"/>
              </w:rPr>
              <w:t xml:space="preserve"> </w:t>
            </w:r>
          </w:p>
        </w:tc>
        <w:tc>
          <w:tcPr>
            <w:tcW w:w="109" w:type="dxa"/>
            <w:tcBorders>
              <w:bottom w:val="single" w:sz="16" w:space="0" w:color="702076"/>
            </w:tcBorders>
            <w:vAlign w:val="center"/>
          </w:tcPr>
          <w:p>
            <w:pPr>
              <w:pStyle w:val="TableContents"/>
              <w:bidi w:val="0"/>
              <w:spacing w:before="0" w:after="283"/>
              <w:jc w:val="left"/>
              <w:rPr/>
            </w:pPr>
            <w:r>
              <w:rPr/>
              <w:t>​</w:t>
            </w:r>
          </w:p>
        </w:tc>
        <w:tc>
          <w:tcPr>
            <w:tcW w:w="109" w:type="dxa"/>
            <w:tcBorders>
              <w:bottom w:val="single" w:sz="16" w:space="0" w:color="702076"/>
            </w:tcBorders>
            <w:vAlign w:val="center"/>
          </w:tcPr>
          <w:p>
            <w:pPr>
              <w:pStyle w:val="TableContents"/>
              <w:bidi w:val="0"/>
              <w:spacing w:before="0" w:after="283"/>
              <w:jc w:val="left"/>
              <w:rPr/>
            </w:pPr>
            <w:r>
              <w:rPr/>
              <w:t>​</w:t>
            </w:r>
          </w:p>
        </w:tc>
        <w:tc>
          <w:tcPr>
            <w:tcW w:w="5820" w:type="dxa"/>
            <w:tcBorders>
              <w:bottom w:val="single" w:sz="16" w:space="0" w:color="702076"/>
            </w:tcBorders>
            <w:tcMar>
              <w:bottom w:w="280" w:type="dxa"/>
            </w:tcMar>
            <w:vAlign w:val="center"/>
          </w:tcPr>
          <w:p>
            <w:pPr>
              <w:pStyle w:val="TableContents"/>
              <w:bidi w:val="0"/>
              <w:spacing w:lineRule="atLeast" w:line="240" w:before="0" w:after="0"/>
              <w:jc w:val="both"/>
              <w:rPr/>
            </w:pPr>
            <w:r>
              <w:rPr>
                <w:spacing w:val="2"/>
              </w:rPr>
              <w:t>Shareholders of record at the close of The Nasdaq Stock Market LLC exchange on April 14, 2025 (the “Record Date”) may attend the meeting. If you plan to attend the meeting, please follow the registration instructions as outlined in this proxy statement. The meeting is a virtual meeting; no physical meeting will be held.</w:t>
            </w:r>
            <w:r>
              <w:rPr/>
              <w:t xml:space="preserve"> </w:t>
            </w:r>
          </w:p>
          <w:p>
            <w:pPr>
              <w:pStyle w:val="TableContents"/>
              <w:bidi w:val="0"/>
              <w:spacing w:lineRule="atLeast" w:line="240" w:before="120" w:after="283"/>
              <w:jc w:val="both"/>
              <w:rPr/>
            </w:pPr>
            <w:r>
              <w:rPr>
                <w:spacing w:val="2"/>
              </w:rPr>
              <w:t>Members who are entitled to attend and vote are also entitled to appoint another person as a proxy to exercise all or any of their rights to attend, speak and vote at the meeting on their behalf in respect of the ordinary shares with nominal value £1 per share (each, an “Ordinary Share”) held by them.</w:t>
            </w:r>
            <w:r>
              <w:rPr/>
              <w:t xml:space="preserve"> </w:t>
            </w:r>
          </w:p>
          <w:p>
            <w:pPr>
              <w:pStyle w:val="TableContents"/>
              <w:bidi w:val="0"/>
              <w:spacing w:lineRule="atLeast" w:line="240" w:before="120" w:after="283"/>
              <w:jc w:val="both"/>
              <w:rPr>
                <w:spacing w:val="2"/>
              </w:rPr>
            </w:pPr>
            <w:r>
              <w:rPr>
                <w:spacing w:val="2"/>
              </w:rPr>
              <w:t xml:space="preserve">For information on attending and voting at the meeting and appointing a proxy, see LivaNova’s “Frequently Asked Questions about the Annual General Meeting”. </w:t>
            </w:r>
          </w:p>
        </w:tc>
        <w:tc>
          <w:tcPr>
            <w:tcW w:w="155" w:type="dxa"/>
            <w:tcBorders>
              <w:bottom w:val="single" w:sz="16" w:space="0" w:color="702076"/>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33" w:type="dxa"/>
            <w:tcBorders/>
            <w:tcMar>
              <w:bottom w:w="0" w:type="dxa"/>
            </w:tcMar>
            <w:vAlign w:val="center"/>
          </w:tcPr>
          <w:p>
            <w:pPr>
              <w:pStyle w:val="TableContents"/>
              <w:bidi w:val="0"/>
              <w:spacing w:before="0" w:after="0"/>
              <w:jc w:val="center"/>
              <w:rPr/>
            </w:pPr>
            <w:r>
              <w:rPr/>
              <w:drawing>
                <wp:inline distT="0" distB="0" distL="0" distR="0">
                  <wp:extent cx="485775" cy="4286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485775" cy="4286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 xml:space="preserve">Number of Votes </w:t>
              <w:br/>
              <w:t>Outstanding:</w:t>
            </w:r>
            <w:r>
              <w:rPr>
                <w:rFonts w:ascii="Arial Narrow;Arial;Tahoma;Geneva;sans-serif" w:hAnsi="Arial Narrow;Arial;Tahoma;Geneva;sans-serif"/>
                <w:b/>
                <w:color w:val="FF5B34"/>
                <w:sz w:val="2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20" w:type="dxa"/>
            <w:tcBorders/>
            <w:tcMar>
              <w:bottom w:w="0" w:type="dxa"/>
            </w:tcMar>
            <w:vAlign w:val="center"/>
          </w:tcPr>
          <w:p>
            <w:pPr>
              <w:pStyle w:val="TableContents"/>
              <w:bidi w:val="0"/>
              <w:spacing w:lineRule="atLeast" w:line="240" w:before="0" w:after="0"/>
              <w:jc w:val="both"/>
              <w:rPr/>
            </w:pPr>
            <w:r>
              <w:rPr>
                <w:spacing w:val="2"/>
              </w:rPr>
              <w:t>The Company only has one class of voting share, being the Ordinary Shares. On April 14, 2025, there were 54,524,159 Ordinary Shares in issue and entitled to vote, each carrying one vote per share.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957"/>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8357" w:type="dxa"/>
        <w:jc w:val="left"/>
        <w:tblInd w:w="1173" w:type="dxa"/>
        <w:tblLayout w:type="fixed"/>
        <w:tblCellMar>
          <w:top w:w="0" w:type="dxa"/>
          <w:left w:w="0" w:type="dxa"/>
          <w:bottom w:w="0" w:type="dxa"/>
          <w:right w:w="0" w:type="dxa"/>
        </w:tblCellMar>
      </w:tblPr>
      <w:tblGrid>
        <w:gridCol w:w="124"/>
        <w:gridCol w:w="8079"/>
        <w:gridCol w:w="154"/>
      </w:tblGrid>
      <w:tr>
        <w:trPr/>
        <w:tc>
          <w:tcPr>
            <w:tcW w:w="124" w:type="dxa"/>
            <w:tcBorders/>
            <w:shd w:fill="702076" w:val="clear"/>
            <w:vAlign w:val="center"/>
          </w:tcPr>
          <w:p>
            <w:pPr>
              <w:pStyle w:val="TableContents"/>
              <w:bidi w:val="0"/>
              <w:spacing w:before="0" w:after="283"/>
              <w:jc w:val="left"/>
              <w:rPr/>
            </w:pPr>
            <w:r>
              <w:rPr/>
              <w:t>​</w:t>
            </w:r>
          </w:p>
        </w:tc>
        <w:tc>
          <w:tcPr>
            <w:tcW w:w="8079" w:type="dxa"/>
            <w:tcBorders/>
            <w:shd w:fill="702076" w:val="clear"/>
            <w:vAlign w:val="center"/>
          </w:tcPr>
          <w:p>
            <w:pPr>
              <w:pStyle w:val="TableContents"/>
              <w:bidi w:val="0"/>
              <w:spacing w:lineRule="atLeast" w:line="240" w:before="0" w:after="0"/>
              <w:jc w:val="center"/>
              <w:rPr/>
            </w:pPr>
            <w:r>
              <w:rPr>
                <w:spacing w:val="14"/>
              </w:rPr>
              <w:t>ITEMS OF BUSINESS AND BOARD VOTING RECOMMENDATIONS</w:t>
            </w:r>
            <w:r>
              <w:rPr/>
              <w:t xml:space="preserve">​ </w:t>
            </w:r>
          </w:p>
        </w:tc>
        <w:tc>
          <w:tcPr>
            <w:tcW w:w="154" w:type="dxa"/>
            <w:tcBorders/>
            <w:shd w:fill="702076"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495"/>
        <w:gridCol w:w="109"/>
        <w:gridCol w:w="109"/>
        <w:gridCol w:w="109"/>
        <w:gridCol w:w="5339"/>
        <w:gridCol w:w="109"/>
        <w:gridCol w:w="109"/>
        <w:gridCol w:w="109"/>
        <w:gridCol w:w="2046"/>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95"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339"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46" w:type="dxa"/>
            <w:tcBorders/>
            <w:shd w:fill="702076"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72"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72"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elect, by separate resolutions, each of the following ten (10) directors for a term expiring at the AGM to be held in 2026 (“2026 AGM”):</w:t>
            </w:r>
            <w:r>
              <w:rPr/>
              <w:t xml:space="preserve"> </w:t>
            </w:r>
          </w:p>
          <w:p>
            <w:pPr>
              <w:pStyle w:val="TableContents"/>
              <w:bidi w:val="0"/>
              <w:spacing w:lineRule="atLeast" w:line="200" w:before="80" w:after="0"/>
              <w:ind w:left="600" w:right="0" w:hanging="0"/>
              <w:jc w:val="left"/>
              <w:rPr/>
            </w:pPr>
            <w:r>
              <w:rPr>
                <w:spacing w:val="2"/>
              </w:rPr>
              <w:t>J. Christopher Barry</w:t>
            </w:r>
            <w:r>
              <w:rPr/>
              <w:t xml:space="preserve"> </w:t>
            </w:r>
            <w:r>
              <mc:AlternateContent>
                <mc:Choice Requires="wps">
                  <w:drawing>
                    <wp:anchor behindDoc="0" distT="50800" distB="0" distL="127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16"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Francesco Bianchi</w:t>
            </w:r>
            <w:r>
              <w:rPr/>
              <w:t xml:space="preserve"> </w:t>
            </w:r>
            <w:r>
              <mc:AlternateContent>
                <mc:Choice Requires="wps">
                  <w:drawing>
                    <wp:anchor behindDoc="0" distT="101600" distB="0" distL="127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17"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Stacy Enxing Seng</w:t>
            </w:r>
            <w:r>
              <w:rPr/>
              <w:t xml:space="preserve"> </w:t>
            </w:r>
            <w:r>
              <mc:AlternateContent>
                <mc:Choice Requires="wps">
                  <w:drawing>
                    <wp:anchor behindDoc="0" distT="101600" distB="0" distL="127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18"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c.</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William Kozy</w:t>
            </w:r>
            <w:r>
              <w:rPr/>
              <w:t xml:space="preserve"> </w:t>
            </w:r>
            <w:r>
              <mc:AlternateContent>
                <mc:Choice Requires="wps">
                  <w:drawing>
                    <wp:anchor behindDoc="0" distT="101600" distB="0" distL="127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19"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d.</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Vladimir Makatsaria</w:t>
            </w:r>
            <w:r>
              <w:rPr/>
              <w:t xml:space="preserve"> </w:t>
            </w:r>
            <w:r>
              <mc:AlternateContent>
                <mc:Choice Requires="wps">
                  <w:drawing>
                    <wp:anchor behindDoc="0" distT="101600" distB="0" distL="127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e.</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Dr. Sharon O’Kane</w:t>
            </w:r>
            <w:r>
              <w:rPr/>
              <w:t xml:space="preserve"> </w:t>
            </w:r>
            <w:r>
              <mc:AlternateContent>
                <mc:Choice Requires="wps">
                  <w:drawing>
                    <wp:anchor behindDoc="0" distT="101600" distB="0" distL="127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21"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f.</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Susan Podlogar</w:t>
            </w:r>
            <w:r>
              <w:rPr/>
              <w:t xml:space="preserve"> </w:t>
            </w:r>
            <w:r>
              <mc:AlternateContent>
                <mc:Choice Requires="wps">
                  <w:drawing>
                    <wp:anchor behindDoc="0" distT="101600" distB="0" distL="127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g.</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Todd Schermerhorn</w:t>
            </w:r>
            <w:r>
              <w:rPr/>
              <w:t xml:space="preserve"> </w:t>
            </w:r>
            <w:r>
              <mc:AlternateContent>
                <mc:Choice Requires="wps">
                  <w:drawing>
                    <wp:anchor behindDoc="0" distT="101600" distB="0" distL="127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h.</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pPr>
            <w:r>
              <w:rPr>
                <w:spacing w:val="2"/>
              </w:rPr>
              <w:t>Brooke Story</w:t>
            </w:r>
            <w:r>
              <w:rPr/>
              <w:t xml:space="preserve"> </w:t>
            </w:r>
            <w:r>
              <mc:AlternateContent>
                <mc:Choice Requires="wps">
                  <w:drawing>
                    <wp:anchor behindDoc="0" distT="101600" distB="0" distL="127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i.</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600" w:right="0" w:hanging="0"/>
              <w:jc w:val="left"/>
              <w:rPr>
                <w:spacing w:val="2"/>
              </w:rPr>
            </w:pPr>
            <w:r>
              <w:rPr>
                <w:spacing w:val="2"/>
              </w:rPr>
              <w:t xml:space="preserve">Peter Wilver </w:t>
            </w:r>
            <w:r>
              <mc:AlternateContent>
                <mc:Choice Requires="wps">
                  <w:drawing>
                    <wp:anchor behindDoc="0" distT="101600" distB="0" distL="127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25"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j.</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72"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p>
            <w:pPr>
              <w:pStyle w:val="TableContents"/>
              <w:bidi w:val="0"/>
              <w:spacing w:lineRule="atLeast" w:line="200" w:before="40" w:after="283"/>
              <w:jc w:val="center"/>
              <w:rPr>
                <w:i/>
                <w:sz w:val="16"/>
              </w:rPr>
            </w:pPr>
            <w:r>
              <w:rPr>
                <w:i/>
                <w:sz w:val="16"/>
              </w:rPr>
              <w:t>(in respect of each nominee)</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2</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on an advisory basis, the Company’s compensation of its named executive officers (“US Say on Pay”).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3</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ratify the appointment of PricewaterhouseCoopers LLP, a Delaware limited liability partnership (“PwC-US”), as the Company’s independent registered public accounting firm for 2025.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4</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the Second Amended and Restated LivaNova PLC 2022 Incentive Award Plan.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5</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the LivaNova PLC 2025 Director Incentive Award Plan.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6</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39"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£10,904,831, provided that:</w:t>
            </w:r>
            <w:r>
              <w:rPr/>
              <w:t xml:space="preserve"> </w:t>
            </w:r>
          </w:p>
          <w:p>
            <w:pPr>
              <w:pStyle w:val="TableContents"/>
              <w:bidi w:val="0"/>
              <w:spacing w:lineRule="atLeast" w:line="240" w:before="160" w:after="0"/>
              <w:ind w:left="600" w:right="0" w:hanging="0"/>
              <w:jc w:val="both"/>
              <w:rPr>
                <w:spacing w:val="2"/>
              </w:rPr>
            </w:pPr>
            <w:r>
              <w:rPr>
                <w:spacing w:val="2"/>
              </w:rPr>
              <w:t xml:space="preserve">(unless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w:t>
            </w:r>
            <w:r>
              <mc:AlternateContent>
                <mc:Choice Requires="wps">
                  <w:drawing>
                    <wp:anchor behindDoc="0" distT="101600" distB="0" distL="127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26"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451"/>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95"/>
        <w:gridCol w:w="109"/>
        <w:gridCol w:w="109"/>
        <w:gridCol w:w="109"/>
        <w:gridCol w:w="5340"/>
        <w:gridCol w:w="109"/>
        <w:gridCol w:w="109"/>
        <w:gridCol w:w="109"/>
        <w:gridCol w:w="2046"/>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95"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340"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46" w:type="dxa"/>
            <w:tcBorders/>
            <w:shd w:fill="702076"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40" w:type="dxa"/>
            <w:tcBorders>
              <w:bottom w:val="single" w:sz="8" w:space="0" w:color="702076"/>
            </w:tcBorders>
            <w:tcMar>
              <w:bottom w:w="172" w:type="dxa"/>
            </w:tcMar>
            <w:vAlign w:val="center"/>
          </w:tcPr>
          <w:p>
            <w:pPr>
              <w:pStyle w:val="TableContents"/>
              <w:bidi w:val="0"/>
              <w:spacing w:before="0" w:after="0"/>
              <w:ind w:left="600" w:right="0" w:hanging="0"/>
              <w:jc w:val="both"/>
              <w:rPr/>
            </w:pPr>
            <w:r>
              <w:rPr>
                <w:spacing w:val="2"/>
              </w:rPr>
              <w:t>directors may allot shares or grant rights to subscribe for, or convert securities into, shares pursuant to such offers or agreements as if this authority had not expired; and</w:t>
            </w:r>
            <w:r>
              <w:rPr/>
              <w:t xml:space="preserve"> </w:t>
            </w:r>
          </w:p>
          <w:p>
            <w:pPr>
              <w:pStyle w:val="TableContents"/>
              <w:bidi w:val="0"/>
              <w:spacing w:lineRule="atLeast" w:line="240" w:before="120" w:after="0"/>
              <w:ind w:left="660" w:right="0" w:hanging="0"/>
              <w:jc w:val="both"/>
              <w:rPr>
                <w:spacing w:val="2"/>
              </w:rPr>
            </w:pPr>
            <w:r>
              <w:rPr>
                <w:spacing w:val="2"/>
              </w:rPr>
              <w:t xml:space="preserve">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w:t>
            </w:r>
            <w:r>
              <mc:AlternateContent>
                <mc:Choice Requires="wps">
                  <w:drawing>
                    <wp:anchor behindDoc="0" distT="76200" distB="0" distL="139700" distR="0" simplePos="0" locked="0" layoutInCell="1" allowOverlap="1" relativeHeight="372">
                      <wp:simplePos x="0" y="0"/>
                      <wp:positionH relativeFrom="column">
                        <wp:align>left</wp:align>
                      </wp:positionH>
                      <wp:positionV relativeFrom="line">
                        <wp:align>top</wp:align>
                      </wp:positionV>
                      <wp:extent cx="279400" cy="350520"/>
                      <wp:effectExtent l="0" t="0" r="0" b="0"/>
                      <wp:wrapSquare wrapText="right"/>
                      <wp:docPr id="29" name="Frame20"/>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2pt;height:27.6pt;mso-wrap-distance-left:11pt;mso-wrap-distance-right:0pt;mso-wrap-distance-top:6pt;mso-wrap-distance-bottom:0pt;margin-top:6pt;mso-position-vertical:top;mso-position-vertical-relative:text;margin-left:11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72"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7</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40" w:type="dxa"/>
            <w:tcBorders>
              <w:bottom w:val="single" w:sz="8" w:space="0" w:color="702076"/>
            </w:tcBorders>
            <w:tcMar>
              <w:bottom w:w="172" w:type="dxa"/>
            </w:tcMar>
            <w:vAlign w:val="center"/>
          </w:tcPr>
          <w:p>
            <w:pPr>
              <w:pStyle w:val="TableContents"/>
              <w:bidi w:val="0"/>
              <w:spacing w:before="0" w:after="0"/>
              <w:jc w:val="both"/>
              <w:rPr/>
            </w:pPr>
            <w:r>
              <w:rPr>
                <w:rFonts w:ascii="Arial Narrow;Arial;Tahoma;Geneva;sans-serif" w:hAnsi="Arial Narrow;Arial;Tahoma;Geneva;sans-serif"/>
                <w:b/>
                <w:spacing w:val="11"/>
              </w:rPr>
              <w:t>Special Resolution:</w:t>
            </w:r>
            <w:r>
              <w:rPr>
                <w:spacing w:val="2"/>
              </w:rPr>
              <w:t xml:space="preserve">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£10,904,831, provided that:</w:t>
            </w:r>
            <w:r>
              <w:rPr/>
              <w:t xml:space="preserve"> </w:t>
            </w:r>
          </w:p>
          <w:p>
            <w:pPr>
              <w:pStyle w:val="TableContents"/>
              <w:bidi w:val="0"/>
              <w:spacing w:lineRule="atLeast" w:line="240" w:before="120" w:after="0"/>
              <w:ind w:left="600" w:right="0" w:hanging="0"/>
              <w:jc w:val="both"/>
              <w:rPr/>
            </w:pPr>
            <w:r>
              <w:rPr>
                <w:spacing w:val="2"/>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r>
              <w:rPr/>
              <w:t xml:space="preserve"> </w:t>
            </w:r>
            <w:r>
              <mc:AlternateContent>
                <mc:Choice Requires="wps">
                  <w:drawing>
                    <wp:anchor behindDoc="0" distT="76200" distB="0" distL="12700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0"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40" w:before="120" w:after="0"/>
              <w:ind w:left="600" w:right="0" w:hanging="0"/>
              <w:jc w:val="both"/>
              <w:rPr>
                <w:spacing w:val="2"/>
              </w:rPr>
            </w:pPr>
            <w:r>
              <w:rPr>
                <w:spacing w:val="2"/>
              </w:rPr>
              <w:t xml:space="preserve">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w:t>
            </w:r>
            <w:r>
              <mc:AlternateContent>
                <mc:Choice Requires="wps">
                  <w:drawing>
                    <wp:anchor behindDoc="0" distT="76200" distB="0" distL="12700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1"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72"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8</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40"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on an advisory basis, the United Kingdom (“UK”) directors’ remuneration report in the form set out in the Company’s UK annual report (the “UK Annual Report”) for the period ended December 31, 2024.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5"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9</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40"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the directors’ remuneration policy contained in the directors’ remuneration report as set forth in the UK Annual Report for the period ended December 31, 2024.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46"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451"/>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1"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pPr>
            <w:r>
              <w:rPr>
                <w:spacing w:val="0"/>
                <w:bdr w:val="single" w:sz="96" w:space="1" w:color="702076"/>
              </w:rPr>
              <w:t> </w:t>
            </w:r>
            <w:r>
              <w:rPr>
                <w:spacing w:val="2"/>
              </w:rPr>
              <w:t> </w:t>
            </w:r>
            <w:r>
              <w:rPr>
                <w:rFonts w:ascii="Arial Narrow;Arial;Tahoma;Geneva;sans-serif" w:hAnsi="Arial Narrow;Arial;Tahoma;Geneva;sans-serif"/>
                <w:b/>
                <w:color w:val="702076"/>
                <w:spacing w:val="11"/>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02"/>
        <w:gridCol w:w="109"/>
        <w:gridCol w:w="109"/>
        <w:gridCol w:w="109"/>
        <w:gridCol w:w="5326"/>
        <w:gridCol w:w="109"/>
        <w:gridCol w:w="109"/>
        <w:gridCol w:w="109"/>
        <w:gridCol w:w="205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02"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326" w:type="dxa"/>
            <w:tcBorders/>
            <w:shd w:fill="702076"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53" w:type="dxa"/>
            <w:tcBorders/>
            <w:shd w:fill="702076"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02"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10</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26"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receive and adopt the Company’s audited UK statutory accounts for the year ended December 31, 2024, together with the reports of the directors and auditors thereon.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53"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02"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11</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26"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re-appoint PricewaterhouseCoopers LLP, a limited liability partnership organized under the laws of England (“PwC-UK”), as the Company’s UK statutory auditor for 2025.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53"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02"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12</w:t>
            </w:r>
            <w:r>
              <w:rPr>
                <w:rFonts w:ascii="Arial Narrow;Arial;Tahoma;Geneva;sans-serif" w:hAnsi="Arial Narrow;Arial;Tahoma;Geneva;sans-serif"/>
                <w:b/>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26" w:type="dxa"/>
            <w:tcBorders>
              <w:bottom w:val="single" w:sz="8" w:space="0" w:color="702076"/>
            </w:tcBorders>
            <w:tcMar>
              <w:bottom w:w="10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authorize the directors and/or the Audit and Compliance Committee to determine the remuneration of the Company’s UK statutory auditor.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053" w:type="dxa"/>
            <w:tcBorders>
              <w:bottom w:val="single" w:sz="8" w:space="0" w:color="702076"/>
            </w:tcBorders>
            <w:tcMar>
              <w:bottom w:w="10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40" w:after="283"/>
        <w:ind w:left="1173" w:right="0" w:hanging="0"/>
        <w:jc w:val="left"/>
        <w:rPr>
          <w:rFonts w:ascii="Arial Narrow;Arial;Tahoma;Geneva;sans-serif" w:hAnsi="Arial Narrow;Arial;Tahoma;Geneva;sans-serif"/>
          <w:b/>
          <w:i w:val="false"/>
          <w:caps w:val="false"/>
          <w:smallCaps w:val="false"/>
          <w:color w:val="702076"/>
          <w:sz w:val="22"/>
        </w:rPr>
      </w:pPr>
      <w:r>
        <w:rPr>
          <w:rFonts w:ascii="Arial Narrow;Arial;Tahoma;Geneva;sans-serif" w:hAnsi="Arial Narrow;Arial;Tahoma;Geneva;sans-serif"/>
          <w:b/>
          <w:i w:val="false"/>
          <w:caps w:val="false"/>
          <w:smallCaps w:val="false"/>
          <w:color w:val="702076"/>
          <w:spacing w:val="13"/>
          <w:sz w:val="22"/>
        </w:rPr>
        <w:t>Section 527 Notice — Website Materials</w:t>
      </w:r>
      <w:r>
        <w:rPr>
          <w:rFonts w:ascii="Arial Narrow;Arial;Tahoma;Geneva;sans-serif" w:hAnsi="Arial Narrow;Arial;Tahoma;Geneva;sans-serif"/>
          <w:b/>
          <w:i w:val="false"/>
          <w:caps w:val="false"/>
          <w:smallCaps w:val="false"/>
          <w:color w:val="000000"/>
          <w:spacing w:val="4"/>
          <w:sz w:val="22"/>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section 527 of the Companies Act, shareholders meeting the threshold requirements set out in that section have the right to require the Company to publish on a website a statement setting out any matter relating to: (1) the audit of the Company’s accounts (including the auditor’s report and the conduct of the audit) that are to be laid before the meeting; or (2)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notice and proxy statement is being mailed or made available to shareholders on April 30,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7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By order of the Board of Directors,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2400300" cy="42862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240030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Michael Hutchinson</w:t>
      </w:r>
      <w:r>
        <w:rPr>
          <w:rFonts w:ascii="Tahoma;Geneva;sans-serif" w:hAnsi="Tahoma;Geneva;sans-serif"/>
          <w:b w:val="false"/>
          <w:i w:val="false"/>
          <w:caps w:val="false"/>
          <w:smallCaps w:val="false"/>
          <w:color w:val="000000"/>
          <w:sz w:val="20"/>
        </w:rPr>
        <w:t xml:space="preserve"> </w:t>
        <w:br/>
      </w:r>
      <w:r>
        <w:rPr>
          <w:rFonts w:ascii="Tahoma;Geneva;sans-serif" w:hAnsi="Tahoma;Geneva;sans-serif"/>
          <w:b w:val="false"/>
          <w:i w:val="false"/>
          <w:caps w:val="false"/>
          <w:smallCaps w:val="false"/>
          <w:color w:val="000000"/>
          <w:spacing w:val="2"/>
          <w:sz w:val="20"/>
        </w:rPr>
        <w:t xml:space="preserve">Senior Vice President, </w:t>
        <w:br/>
        <w:t xml:space="preserve">Chief Legal Officer and Company Secretary </w:t>
        <w:br/>
        <w:t xml:space="preserve">London, United Kingdom </w:t>
        <w:br/>
        <w:t>April 30,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Important Notice Regarding the Availability of Proxy Materials for the AGM to be held on June 11, 2025. The Notice of Meeting, Proxy Statement, Annual Report on Form 10-K, and UK Annual Report are available free of charge at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Website addresses given in this document and proxy statement are for informational purposes only and are not intended to be an active link or to incorporate any website information into this document or the proxy statement.</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451"/>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207" w:type="dxa"/>
        <w:jc w:val="left"/>
        <w:tblInd w:w="1173" w:type="dxa"/>
        <w:tblLayout w:type="fixed"/>
        <w:tblCellMar>
          <w:top w:w="0" w:type="dxa"/>
          <w:left w:w="0" w:type="dxa"/>
          <w:bottom w:w="0" w:type="dxa"/>
          <w:right w:w="0" w:type="dxa"/>
        </w:tblCellMar>
      </w:tblPr>
      <w:tblGrid>
        <w:gridCol w:w="124"/>
        <w:gridCol w:w="2929"/>
        <w:gridCol w:w="154"/>
      </w:tblGrid>
      <w:tr>
        <w:trPr/>
        <w:tc>
          <w:tcPr>
            <w:tcW w:w="124" w:type="dxa"/>
            <w:tcBorders/>
            <w:shd w:fill="702076" w:val="clear"/>
            <w:vAlign w:val="center"/>
          </w:tcPr>
          <w:p>
            <w:pPr>
              <w:pStyle w:val="TableContents"/>
              <w:bidi w:val="0"/>
              <w:spacing w:before="0" w:after="283"/>
              <w:jc w:val="left"/>
              <w:rPr/>
            </w:pPr>
            <w:r>
              <w:rPr/>
              <w:t>​</w:t>
            </w:r>
          </w:p>
        </w:tc>
        <w:tc>
          <w:tcPr>
            <w:tcW w:w="2929" w:type="dxa"/>
            <w:tcBorders/>
            <w:shd w:fill="702076" w:val="clear"/>
            <w:vAlign w:val="center"/>
          </w:tcPr>
          <w:p>
            <w:pPr>
              <w:pStyle w:val="TableContents"/>
              <w:bidi w:val="0"/>
              <w:spacing w:lineRule="atLeast" w:line="240" w:before="0" w:after="0"/>
              <w:jc w:val="center"/>
              <w:rPr/>
            </w:pPr>
            <w:r>
              <w:rPr>
                <w:spacing w:val="14"/>
              </w:rPr>
              <w:t>ATTENDING THE AGM</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AGM will be a virtual meeting conducted exclusively by webcast.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You may attend the AGM if you were a shareholder of the Company as of the close of business on April 14, 2025, or if you hold a valid proxy for the AGM. To attend, vote, and submit questions during the AGM, please go to </w:t>
      </w:r>
      <w:r>
        <w:rPr>
          <w:rFonts w:ascii="Arial Narrow;Arial;Tahoma;Geneva;sans-serif" w:hAnsi="Arial Narrow;Arial;Tahoma;Geneva;sans-serif"/>
          <w:b/>
          <w:i w:val="false"/>
          <w:caps w:val="false"/>
          <w:smallCaps w:val="false"/>
          <w:color w:val="000000"/>
          <w:spacing w:val="11"/>
          <w:sz w:val="20"/>
        </w:rPr>
        <w:t>www.meetnow.global/MFSFQWM</w:t>
      </w:r>
      <w:r>
        <w:rPr>
          <w:rFonts w:ascii="Tahoma;Geneva;sans-serif" w:hAnsi="Tahoma;Geneva;sans-serif"/>
          <w:b w:val="false"/>
          <w:i w:val="false"/>
          <w:caps w:val="false"/>
          <w:smallCaps w:val="false"/>
          <w:color w:val="000000"/>
          <w:spacing w:val="2"/>
          <w:sz w:val="20"/>
        </w:rPr>
        <w:t xml:space="preserve">. You will also need the control number included with your proxy materials. </w:t>
      </w:r>
    </w:p>
    <w:tbl>
      <w:tblPr>
        <w:tblW w:w="6567" w:type="dxa"/>
        <w:jc w:val="left"/>
        <w:tblInd w:w="1173" w:type="dxa"/>
        <w:tblLayout w:type="fixed"/>
        <w:tblCellMar>
          <w:top w:w="0" w:type="dxa"/>
          <w:left w:w="0" w:type="dxa"/>
          <w:bottom w:w="0" w:type="dxa"/>
          <w:right w:w="0" w:type="dxa"/>
        </w:tblCellMar>
      </w:tblPr>
      <w:tblGrid>
        <w:gridCol w:w="124"/>
        <w:gridCol w:w="6289"/>
        <w:gridCol w:w="154"/>
      </w:tblGrid>
      <w:tr>
        <w:trPr/>
        <w:tc>
          <w:tcPr>
            <w:tcW w:w="124" w:type="dxa"/>
            <w:tcBorders/>
            <w:shd w:fill="FF5B34" w:val="clear"/>
            <w:vAlign w:val="center"/>
          </w:tcPr>
          <w:p>
            <w:pPr>
              <w:pStyle w:val="TableContents"/>
              <w:bidi w:val="0"/>
              <w:spacing w:before="0" w:after="283"/>
              <w:jc w:val="left"/>
              <w:rPr/>
            </w:pPr>
            <w:r>
              <w:rPr/>
              <w:t>​</w:t>
            </w:r>
          </w:p>
        </w:tc>
        <w:tc>
          <w:tcPr>
            <w:tcW w:w="6289" w:type="dxa"/>
            <w:tcBorders/>
            <w:shd w:fill="FF5B34" w:val="clear"/>
            <w:vAlign w:val="center"/>
          </w:tcPr>
          <w:p>
            <w:pPr>
              <w:pStyle w:val="TableContents"/>
              <w:bidi w:val="0"/>
              <w:spacing w:lineRule="atLeast" w:line="240" w:before="0" w:after="0"/>
              <w:jc w:val="center"/>
              <w:rPr/>
            </w:pPr>
            <w:r>
              <w:rPr>
                <w:spacing w:val="14"/>
              </w:rPr>
              <w:t>PLEASE VOTE. YOUR VOTE IS IMPORTANT TO US.</w:t>
            </w:r>
            <w:r>
              <w:rPr/>
              <w:t xml:space="preserve"> </w:t>
            </w:r>
          </w:p>
        </w:tc>
        <w:tc>
          <w:tcPr>
            <w:tcW w:w="154" w:type="dxa"/>
            <w:tcBorders/>
            <w:shd w:fill="FF5B34" w:val="clear"/>
            <w:vAlign w:val="center"/>
          </w:tcPr>
          <w:p>
            <w:pPr>
              <w:pStyle w:val="TableContents"/>
              <w:bidi w:val="0"/>
              <w:spacing w:before="0" w:after="283"/>
              <w:jc w:val="left"/>
              <w:rPr/>
            </w:pPr>
            <w:r>
              <w:rPr/>
              <w:t>​</w:t>
            </w:r>
          </w:p>
        </w:tc>
      </w:tr>
    </w:tbl>
    <w:p>
      <w:pPr>
        <w:pStyle w:val="TextBody"/>
        <w:bidi w:val="0"/>
        <w:spacing w:lineRule="atLeast" w:line="260" w:before="240" w:after="283"/>
        <w:ind w:left="1173" w:right="0" w:hanging="0"/>
        <w:jc w:val="left"/>
        <w:rPr>
          <w:rFonts w:ascii="Arial Narrow;Arial;Tahoma;Geneva;sans-serif" w:hAnsi="Arial Narrow;Arial;Tahoma;Geneva;sans-serif"/>
          <w:b/>
          <w:i w:val="false"/>
          <w:caps w:val="false"/>
          <w:smallCaps w:val="false"/>
          <w:color w:val="FF5B34"/>
          <w:sz w:val="22"/>
        </w:rPr>
      </w:pPr>
      <w:r>
        <w:rPr>
          <w:rFonts w:ascii="Arial Narrow;Arial;Tahoma;Geneva;sans-serif" w:hAnsi="Arial Narrow;Arial;Tahoma;Geneva;sans-serif"/>
          <w:b/>
          <w:i w:val="false"/>
          <w:caps w:val="false"/>
          <w:smallCaps w:val="false"/>
          <w:color w:val="FF5B34"/>
          <w:spacing w:val="13"/>
          <w:sz w:val="22"/>
        </w:rPr>
        <w:t>Voting</w:t>
      </w:r>
      <w:r>
        <w:rPr>
          <w:rFonts w:ascii="Arial Narrow;Arial;Tahoma;Geneva;sans-serif" w:hAnsi="Arial Narrow;Arial;Tahoma;Geneva;sans-serif"/>
          <w:b/>
          <w:i w:val="false"/>
          <w:caps w:val="false"/>
          <w:smallCaps w:val="false"/>
          <w:color w:val="000000"/>
          <w:spacing w:val="4"/>
          <w:sz w:val="22"/>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872"/>
        <w:gridCol w:w="109"/>
        <w:gridCol w:w="109"/>
        <w:gridCol w:w="109"/>
        <w:gridCol w:w="1326"/>
        <w:gridCol w:w="109"/>
        <w:gridCol w:w="109"/>
        <w:gridCol w:w="109"/>
        <w:gridCol w:w="168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702076" w:val="clear"/>
            <w:tcMar>
              <w:bottom w:w="28" w:type="dxa"/>
            </w:tcMar>
            <w:vAlign w:val="center"/>
          </w:tcPr>
          <w:p>
            <w:pPr>
              <w:pStyle w:val="TableContents"/>
              <w:bidi w:val="0"/>
              <w:spacing w:before="0" w:after="283"/>
              <w:jc w:val="left"/>
              <w:rPr/>
            </w:pPr>
            <w:r>
              <w:rPr/>
              <w:t>​</w:t>
            </w:r>
          </w:p>
        </w:tc>
        <w:tc>
          <w:tcPr>
            <w:tcW w:w="8534" w:type="dxa"/>
            <w:gridSpan w:val="9"/>
            <w:tcBorders>
              <w:bottom w:val="single" w:sz="2" w:space="0" w:color="000000"/>
            </w:tcBorders>
            <w:shd w:fill="702076" w:val="clear"/>
            <w:tcMar>
              <w:bottom w:w="165" w:type="dxa"/>
            </w:tcMar>
            <w:vAlign w:val="center"/>
          </w:tcPr>
          <w:p>
            <w:pPr>
              <w:pStyle w:val="TableContents"/>
              <w:bidi w:val="0"/>
              <w:spacing w:lineRule="atLeast" w:line="240" w:before="0" w:after="0"/>
              <w:jc w:val="center"/>
              <w:rPr/>
            </w:pPr>
            <w:r>
              <w:rPr>
                <w:spacing w:val="2"/>
              </w:rPr>
              <w:t xml:space="preserve">Please note that you will need the control number included with your proxy materials to </w:t>
              <w:br/>
              <w:t>vote in advance of or at the AGM.</w:t>
            </w:r>
            <w:r>
              <w:rPr/>
              <w:t xml:space="preserve"> </w:t>
            </w:r>
          </w:p>
          <w:p>
            <w:pPr>
              <w:pStyle w:val="TableContents"/>
              <w:bidi w:val="0"/>
              <w:spacing w:before="160" w:after="283"/>
              <w:jc w:val="center"/>
              <w:rPr>
                <w:rFonts w:ascii="Arial Narrow;Arial;Tahoma;Geneva;sans-serif" w:hAnsi="Arial Narrow;Arial;Tahoma;Geneva;sans-serif"/>
                <w:b/>
                <w:sz w:val="22"/>
              </w:rPr>
            </w:pPr>
            <w:r>
              <w:rPr>
                <w:rFonts w:ascii="Arial Narrow;Arial;Tahoma;Geneva;sans-serif" w:hAnsi="Arial Narrow;Arial;Tahoma;Geneva;sans-serif"/>
                <w:b/>
                <w:spacing w:val="13"/>
                <w:sz w:val="22"/>
              </w:rPr>
              <w:t>In advance of the AGM, please vote in one of the following ways:</w:t>
            </w:r>
            <w:r>
              <w:rPr>
                <w:rFonts w:ascii="Arial Narrow;Arial;Tahoma;Geneva;sans-serif" w:hAnsi="Arial Narrow;Arial;Tahoma;Geneva;sans-serif"/>
                <w:b/>
                <w:color w:val="000000"/>
                <w:sz w:val="22"/>
              </w:rPr>
              <w:t>​</w:t>
            </w:r>
            <w:r>
              <w:rPr>
                <w:rFonts w:ascii="Arial Narrow;Arial;Tahoma;Geneva;sans-serif" w:hAnsi="Arial Narrow;Arial;Tahoma;Geneva;sans-serif"/>
                <w:b/>
                <w:sz w:val="22"/>
              </w:rPr>
              <w:t xml:space="preserve"> </w:t>
            </w:r>
          </w:p>
        </w:tc>
        <w:tc>
          <w:tcPr>
            <w:tcW w:w="109" w:type="dxa"/>
            <w:tcBorders>
              <w:bottom w:val="single" w:sz="2" w:space="0" w:color="000000"/>
            </w:tcBorders>
            <w:shd w:fill="702076" w:val="clear"/>
            <w:tcMar>
              <w:bottom w:w="28" w:type="dxa"/>
            </w:tcM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72" w:type="dxa"/>
            <w:tcBorders/>
            <w:vAlign w:val="center"/>
          </w:tcPr>
          <w:p>
            <w:pPr>
              <w:pStyle w:val="TableContents"/>
              <w:bidi w:val="0"/>
              <w:spacing w:before="0" w:after="0"/>
              <w:jc w:val="center"/>
              <w:rPr/>
            </w:pPr>
            <w:r>
              <w:rPr/>
              <w:drawing>
                <wp:inline distT="0" distB="0" distL="0" distR="0">
                  <wp:extent cx="904875" cy="90487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904875"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6" w:type="dxa"/>
            <w:tcBorders/>
            <w:vAlign w:val="center"/>
          </w:tcPr>
          <w:p>
            <w:pPr>
              <w:pStyle w:val="TableContents"/>
              <w:bidi w:val="0"/>
              <w:spacing w:before="0" w:after="0"/>
              <w:jc w:val="center"/>
              <w:rPr/>
            </w:pPr>
            <w:r>
              <w:rPr/>
              <w:drawing>
                <wp:inline distT="0" distB="0" distL="0" distR="0">
                  <wp:extent cx="542925" cy="1019175"/>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54292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2" w:type="dxa"/>
            <w:tcBorders/>
            <w:vAlign w:val="center"/>
          </w:tcPr>
          <w:p>
            <w:pPr>
              <w:pStyle w:val="TableContents"/>
              <w:bidi w:val="0"/>
              <w:spacing w:before="0" w:after="0"/>
              <w:jc w:val="center"/>
              <w:rPr/>
            </w:pPr>
            <w:r>
              <w:rPr/>
              <w:drawing>
                <wp:inline distT="0" distB="0" distL="0" distR="0">
                  <wp:extent cx="923925" cy="8763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23925" cy="876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72"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Internet</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pPr>
            <w:r>
              <w:rPr>
                <w:rFonts w:ascii="Arial Narrow;Arial;Tahoma;Geneva;sans-serif" w:hAnsi="Arial Narrow;Arial;Tahoma;Geneva;sans-serif"/>
                <w:b/>
                <w:spacing w:val="11"/>
              </w:rPr>
              <w:t>www.envisionreports.com/LIVN</w:t>
            </w:r>
            <w:r>
              <w:rPr>
                <w:spacing w:val="2"/>
              </w:rPr>
              <w:t xml:space="preserve"> </w:t>
              <w:br/>
              <w:t xml:space="preserve">and use the 15 Digit Control Number in the shaded area of your proxy Card or Notice Card or as directed by your broker, as the case may be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Telephone</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spacing w:val="2"/>
              </w:rPr>
            </w:pPr>
            <w:r>
              <w:rPr>
                <w:spacing w:val="2"/>
              </w:rPr>
              <w:t xml:space="preserve">Call the number </w:t>
              <w:br/>
              <w:t xml:space="preserve">on your proxy card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82"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By Mail</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spacing w:val="2"/>
              </w:rPr>
            </w:pPr>
            <w:r>
              <w:rPr>
                <w:spacing w:val="2"/>
              </w:rPr>
              <w:t xml:space="preserve">Sign, date, and return </w:t>
              <w:br/>
              <w:t xml:space="preserve">your proxy card in the </w:t>
              <w:br/>
              <w:t xml:space="preserve">enclosed envelope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702076" w:val="clear"/>
            <w:tcMar>
              <w:bottom w:w="28" w:type="dxa"/>
            </w:tcMar>
            <w:vAlign w:val="center"/>
          </w:tcPr>
          <w:p>
            <w:pPr>
              <w:pStyle w:val="TableContents"/>
              <w:bidi w:val="0"/>
              <w:spacing w:before="0" w:after="283"/>
              <w:jc w:val="left"/>
              <w:rPr/>
            </w:pPr>
            <w:r>
              <w:rPr/>
              <w:t>​</w:t>
            </w:r>
          </w:p>
        </w:tc>
        <w:tc>
          <w:tcPr>
            <w:tcW w:w="8534" w:type="dxa"/>
            <w:gridSpan w:val="9"/>
            <w:tcBorders>
              <w:bottom w:val="single" w:sz="6" w:space="0" w:color="000000"/>
            </w:tcBorders>
            <w:shd w:fill="702076" w:val="clear"/>
            <w:tcMar>
              <w:bottom w:w="240" w:type="dxa"/>
            </w:tcMar>
            <w:vAlign w:val="center"/>
          </w:tcPr>
          <w:p>
            <w:pPr>
              <w:pStyle w:val="TableContents"/>
              <w:bidi w:val="0"/>
              <w:spacing w:before="0" w:after="0"/>
              <w:jc w:val="center"/>
              <w:rPr/>
            </w:pPr>
            <w:r>
              <w:rPr>
                <w:spacing w:val="13"/>
              </w:rPr>
              <w:t>At the meeting, please vote by:</w:t>
            </w:r>
            <w:r>
              <w:rPr/>
              <w:t xml:space="preserve"> </w:t>
            </w:r>
          </w:p>
        </w:tc>
        <w:tc>
          <w:tcPr>
            <w:tcW w:w="109" w:type="dxa"/>
            <w:tcBorders>
              <w:bottom w:val="single" w:sz="6" w:space="0" w:color="000000"/>
            </w:tcBorders>
            <w:shd w:fill="702076" w:val="clear"/>
            <w:tcMar>
              <w:bottom w:w="28" w:type="dxa"/>
            </w:tcM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628"/>
        <w:gridCol w:w="109"/>
        <w:gridCol w:w="109"/>
        <w:gridCol w:w="668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28"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962025" cy="8382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962025" cy="838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9" w:type="dxa"/>
            <w:tcBorders>
              <w:bottom w:val="single" w:sz="6" w:space="0" w:color="000000"/>
            </w:tcBorders>
            <w:tcMar>
              <w:bottom w:w="28" w:type="dxa"/>
            </w:tcMar>
            <w:vAlign w:val="center"/>
          </w:tcPr>
          <w:p>
            <w:pPr>
              <w:pStyle w:val="TableContents"/>
              <w:bidi w:val="0"/>
              <w:spacing w:lineRule="atLeast" w:line="240" w:before="0" w:after="0"/>
              <w:jc w:val="left"/>
              <w:rPr/>
            </w:pPr>
            <w:r>
              <w:rPr>
                <w:spacing w:val="2"/>
              </w:rPr>
              <w:t xml:space="preserve">Attending virtually at </w:t>
            </w:r>
            <w:r>
              <w:rPr>
                <w:rFonts w:ascii="Arial Narrow;Arial;Tahoma;Geneva;sans-serif" w:hAnsi="Arial Narrow;Arial;Tahoma;Geneva;sans-serif"/>
                <w:b/>
                <w:spacing w:val="11"/>
              </w:rPr>
              <w:t>www.meetnow.global/</w:t>
            </w:r>
            <w:r>
              <w:rPr/>
              <w:t>​</w:t>
            </w:r>
            <w:r>
              <w:rPr>
                <w:rFonts w:ascii="Arial Narrow;Arial;Tahoma;Geneva;sans-serif" w:hAnsi="Arial Narrow;Arial;Tahoma;Geneva;sans-serif"/>
                <w:b/>
                <w:spacing w:val="11"/>
              </w:rPr>
              <w:t>MFSFQWM</w:t>
            </w:r>
            <w:r>
              <w:rPr>
                <w:spacing w:val="2"/>
              </w:rPr>
              <w:t>. and using your control number to record your vote.</w:t>
            </w:r>
          </w:p>
          <w:p>
            <w:pPr>
              <w:pStyle w:val="TableContents"/>
              <w:bidi w:val="0"/>
              <w:spacing w:lineRule="atLeast" w:line="240" w:before="160" w:after="283"/>
              <w:jc w:val="left"/>
              <w:rPr/>
            </w:pPr>
            <w:r>
              <w:rPr>
                <w:spacing w:val="2"/>
              </w:rPr>
              <w:t>Additional information regarding attending the AGM and voting is included in this proxy statement starting on page </w:t>
            </w:r>
            <w:hyperlink w:anchor="tAGM1">
              <w:r>
                <w:rPr>
                  <w:rStyle w:val="InternetLink"/>
                  <w:spacing w:val="2"/>
                </w:rPr>
                <w:t>107</w:t>
              </w:r>
            </w:hyperlink>
            <w:r>
              <w:rPr>
                <w:spacing w:val="2"/>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451"/>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1"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pPr>
            <w:r>
              <w:rPr>
                <w:spacing w:val="0"/>
                <w:bdr w:val="single" w:sz="96" w:space="1" w:color="702076"/>
              </w:rPr>
              <w:t> </w:t>
            </w:r>
            <w:r>
              <w:rPr>
                <w:spacing w:val="2"/>
              </w:rPr>
              <w:t> </w:t>
            </w:r>
            <w:r>
              <w:rPr>
                <w:rFonts w:ascii="Arial Narrow;Arial;Tahoma;Geneva;sans-serif" w:hAnsi="Arial Narrow;Arial;Tahoma;Geneva;sans-serif"/>
                <w:b/>
                <w:color w:val="702076"/>
                <w:spacing w:val="11"/>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607" w:type="dxa"/>
        <w:jc w:val="left"/>
        <w:tblInd w:w="1173" w:type="dxa"/>
        <w:tblLayout w:type="fixed"/>
        <w:tblCellMar>
          <w:top w:w="0" w:type="dxa"/>
          <w:left w:w="0" w:type="dxa"/>
          <w:bottom w:w="0" w:type="dxa"/>
          <w:right w:w="0" w:type="dxa"/>
        </w:tblCellMar>
      </w:tblPr>
      <w:tblGrid>
        <w:gridCol w:w="124"/>
        <w:gridCol w:w="3329"/>
        <w:gridCol w:w="154"/>
      </w:tblGrid>
      <w:tr>
        <w:trPr/>
        <w:tc>
          <w:tcPr>
            <w:tcW w:w="124" w:type="dxa"/>
            <w:tcBorders/>
            <w:shd w:fill="702076" w:val="clear"/>
            <w:vAlign w:val="center"/>
          </w:tcPr>
          <w:p>
            <w:pPr>
              <w:pStyle w:val="TableContents"/>
              <w:bidi w:val="0"/>
              <w:spacing w:before="0" w:after="283"/>
              <w:jc w:val="left"/>
              <w:rPr/>
            </w:pPr>
            <w:r>
              <w:rPr/>
              <w:t>​</w:t>
            </w:r>
          </w:p>
        </w:tc>
        <w:tc>
          <w:tcPr>
            <w:tcW w:w="3329" w:type="dxa"/>
            <w:tcBorders/>
            <w:shd w:fill="702076" w:val="clear"/>
            <w:vAlign w:val="center"/>
          </w:tcPr>
          <w:p>
            <w:pPr>
              <w:pStyle w:val="TableContents"/>
              <w:bidi w:val="0"/>
              <w:spacing w:lineRule="atLeast" w:line="240" w:before="0" w:after="0"/>
              <w:jc w:val="center"/>
              <w:rPr/>
            </w:pPr>
            <w:r>
              <w:rPr>
                <w:spacing w:val="14"/>
              </w:rPr>
              <w:t>RESOLUTIONS &amp; VOTING</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Voting on a Poll</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LivaNova’s Articles of Association, all voting at the Company’s AGM is done on a poll.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Ordinary and Special Resolutions</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Companies Act specifies a number of matters that must be effected by special resolution of a company’s shareholders. A resolution passed on a poll taken at a meeting is passed as a special resolution if it is passed by the affirmative vote of a majority of 75% (or more) of the total votes cast by members who, being entitled to vote, do so virtually at the meeting, by proxy or in advance of the meeting. At the AGM, there is one special resolution to be voted upon (Proposal 7).</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other resolutions at the AGM are ordinary resolutions. These resolutions will pass on a poll at the AGM if they are passed by the affirmative vote of a simple majority of the total votes cast by members who, being entitled to vote, do so virtually at the meeting or by proxy or in advance of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Abstentions</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English law, an abstention is not a vote in law and will not be counted in the calculation of the proportion of votes “for” or “against” the resolution.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Broker Non-Votes</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beneficial owner and hold shares through an account with a bank or broker, your shares may be voted by the bank or broker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The resolutions that are considered routine are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All of the other resolutions proposed at the AGM are non-routine matters, and broker non-votes will not be counted as “for” or “against” such non-routine matters.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Possible Selections on the Ballot</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can vote “for” or “against” a resolution. Each of these votes will have legal effect under English law in that they count as votes cast. An abstention, indicated by electing “abstain”, is not a vote under English law as indicated above.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Cautionary Note Regarding Forward-Looking Statements</w:t>
      </w:r>
      <w:r>
        <w:rPr>
          <w:rFonts w:ascii="Arial Narrow;Arial;Tahoma;Geneva;sans-serif" w:hAnsi="Arial Narrow;Arial;Tahoma;Geneva;sans-serif"/>
          <w:b/>
          <w:i w:val="false"/>
          <w:caps w:val="false"/>
          <w:smallCaps w:val="false"/>
          <w:color w:val="702076"/>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proxy statement contains forward-looking statements within the meaning of the United States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These and other forward-looking statements are based on LivaNova’s beliefs, assumptions, and estimates using information available to the Company at the time and are not intended to be guarantees of future events or performance. Factors that may cause actual results to differ materially from those contemplated by the statements in this proxy statement can be found in the Company’s periodic reports on file with the U.S. Securities and Exchange Commission (“SEC”). The forward-looking statements speak only as of the date of this proxy statement and undue reliance should not be placed on these statements. LivaNova disclaims any intention or obligation to publicly update or revise any forward-looking statements, unless required by applicable securities laws. This cautionary statement is applicable to all forward-looking statements contained in this document.</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451"/>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2"/>
            <w:sz w:val="16"/>
            <w:u w:val="none"/>
            <w:effect w:val="none"/>
          </w:rPr>
          <w:t>TABLE OF CONTENTS</w:t>
        </w:r>
      </w:hyperlink>
      <w:bookmarkStart w:id="2" w:name="TOC"/>
      <w:bookmarkEnd w:id="2"/>
      <w:r>
        <w:rPr>
          <w:rFonts w:ascii="calibri;arial;sans-serif" w:hAnsi="calibri;arial;sans-serif"/>
          <w:b w:val="false"/>
          <w:i w:val="false"/>
          <w:caps w:val="false"/>
          <w:smallCaps w:val="false"/>
          <w:color w:val="702076"/>
          <w:spacing w:val="2"/>
          <w:sz w:val="16"/>
        </w:rPr>
        <w:t xml:space="preserve">​ </w:t>
      </w:r>
    </w:p>
    <w:p>
      <w:pPr>
        <w:pStyle w:val="TextBody"/>
        <w:bidi w:val="0"/>
        <w:spacing w:before="317" w:after="283"/>
        <w:ind w:left="1173" w:right="0" w:hanging="0"/>
        <w:jc w:val="right"/>
        <w:rPr>
          <w:caps w:val="false"/>
          <w:smallCaps w:val="false"/>
          <w:color w:val="702076"/>
          <w:spacing w:val="2"/>
        </w:rPr>
      </w:pPr>
      <w:r>
        <w:rPr>
          <w:caps w:val="false"/>
          <w:smallCaps w:val="false"/>
          <w:color w:val="702076"/>
          <w:spacing w:val="2"/>
        </w:rPr>
        <w:drawing>
          <wp:inline distT="0" distB="0" distL="0" distR="0">
            <wp:extent cx="1219200" cy="11811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1219200" cy="1181100"/>
                    </a:xfrm>
                    <a:prstGeom prst="rect">
                      <a:avLst/>
                    </a:prstGeom>
                  </pic:spPr>
                </pic:pic>
              </a:graphicData>
            </a:graphic>
          </wp:inline>
        </w:drawing>
      </w:r>
      <w:r>
        <w:rPr>
          <w:caps w:val="false"/>
          <w:smallCaps w:val="false"/>
          <w:color w:val="702076"/>
          <w:spacing w:val="2"/>
        </w:rPr>
        <w:t xml:space="preserve"> </w:t>
      </w:r>
    </w:p>
    <w:tbl>
      <w:tblPr>
        <w:tblW w:w="3132" w:type="dxa"/>
        <w:jc w:val="left"/>
        <w:tblInd w:w="1173" w:type="dxa"/>
        <w:tblLayout w:type="fixed"/>
        <w:tblCellMar>
          <w:top w:w="0" w:type="dxa"/>
          <w:left w:w="0" w:type="dxa"/>
          <w:bottom w:w="0" w:type="dxa"/>
          <w:right w:w="0" w:type="dxa"/>
        </w:tblCellMar>
      </w:tblPr>
      <w:tblGrid>
        <w:gridCol w:w="124"/>
        <w:gridCol w:w="2854"/>
        <w:gridCol w:w="154"/>
      </w:tblGrid>
      <w:tr>
        <w:trPr/>
        <w:tc>
          <w:tcPr>
            <w:tcW w:w="124" w:type="dxa"/>
            <w:tcBorders/>
            <w:shd w:fill="702076" w:val="clear"/>
            <w:vAlign w:val="center"/>
          </w:tcPr>
          <w:p>
            <w:pPr>
              <w:pStyle w:val="TableContents"/>
              <w:bidi w:val="0"/>
              <w:spacing w:before="0" w:after="283"/>
              <w:jc w:val="left"/>
              <w:rPr/>
            </w:pPr>
            <w:r>
              <w:rPr/>
              <w:t>​</w:t>
            </w:r>
          </w:p>
        </w:tc>
        <w:tc>
          <w:tcPr>
            <w:tcW w:w="2854" w:type="dxa"/>
            <w:tcBorders/>
            <w:shd w:fill="702076" w:val="clear"/>
            <w:vAlign w:val="center"/>
          </w:tcPr>
          <w:p>
            <w:pPr>
              <w:pStyle w:val="TableContents"/>
              <w:bidi w:val="0"/>
              <w:spacing w:lineRule="atLeast" w:line="240" w:before="0" w:after="0"/>
              <w:jc w:val="center"/>
              <w:rPr/>
            </w:pPr>
            <w:r>
              <w:rPr>
                <w:spacing w:val="14"/>
              </w:rPr>
              <w:t>TABLE OF CONTENTS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before="0" w:after="0"/>
        <w:ind w:left="1173" w:right="0" w:hanging="0"/>
        <w:jc w:val="left"/>
        <w:rPr>
          <w:caps w:val="false"/>
          <w:smallCaps w:val="false"/>
          <w:color w:val="702076"/>
          <w:spacing w:val="2"/>
        </w:rPr>
      </w:pPr>
      <w:r>
        <w:rPr>
          <w:caps w:val="false"/>
          <w:smallCaps w:val="false"/>
          <w:color w:val="702076"/>
          <w:spacing w:val="2"/>
        </w:rPr>
        <w:t>​</w:t>
      </w:r>
      <w:r>
        <mc:AlternateContent>
          <mc:Choice Requires="wps">
            <w:drawing>
              <wp:anchor behindDoc="0" distT="0" distB="0" distL="744855" distR="0" simplePos="0" locked="0" layoutInCell="1" allowOverlap="1" relativeHeight="375">
                <wp:simplePos x="0" y="0"/>
                <wp:positionH relativeFrom="column">
                  <wp:align>left</wp:align>
                </wp:positionH>
                <wp:positionV relativeFrom="line">
                  <wp:posOffset>635</wp:posOffset>
                </wp:positionV>
                <wp:extent cx="2997200" cy="8694420"/>
                <wp:effectExtent l="0" t="0" r="0" b="0"/>
                <wp:wrapSquare wrapText="right"/>
                <wp:docPr id="45" name="Frame23"/>
                <a:graphic xmlns:a="http://schemas.openxmlformats.org/drawingml/2006/main">
                  <a:graphicData uri="http://schemas.microsoft.com/office/word/2010/wordprocessingShape">
                    <wps:wsp>
                      <wps:cNvSpPr txBox="1"/>
                      <wps:spPr>
                        <a:xfrm>
                          <a:off x="0" y="0"/>
                          <a:ext cx="2997200" cy="8694420"/>
                        </a:xfrm>
                        <a:prstGeom prst="rect"/>
                        <a:solidFill>
                          <a:srgbClr val="FFFFFF"/>
                        </a:solidFill>
                      </wps:spPr>
                      <wps:txbx>
                        <w:txbxContent>
                          <w:tbl>
                            <w:tblPr>
                              <w:tblW w:w="3131" w:type="dxa"/>
                              <w:jc w:val="left"/>
                              <w:tblInd w:w="0" w:type="dxa"/>
                              <w:tblLayout w:type="fixed"/>
                              <w:tblCellMar>
                                <w:top w:w="0" w:type="dxa"/>
                                <w:left w:w="0" w:type="dxa"/>
                                <w:bottom w:w="0" w:type="dxa"/>
                                <w:right w:w="0" w:type="dxa"/>
                              </w:tblCellMar>
                            </w:tblPr>
                            <w:tblGrid>
                              <w:gridCol w:w="124"/>
                              <w:gridCol w:w="252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26" w:type="dxa"/>
                                  <w:tcBorders/>
                                  <w:vAlign w:val="center"/>
                                </w:tcPr>
                                <w:p>
                                  <w:pPr>
                                    <w:pStyle w:val="TableContents"/>
                                    <w:bidi w:val="0"/>
                                    <w:spacing w:before="0" w:after="0"/>
                                    <w:jc w:val="left"/>
                                    <w:rPr/>
                                  </w:pPr>
                                  <w:hyperlink w:anchor="tPRSU">
                                    <w:r>
                                      <w:rPr>
                                        <w:rStyle w:val="InternetLink"/>
                                        <w:rFonts w:ascii="Arial Narrow;Arial;Tahoma;Geneva;sans-serif" w:hAnsi="Arial Narrow;Arial;Tahoma;Geneva;sans-serif"/>
                                        <w:b/>
                                        <w:color w:val="FF5B34"/>
                                        <w:spacing w:val="11"/>
                                      </w:rPr>
                                      <w:t>Proxy Summary</w:t>
                                    </w:r>
                                  </w:hyperlink>
                                  <w:r>
                                    <w:rPr/>
                                    <w:t xml:space="preserve"> </w:t>
                                  </w:r>
                                  <w:hyperlink w:anchor="tPRSU">
                                    <w:r>
                                      <w:rPr>
                                        <w:rStyle w:val="InternetLink"/>
                                      </w:rPr>
                                      <w:t>| Page</w:t>
                                    </w:r>
                                  </w:hyperlink>
                                  <w:r>
                                    <w:rPr/>
                                    <w:t xml:space="preserve"> </w:t>
                                  </w:r>
                                  <w:hyperlink w:anchor="tPRSU">
                                    <w:r>
                                      <w:rPr>
                                        <w:rStyle w:val="InternetLink"/>
                                        <w:color w:val="FF5B34"/>
                                      </w:rPr>
                                      <w:t>8</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tbl>
                            <w:tblPr>
                              <w:tblW w:w="5121" w:type="dxa"/>
                              <w:jc w:val="left"/>
                              <w:tblInd w:w="0" w:type="dxa"/>
                              <w:tblLayout w:type="fixed"/>
                              <w:tblCellMar>
                                <w:top w:w="0" w:type="dxa"/>
                                <w:left w:w="0" w:type="dxa"/>
                                <w:bottom w:w="0" w:type="dxa"/>
                                <w:right w:w="0" w:type="dxa"/>
                              </w:tblCellMar>
                            </w:tblPr>
                            <w:tblGrid>
                              <w:gridCol w:w="124"/>
                              <w:gridCol w:w="4843"/>
                              <w:gridCol w:w="154"/>
                            </w:tblGrid>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CAD">
                                    <w:r>
                                      <w:rPr>
                                        <w:rStyle w:val="InternetLink"/>
                                        <w:rFonts w:ascii="Arial Narrow;Arial;Tahoma;Geneva;sans-serif" w:hAnsi="Arial Narrow;Arial;Tahoma;Geneva;sans-serif"/>
                                        <w:b/>
                                        <w:color w:val="FF5B34"/>
                                        <w:spacing w:val="11"/>
                                      </w:rPr>
                                      <w:t>Board Composition</w:t>
                                    </w:r>
                                  </w:hyperlink>
                                  <w:r>
                                    <w:rPr/>
                                    <w:t xml:space="preserve"> </w:t>
                                  </w:r>
                                  <w:hyperlink w:anchor="tBCAD">
                                    <w:r>
                                      <w:rPr>
                                        <w:rStyle w:val="InternetLink"/>
                                      </w:rPr>
                                      <w:t>| Page</w:t>
                                    </w:r>
                                  </w:hyperlink>
                                  <w:r>
                                    <w:rPr/>
                                    <w:t xml:space="preserve"> </w:t>
                                  </w:r>
                                  <w:hyperlink w:anchor="tBCAD">
                                    <w:r>
                                      <w:rPr>
                                        <w:rStyle w:val="InternetLink"/>
                                        <w:color w:val="FF5B34"/>
                                      </w:rPr>
                                      <w:t>9</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ATEC">
                                    <w:r>
                                      <w:rPr>
                                        <w:rStyle w:val="InternetLink"/>
                                        <w:rFonts w:ascii="Arial Narrow;Arial;Tahoma;Geneva;sans-serif" w:hAnsi="Arial Narrow;Arial;Tahoma;Geneva;sans-serif"/>
                                        <w:b/>
                                        <w:color w:val="FF5B34"/>
                                        <w:spacing w:val="11"/>
                                      </w:rPr>
                                      <w:t>Approach to Executive Compensation</w:t>
                                    </w:r>
                                  </w:hyperlink>
                                  <w:r>
                                    <w:rPr/>
                                    <w:t xml:space="preserve"> </w:t>
                                  </w:r>
                                  <w:hyperlink w:anchor="tATEC">
                                    <w:r>
                                      <w:rPr>
                                        <w:rStyle w:val="InternetLink"/>
                                      </w:rPr>
                                      <w:t>| Page</w:t>
                                    </w:r>
                                  </w:hyperlink>
                                  <w:r>
                                    <w:rPr/>
                                    <w:t xml:space="preserve"> </w:t>
                                  </w:r>
                                  <w:hyperlink w:anchor="tATEC">
                                    <w:r>
                                      <w:rPr>
                                        <w:rStyle w:val="InternetLink"/>
                                        <w:color w:val="FF5B34"/>
                                      </w:rPr>
                                      <w:t>11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COGO">
                                    <w:r>
                                      <w:rPr>
                                        <w:rStyle w:val="InternetLink"/>
                                        <w:rFonts w:ascii="Arial Narrow;Arial;Tahoma;Geneva;sans-serif" w:hAnsi="Arial Narrow;Arial;Tahoma;Geneva;sans-serif"/>
                                        <w:b/>
                                        <w:color w:val="FF5B34"/>
                                        <w:spacing w:val="11"/>
                                      </w:rPr>
                                      <w:t>Corporate Governance</w:t>
                                    </w:r>
                                  </w:hyperlink>
                                  <w:r>
                                    <w:rPr/>
                                    <w:t xml:space="preserve"> </w:t>
                                  </w:r>
                                  <w:hyperlink w:anchor="tCOGO">
                                    <w:r>
                                      <w:rPr>
                                        <w:rStyle w:val="InternetLink"/>
                                      </w:rPr>
                                      <w:t>| Page</w:t>
                                    </w:r>
                                  </w:hyperlink>
                                  <w:r>
                                    <w:rPr/>
                                    <w:t xml:space="preserve"> </w:t>
                                  </w:r>
                                  <w:hyperlink w:anchor="tCOGO">
                                    <w:r>
                                      <w:rPr>
                                        <w:rStyle w:val="InternetLink"/>
                                        <w:color w:val="FF5B34"/>
                                      </w:rPr>
                                      <w:t>12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GO">
                                    <w:r>
                                      <w:rPr>
                                        <w:rStyle w:val="InternetLink"/>
                                        <w:color w:val="702076"/>
                                      </w:rPr>
                                      <w:t>Overview</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ROTB1">
                                    <w:r>
                                      <w:rPr>
                                        <w:rStyle w:val="InternetLink"/>
                                        <w:color w:val="702076"/>
                                      </w:rPr>
                                      <w:t>Role of the Board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CO1">
                                    <w:r>
                                      <w:rPr>
                                        <w:rStyle w:val="InternetLink"/>
                                        <w:color w:val="702076"/>
                                      </w:rPr>
                                      <w:t>Board Committees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GAO1">
                                    <w:r>
                                      <w:rPr>
                                        <w:rStyle w:val="InternetLink"/>
                                        <w:color w:val="702076"/>
                                      </w:rPr>
                                      <w:t>Board Governance and Oversight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US">
                                    <w:r>
                                      <w:rPr>
                                        <w:rStyle w:val="InternetLink"/>
                                        <w:rFonts w:ascii="Arial Narrow;Arial;Tahoma;Geneva;sans-serif" w:hAnsi="Arial Narrow;Arial;Tahoma;Geneva;sans-serif"/>
                                        <w:b/>
                                        <w:color w:val="FF5B34"/>
                                        <w:spacing w:val="11"/>
                                      </w:rPr>
                                      <w:t>Sustainability</w:t>
                                    </w:r>
                                  </w:hyperlink>
                                  <w:r>
                                    <w:rPr/>
                                    <w:t xml:space="preserve"> </w:t>
                                  </w:r>
                                  <w:hyperlink w:anchor="tSUS">
                                    <w:r>
                                      <w:rPr>
                                        <w:rStyle w:val="InternetLink"/>
                                      </w:rPr>
                                      <w:t>| Page</w:t>
                                    </w:r>
                                  </w:hyperlink>
                                  <w:r>
                                    <w:rPr/>
                                    <w:t xml:space="preserve"> </w:t>
                                  </w:r>
                                  <w:hyperlink w:anchor="tSUS">
                                    <w:r>
                                      <w:rPr>
                                        <w:rStyle w:val="InternetLink"/>
                                        <w:color w:val="FF5B34"/>
                                      </w:rPr>
                                      <w:t>21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HCM1">
                                    <w:r>
                                      <w:rPr>
                                        <w:rStyle w:val="InternetLink"/>
                                        <w:color w:val="702076"/>
                                      </w:rPr>
                                      <w:t>Human Capital Management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VAPE1">
                                    <w:r>
                                      <w:rPr>
                                        <w:rStyle w:val="InternetLink"/>
                                        <w:color w:val="702076"/>
                                      </w:rPr>
                                      <w:t>Valuing People</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EA1">
                                    <w:r>
                                      <w:rPr>
                                        <w:rStyle w:val="InternetLink"/>
                                        <w:color w:val="702076"/>
                                      </w:rPr>
                                      <w:t>Code of Ethics and Business Conduct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HEN">
                                    <w:r>
                                      <w:rPr>
                                        <w:rStyle w:val="InternetLink"/>
                                        <w:rFonts w:ascii="Arial Narrow;Arial;Tahoma;Geneva;sans-serif" w:hAnsi="Arial Narrow;Arial;Tahoma;Geneva;sans-serif"/>
                                        <w:b/>
                                        <w:color w:val="FF5B34"/>
                                        <w:spacing w:val="11"/>
                                      </w:rPr>
                                      <w:t>Shareholder</w:t>
                                    </w:r>
                                  </w:hyperlink>
                                  <w:r>
                                    <w:rPr>
                                      <w:rFonts w:ascii="Arial Narrow;Arial;Tahoma;Geneva;sans-serif" w:hAnsi="Arial Narrow;Arial;Tahoma;Geneva;sans-serif"/>
                                      <w:b/>
                                      <w:spacing w:val="11"/>
                                    </w:rPr>
                                    <w:t xml:space="preserve"> </w:t>
                                  </w:r>
                                  <w:hyperlink w:anchor="tSHEN">
                                    <w:r>
                                      <w:rPr>
                                        <w:rStyle w:val="InternetLink"/>
                                        <w:rFonts w:ascii="Arial Narrow;Arial;Tahoma;Geneva;sans-serif" w:hAnsi="Arial Narrow;Arial;Tahoma;Geneva;sans-serif"/>
                                        <w:b/>
                                        <w:color w:val="FF5B34"/>
                                        <w:spacing w:val="11"/>
                                      </w:rPr>
                                      <w:t>Engagement</w:t>
                                    </w:r>
                                  </w:hyperlink>
                                  <w:r>
                                    <w:rPr>
                                      <w:spacing w:val="2"/>
                                    </w:rPr>
                                    <w:t xml:space="preserve"> </w:t>
                                  </w:r>
                                  <w:hyperlink w:anchor="tSHEN">
                                    <w:r>
                                      <w:rPr>
                                        <w:rStyle w:val="InternetLink"/>
                                        <w:spacing w:val="2"/>
                                      </w:rPr>
                                      <w:t>| Page</w:t>
                                    </w:r>
                                  </w:hyperlink>
                                  <w:r>
                                    <w:rPr>
                                      <w:spacing w:val="2"/>
                                    </w:rPr>
                                    <w:t xml:space="preserve"> </w:t>
                                  </w:r>
                                  <w:hyperlink w:anchor="tSHEN">
                                    <w:r>
                                      <w:rPr>
                                        <w:rStyle w:val="InternetLink"/>
                                        <w:color w:val="FF5B34"/>
                                        <w:spacing w:val="2"/>
                                      </w:rPr>
                                      <w:t>23</w:t>
                                    </w:r>
                                  </w:hyperlink>
                                  <w:r>
                                    <w:rPr>
                                      <w:color w:val="702076"/>
                                      <w:spacing w:val="11"/>
                                    </w:rPr>
                                    <w:t>​</w:t>
                                  </w:r>
                                  <w:r>
                                    <w:rPr>
                                      <w:spacing w:val="11"/>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WD1">
                                    <w:r>
                                      <w:rPr>
                                        <w:rStyle w:val="InternetLink"/>
                                        <w:color w:val="702076"/>
                                        <w:spacing w:val="2"/>
                                      </w:rPr>
                                      <w:t>Communication with Directors</w:t>
                                    </w:r>
                                  </w:hyperlink>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D">
                                    <w:r>
                                      <w:rPr>
                                        <w:rStyle w:val="InternetLink"/>
                                        <w:rFonts w:ascii="Arial Narrow;Arial;Tahoma;Geneva;sans-serif" w:hAnsi="Arial Narrow;Arial;Tahoma;Geneva;sans-serif"/>
                                        <w:b/>
                                        <w:color w:val="FF5B34"/>
                                        <w:spacing w:val="11"/>
                                      </w:rPr>
                                      <w:t>Board of Directors</w:t>
                                    </w:r>
                                  </w:hyperlink>
                                  <w:r>
                                    <w:rPr/>
                                    <w:t xml:space="preserve"> </w:t>
                                  </w:r>
                                  <w:hyperlink w:anchor="tBOD">
                                    <w:r>
                                      <w:rPr>
                                        <w:rStyle w:val="InternetLink"/>
                                      </w:rPr>
                                      <w:t>| Page</w:t>
                                    </w:r>
                                  </w:hyperlink>
                                  <w:r>
                                    <w:rPr/>
                                    <w:t xml:space="preserve"> </w:t>
                                  </w:r>
                                  <w:hyperlink w:anchor="tBOD">
                                    <w:r>
                                      <w:rPr>
                                        <w:rStyle w:val="InternetLink"/>
                                        <w:color w:val="FF5B34"/>
                                      </w:rPr>
                                      <w:t>24</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QAR1">
                                    <w:r>
                                      <w:rPr>
                                        <w:rStyle w:val="InternetLink"/>
                                        <w:color w:val="702076"/>
                                      </w:rPr>
                                      <w:t>Board Qualifications and Refreshment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N1">
                                    <w:r>
                                      <w:rPr>
                                        <w:rStyle w:val="InternetLink"/>
                                        <w:color w:val="702076"/>
                                      </w:rPr>
                                      <w:t>Director Nominees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ICO1">
                                    <w:r>
                                      <w:rPr>
                                        <w:rStyle w:val="InternetLink"/>
                                        <w:color w:val="702076"/>
                                      </w:rPr>
                                      <w:t>Director Compensation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OF1">
                                    <w:r>
                                      <w:rPr>
                                        <w:rStyle w:val="InternetLink"/>
                                        <w:rFonts w:ascii="Arial Narrow;Arial;Tahoma;Geneva;sans-serif" w:hAnsi="Arial Narrow;Arial;Tahoma;Geneva;sans-serif"/>
                                        <w:b/>
                                        <w:color w:val="FF5B34"/>
                                        <w:spacing w:val="11"/>
                                      </w:rPr>
                                      <w:t>Executive Officers</w:t>
                                    </w:r>
                                  </w:hyperlink>
                                  <w:r>
                                    <w:rPr/>
                                    <w:t xml:space="preserve"> </w:t>
                                  </w:r>
                                  <w:hyperlink w:anchor="tEXOF1">
                                    <w:r>
                                      <w:rPr>
                                        <w:rStyle w:val="InternetLink"/>
                                      </w:rPr>
                                      <w:t>| Page</w:t>
                                    </w:r>
                                  </w:hyperlink>
                                  <w:r>
                                    <w:rPr/>
                                    <w:t xml:space="preserve"> </w:t>
                                  </w:r>
                                  <w:hyperlink w:anchor="tEXOF1">
                                    <w:r>
                                      <w:rPr>
                                        <w:rStyle w:val="InternetLink"/>
                                        <w:color w:val="FF5B34"/>
                                      </w:rPr>
                                      <w:t>31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CO">
                                    <w:r>
                                      <w:rPr>
                                        <w:rStyle w:val="InternetLink"/>
                                        <w:rFonts w:ascii="Arial Narrow;Arial;Tahoma;Geneva;sans-serif" w:hAnsi="Arial Narrow;Arial;Tahoma;Geneva;sans-serif"/>
                                        <w:b/>
                                        <w:color w:val="FF5B34"/>
                                        <w:spacing w:val="11"/>
                                      </w:rPr>
                                      <w:t>Executive Compensation</w:t>
                                    </w:r>
                                  </w:hyperlink>
                                  <w:r>
                                    <w:rPr/>
                                    <w:t xml:space="preserve"> </w:t>
                                  </w:r>
                                  <w:hyperlink w:anchor="tEXCO">
                                    <w:r>
                                      <w:rPr>
                                        <w:rStyle w:val="InternetLink"/>
                                      </w:rPr>
                                      <w:t>| Page</w:t>
                                    </w:r>
                                  </w:hyperlink>
                                  <w:r>
                                    <w:rPr/>
                                    <w:t xml:space="preserve"> </w:t>
                                  </w:r>
                                  <w:hyperlink w:anchor="tEXCO">
                                    <w:r>
                                      <w:rPr>
                                        <w:rStyle w:val="InternetLink"/>
                                        <w:color w:val="FF5B34"/>
                                      </w:rPr>
                                      <w:t>32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DAA1">
                                    <w:r>
                                      <w:rPr>
                                        <w:rStyle w:val="InternetLink"/>
                                        <w:color w:val="702076"/>
                                      </w:rPr>
                                      <w:t>Compensation Discussion &amp; Analysis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EOC2">
                                    <w:r>
                                      <w:rPr>
                                        <w:rStyle w:val="InternetLink"/>
                                        <w:color w:val="702076"/>
                                      </w:rPr>
                                      <w:t>Elements of Compensation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TA1">
                                    <w:r>
                                      <w:rPr>
                                        <w:rStyle w:val="InternetLink"/>
                                        <w:color w:val="702076"/>
                                      </w:rPr>
                                      <w:t>Compensation Tables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PVPD">
                                    <w:r>
                                      <w:rPr>
                                        <w:rStyle w:val="InternetLink"/>
                                        <w:rFonts w:ascii="Arial Narrow;Arial;Tahoma;Geneva;sans-serif" w:hAnsi="Arial Narrow;Arial;Tahoma;Geneva;sans-serif"/>
                                        <w:b/>
                                        <w:color w:val="FF5B34"/>
                                        <w:spacing w:val="11"/>
                                      </w:rPr>
                                      <w:t>Pay Versus Performance Disclosure</w:t>
                                    </w:r>
                                  </w:hyperlink>
                                  <w:r>
                                    <w:rPr/>
                                    <w:t xml:space="preserve"> </w:t>
                                  </w:r>
                                  <w:hyperlink w:anchor="tPVPD">
                                    <w:r>
                                      <w:rPr>
                                        <w:rStyle w:val="InternetLink"/>
                                      </w:rPr>
                                      <w:t>| Page</w:t>
                                    </w:r>
                                  </w:hyperlink>
                                  <w:r>
                                    <w:rPr/>
                                    <w:t xml:space="preserve"> </w:t>
                                  </w:r>
                                  <w:hyperlink w:anchor="tPVPD">
                                    <w:r>
                                      <w:rPr>
                                        <w:rStyle w:val="InternetLink"/>
                                        <w:color w:val="FF5B34"/>
                                      </w:rPr>
                                      <w:t>66</w:t>
                                    </w:r>
                                  </w:hyperlink>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6pt;height:684.6pt;mso-wrap-distance-left:58.65pt;mso-wrap-distance-right:0pt;mso-wrap-distance-top:0pt;mso-wrap-distance-bottom:0pt;margin-top:0pt;mso-position-vertical:top;mso-position-vertical-relative:text;margin-left:58.65pt;mso-position-horizontal:left;mso-position-horizontal-relative:text">
                <v:textbox>
                  <w:txbxContent>
                    <w:tbl>
                      <w:tblPr>
                        <w:tblW w:w="3131" w:type="dxa"/>
                        <w:jc w:val="left"/>
                        <w:tblInd w:w="0" w:type="dxa"/>
                        <w:tblLayout w:type="fixed"/>
                        <w:tblCellMar>
                          <w:top w:w="0" w:type="dxa"/>
                          <w:left w:w="0" w:type="dxa"/>
                          <w:bottom w:w="0" w:type="dxa"/>
                          <w:right w:w="0" w:type="dxa"/>
                        </w:tblCellMar>
                      </w:tblPr>
                      <w:tblGrid>
                        <w:gridCol w:w="124"/>
                        <w:gridCol w:w="252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26" w:type="dxa"/>
                            <w:tcBorders/>
                            <w:vAlign w:val="center"/>
                          </w:tcPr>
                          <w:p>
                            <w:pPr>
                              <w:pStyle w:val="TableContents"/>
                              <w:bidi w:val="0"/>
                              <w:spacing w:before="0" w:after="0"/>
                              <w:jc w:val="left"/>
                              <w:rPr/>
                            </w:pPr>
                            <w:hyperlink w:anchor="tPRSU">
                              <w:r>
                                <w:rPr>
                                  <w:rStyle w:val="InternetLink"/>
                                  <w:rFonts w:ascii="Arial Narrow;Arial;Tahoma;Geneva;sans-serif" w:hAnsi="Arial Narrow;Arial;Tahoma;Geneva;sans-serif"/>
                                  <w:b/>
                                  <w:color w:val="FF5B34"/>
                                  <w:spacing w:val="11"/>
                                </w:rPr>
                                <w:t>Proxy Summary</w:t>
                              </w:r>
                            </w:hyperlink>
                            <w:r>
                              <w:rPr/>
                              <w:t xml:space="preserve"> </w:t>
                            </w:r>
                            <w:hyperlink w:anchor="tPRSU">
                              <w:r>
                                <w:rPr>
                                  <w:rStyle w:val="InternetLink"/>
                                </w:rPr>
                                <w:t>| Page</w:t>
                              </w:r>
                            </w:hyperlink>
                            <w:r>
                              <w:rPr/>
                              <w:t xml:space="preserve"> </w:t>
                            </w:r>
                            <w:hyperlink w:anchor="tPRSU">
                              <w:r>
                                <w:rPr>
                                  <w:rStyle w:val="InternetLink"/>
                                  <w:color w:val="FF5B34"/>
                                </w:rPr>
                                <w:t>8</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tbl>
                      <w:tblPr>
                        <w:tblW w:w="5121" w:type="dxa"/>
                        <w:jc w:val="left"/>
                        <w:tblInd w:w="0" w:type="dxa"/>
                        <w:tblLayout w:type="fixed"/>
                        <w:tblCellMar>
                          <w:top w:w="0" w:type="dxa"/>
                          <w:left w:w="0" w:type="dxa"/>
                          <w:bottom w:w="0" w:type="dxa"/>
                          <w:right w:w="0" w:type="dxa"/>
                        </w:tblCellMar>
                      </w:tblPr>
                      <w:tblGrid>
                        <w:gridCol w:w="124"/>
                        <w:gridCol w:w="4843"/>
                        <w:gridCol w:w="154"/>
                      </w:tblGrid>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CAD">
                              <w:r>
                                <w:rPr>
                                  <w:rStyle w:val="InternetLink"/>
                                  <w:rFonts w:ascii="Arial Narrow;Arial;Tahoma;Geneva;sans-serif" w:hAnsi="Arial Narrow;Arial;Tahoma;Geneva;sans-serif"/>
                                  <w:b/>
                                  <w:color w:val="FF5B34"/>
                                  <w:spacing w:val="11"/>
                                </w:rPr>
                                <w:t>Board Composition</w:t>
                              </w:r>
                            </w:hyperlink>
                            <w:r>
                              <w:rPr/>
                              <w:t xml:space="preserve"> </w:t>
                            </w:r>
                            <w:hyperlink w:anchor="tBCAD">
                              <w:r>
                                <w:rPr>
                                  <w:rStyle w:val="InternetLink"/>
                                </w:rPr>
                                <w:t>| Page</w:t>
                              </w:r>
                            </w:hyperlink>
                            <w:r>
                              <w:rPr/>
                              <w:t xml:space="preserve"> </w:t>
                            </w:r>
                            <w:hyperlink w:anchor="tBCAD">
                              <w:r>
                                <w:rPr>
                                  <w:rStyle w:val="InternetLink"/>
                                  <w:color w:val="FF5B34"/>
                                </w:rPr>
                                <w:t>9</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ATEC">
                              <w:r>
                                <w:rPr>
                                  <w:rStyle w:val="InternetLink"/>
                                  <w:rFonts w:ascii="Arial Narrow;Arial;Tahoma;Geneva;sans-serif" w:hAnsi="Arial Narrow;Arial;Tahoma;Geneva;sans-serif"/>
                                  <w:b/>
                                  <w:color w:val="FF5B34"/>
                                  <w:spacing w:val="11"/>
                                </w:rPr>
                                <w:t>Approach to Executive Compensation</w:t>
                              </w:r>
                            </w:hyperlink>
                            <w:r>
                              <w:rPr/>
                              <w:t xml:space="preserve"> </w:t>
                            </w:r>
                            <w:hyperlink w:anchor="tATEC">
                              <w:r>
                                <w:rPr>
                                  <w:rStyle w:val="InternetLink"/>
                                </w:rPr>
                                <w:t>| Page</w:t>
                              </w:r>
                            </w:hyperlink>
                            <w:r>
                              <w:rPr/>
                              <w:t xml:space="preserve"> </w:t>
                            </w:r>
                            <w:hyperlink w:anchor="tATEC">
                              <w:r>
                                <w:rPr>
                                  <w:rStyle w:val="InternetLink"/>
                                  <w:color w:val="FF5B34"/>
                                </w:rPr>
                                <w:t>11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COGO">
                              <w:r>
                                <w:rPr>
                                  <w:rStyle w:val="InternetLink"/>
                                  <w:rFonts w:ascii="Arial Narrow;Arial;Tahoma;Geneva;sans-serif" w:hAnsi="Arial Narrow;Arial;Tahoma;Geneva;sans-serif"/>
                                  <w:b/>
                                  <w:color w:val="FF5B34"/>
                                  <w:spacing w:val="11"/>
                                </w:rPr>
                                <w:t>Corporate Governance</w:t>
                              </w:r>
                            </w:hyperlink>
                            <w:r>
                              <w:rPr/>
                              <w:t xml:space="preserve"> </w:t>
                            </w:r>
                            <w:hyperlink w:anchor="tCOGO">
                              <w:r>
                                <w:rPr>
                                  <w:rStyle w:val="InternetLink"/>
                                </w:rPr>
                                <w:t>| Page</w:t>
                              </w:r>
                            </w:hyperlink>
                            <w:r>
                              <w:rPr/>
                              <w:t xml:space="preserve"> </w:t>
                            </w:r>
                            <w:hyperlink w:anchor="tCOGO">
                              <w:r>
                                <w:rPr>
                                  <w:rStyle w:val="InternetLink"/>
                                  <w:color w:val="FF5B34"/>
                                </w:rPr>
                                <w:t>12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GO">
                              <w:r>
                                <w:rPr>
                                  <w:rStyle w:val="InternetLink"/>
                                  <w:color w:val="702076"/>
                                </w:rPr>
                                <w:t>Overview</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ROTB1">
                              <w:r>
                                <w:rPr>
                                  <w:rStyle w:val="InternetLink"/>
                                  <w:color w:val="702076"/>
                                </w:rPr>
                                <w:t>Role of the Board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CO1">
                              <w:r>
                                <w:rPr>
                                  <w:rStyle w:val="InternetLink"/>
                                  <w:color w:val="702076"/>
                                </w:rPr>
                                <w:t>Board Committees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GAO1">
                              <w:r>
                                <w:rPr>
                                  <w:rStyle w:val="InternetLink"/>
                                  <w:color w:val="702076"/>
                                </w:rPr>
                                <w:t>Board Governance and Oversight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US">
                              <w:r>
                                <w:rPr>
                                  <w:rStyle w:val="InternetLink"/>
                                  <w:rFonts w:ascii="Arial Narrow;Arial;Tahoma;Geneva;sans-serif" w:hAnsi="Arial Narrow;Arial;Tahoma;Geneva;sans-serif"/>
                                  <w:b/>
                                  <w:color w:val="FF5B34"/>
                                  <w:spacing w:val="11"/>
                                </w:rPr>
                                <w:t>Sustainability</w:t>
                              </w:r>
                            </w:hyperlink>
                            <w:r>
                              <w:rPr/>
                              <w:t xml:space="preserve"> </w:t>
                            </w:r>
                            <w:hyperlink w:anchor="tSUS">
                              <w:r>
                                <w:rPr>
                                  <w:rStyle w:val="InternetLink"/>
                                </w:rPr>
                                <w:t>| Page</w:t>
                              </w:r>
                            </w:hyperlink>
                            <w:r>
                              <w:rPr/>
                              <w:t xml:space="preserve"> </w:t>
                            </w:r>
                            <w:hyperlink w:anchor="tSUS">
                              <w:r>
                                <w:rPr>
                                  <w:rStyle w:val="InternetLink"/>
                                  <w:color w:val="FF5B34"/>
                                </w:rPr>
                                <w:t>21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HCM1">
                              <w:r>
                                <w:rPr>
                                  <w:rStyle w:val="InternetLink"/>
                                  <w:color w:val="702076"/>
                                </w:rPr>
                                <w:t>Human Capital Management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VAPE1">
                              <w:r>
                                <w:rPr>
                                  <w:rStyle w:val="InternetLink"/>
                                  <w:color w:val="702076"/>
                                </w:rPr>
                                <w:t>Valuing People</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EA1">
                              <w:r>
                                <w:rPr>
                                  <w:rStyle w:val="InternetLink"/>
                                  <w:color w:val="702076"/>
                                </w:rPr>
                                <w:t>Code of Ethics and Business Conduct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HEN">
                              <w:r>
                                <w:rPr>
                                  <w:rStyle w:val="InternetLink"/>
                                  <w:rFonts w:ascii="Arial Narrow;Arial;Tahoma;Geneva;sans-serif" w:hAnsi="Arial Narrow;Arial;Tahoma;Geneva;sans-serif"/>
                                  <w:b/>
                                  <w:color w:val="FF5B34"/>
                                  <w:spacing w:val="11"/>
                                </w:rPr>
                                <w:t>Shareholder</w:t>
                              </w:r>
                            </w:hyperlink>
                            <w:r>
                              <w:rPr>
                                <w:rFonts w:ascii="Arial Narrow;Arial;Tahoma;Geneva;sans-serif" w:hAnsi="Arial Narrow;Arial;Tahoma;Geneva;sans-serif"/>
                                <w:b/>
                                <w:spacing w:val="11"/>
                              </w:rPr>
                              <w:t xml:space="preserve"> </w:t>
                            </w:r>
                            <w:hyperlink w:anchor="tSHEN">
                              <w:r>
                                <w:rPr>
                                  <w:rStyle w:val="InternetLink"/>
                                  <w:rFonts w:ascii="Arial Narrow;Arial;Tahoma;Geneva;sans-serif" w:hAnsi="Arial Narrow;Arial;Tahoma;Geneva;sans-serif"/>
                                  <w:b/>
                                  <w:color w:val="FF5B34"/>
                                  <w:spacing w:val="11"/>
                                </w:rPr>
                                <w:t>Engagement</w:t>
                              </w:r>
                            </w:hyperlink>
                            <w:r>
                              <w:rPr>
                                <w:spacing w:val="2"/>
                              </w:rPr>
                              <w:t xml:space="preserve"> </w:t>
                            </w:r>
                            <w:hyperlink w:anchor="tSHEN">
                              <w:r>
                                <w:rPr>
                                  <w:rStyle w:val="InternetLink"/>
                                  <w:spacing w:val="2"/>
                                </w:rPr>
                                <w:t>| Page</w:t>
                              </w:r>
                            </w:hyperlink>
                            <w:r>
                              <w:rPr>
                                <w:spacing w:val="2"/>
                              </w:rPr>
                              <w:t xml:space="preserve"> </w:t>
                            </w:r>
                            <w:hyperlink w:anchor="tSHEN">
                              <w:r>
                                <w:rPr>
                                  <w:rStyle w:val="InternetLink"/>
                                  <w:color w:val="FF5B34"/>
                                  <w:spacing w:val="2"/>
                                </w:rPr>
                                <w:t>23</w:t>
                              </w:r>
                            </w:hyperlink>
                            <w:r>
                              <w:rPr>
                                <w:color w:val="702076"/>
                                <w:spacing w:val="11"/>
                              </w:rPr>
                              <w:t>​</w:t>
                            </w:r>
                            <w:r>
                              <w:rPr>
                                <w:spacing w:val="11"/>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WD1">
                              <w:r>
                                <w:rPr>
                                  <w:rStyle w:val="InternetLink"/>
                                  <w:color w:val="702076"/>
                                  <w:spacing w:val="2"/>
                                </w:rPr>
                                <w:t>Communication with Directors</w:t>
                              </w:r>
                            </w:hyperlink>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D">
                              <w:r>
                                <w:rPr>
                                  <w:rStyle w:val="InternetLink"/>
                                  <w:rFonts w:ascii="Arial Narrow;Arial;Tahoma;Geneva;sans-serif" w:hAnsi="Arial Narrow;Arial;Tahoma;Geneva;sans-serif"/>
                                  <w:b/>
                                  <w:color w:val="FF5B34"/>
                                  <w:spacing w:val="11"/>
                                </w:rPr>
                                <w:t>Board of Directors</w:t>
                              </w:r>
                            </w:hyperlink>
                            <w:r>
                              <w:rPr/>
                              <w:t xml:space="preserve"> </w:t>
                            </w:r>
                            <w:hyperlink w:anchor="tBOD">
                              <w:r>
                                <w:rPr>
                                  <w:rStyle w:val="InternetLink"/>
                                </w:rPr>
                                <w:t>| Page</w:t>
                              </w:r>
                            </w:hyperlink>
                            <w:r>
                              <w:rPr/>
                              <w:t xml:space="preserve"> </w:t>
                            </w:r>
                            <w:hyperlink w:anchor="tBOD">
                              <w:r>
                                <w:rPr>
                                  <w:rStyle w:val="InternetLink"/>
                                  <w:color w:val="FF5B34"/>
                                </w:rPr>
                                <w:t>24</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QAR1">
                              <w:r>
                                <w:rPr>
                                  <w:rStyle w:val="InternetLink"/>
                                  <w:color w:val="702076"/>
                                </w:rPr>
                                <w:t>Board Qualifications and Refreshment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N1">
                              <w:r>
                                <w:rPr>
                                  <w:rStyle w:val="InternetLink"/>
                                  <w:color w:val="702076"/>
                                </w:rPr>
                                <w:t>Director Nominees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ICO1">
                              <w:r>
                                <w:rPr>
                                  <w:rStyle w:val="InternetLink"/>
                                  <w:color w:val="702076"/>
                                </w:rPr>
                                <w:t>Director Compensation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OF1">
                              <w:r>
                                <w:rPr>
                                  <w:rStyle w:val="InternetLink"/>
                                  <w:rFonts w:ascii="Arial Narrow;Arial;Tahoma;Geneva;sans-serif" w:hAnsi="Arial Narrow;Arial;Tahoma;Geneva;sans-serif"/>
                                  <w:b/>
                                  <w:color w:val="FF5B34"/>
                                  <w:spacing w:val="11"/>
                                </w:rPr>
                                <w:t>Executive Officers</w:t>
                              </w:r>
                            </w:hyperlink>
                            <w:r>
                              <w:rPr/>
                              <w:t xml:space="preserve"> </w:t>
                            </w:r>
                            <w:hyperlink w:anchor="tEXOF1">
                              <w:r>
                                <w:rPr>
                                  <w:rStyle w:val="InternetLink"/>
                                </w:rPr>
                                <w:t>| Page</w:t>
                              </w:r>
                            </w:hyperlink>
                            <w:r>
                              <w:rPr/>
                              <w:t xml:space="preserve"> </w:t>
                            </w:r>
                            <w:hyperlink w:anchor="tEXOF1">
                              <w:r>
                                <w:rPr>
                                  <w:rStyle w:val="InternetLink"/>
                                  <w:color w:val="FF5B34"/>
                                </w:rPr>
                                <w:t>31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CO">
                              <w:r>
                                <w:rPr>
                                  <w:rStyle w:val="InternetLink"/>
                                  <w:rFonts w:ascii="Arial Narrow;Arial;Tahoma;Geneva;sans-serif" w:hAnsi="Arial Narrow;Arial;Tahoma;Geneva;sans-serif"/>
                                  <w:b/>
                                  <w:color w:val="FF5B34"/>
                                  <w:spacing w:val="11"/>
                                </w:rPr>
                                <w:t>Executive Compensation</w:t>
                              </w:r>
                            </w:hyperlink>
                            <w:r>
                              <w:rPr/>
                              <w:t xml:space="preserve"> </w:t>
                            </w:r>
                            <w:hyperlink w:anchor="tEXCO">
                              <w:r>
                                <w:rPr>
                                  <w:rStyle w:val="InternetLink"/>
                                </w:rPr>
                                <w:t>| Page</w:t>
                              </w:r>
                            </w:hyperlink>
                            <w:r>
                              <w:rPr/>
                              <w:t xml:space="preserve"> </w:t>
                            </w:r>
                            <w:hyperlink w:anchor="tEXCO">
                              <w:r>
                                <w:rPr>
                                  <w:rStyle w:val="InternetLink"/>
                                  <w:color w:val="FF5B34"/>
                                </w:rPr>
                                <w:t>32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DAA1">
                              <w:r>
                                <w:rPr>
                                  <w:rStyle w:val="InternetLink"/>
                                  <w:color w:val="702076"/>
                                </w:rPr>
                                <w:t>Compensation Discussion &amp; Analysis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EOC2">
                              <w:r>
                                <w:rPr>
                                  <w:rStyle w:val="InternetLink"/>
                                  <w:color w:val="702076"/>
                                </w:rPr>
                                <w:t>Elements of Compensation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TA1">
                              <w:r>
                                <w:rPr>
                                  <w:rStyle w:val="InternetLink"/>
                                  <w:color w:val="702076"/>
                                </w:rPr>
                                <w:t>Compensation Tables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PVPD">
                              <w:r>
                                <w:rPr>
                                  <w:rStyle w:val="InternetLink"/>
                                  <w:rFonts w:ascii="Arial Narrow;Arial;Tahoma;Geneva;sans-serif" w:hAnsi="Arial Narrow;Arial;Tahoma;Geneva;sans-serif"/>
                                  <w:b/>
                                  <w:color w:val="FF5B34"/>
                                  <w:spacing w:val="11"/>
                                </w:rPr>
                                <w:t>Pay Versus Performance Disclosure</w:t>
                              </w:r>
                            </w:hyperlink>
                            <w:r>
                              <w:rPr/>
                              <w:t xml:space="preserve"> </w:t>
                            </w:r>
                            <w:hyperlink w:anchor="tPVPD">
                              <w:r>
                                <w:rPr>
                                  <w:rStyle w:val="InternetLink"/>
                                </w:rPr>
                                <w:t>| Page</w:t>
                              </w:r>
                            </w:hyperlink>
                            <w:r>
                              <w:rPr/>
                              <w:t xml:space="preserve"> </w:t>
                            </w:r>
                            <w:hyperlink w:anchor="tPVPD">
                              <w:r>
                                <w:rPr>
                                  <w:rStyle w:val="InternetLink"/>
                                  <w:color w:val="FF5B34"/>
                                </w:rPr>
                                <w:t>66</w:t>
                              </w:r>
                            </w:hyperlink>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76200" distR="0" simplePos="0" locked="0" layoutInCell="1" allowOverlap="1" relativeHeight="376">
                <wp:simplePos x="0" y="0"/>
                <wp:positionH relativeFrom="column">
                  <wp:align>left</wp:align>
                </wp:positionH>
                <wp:positionV relativeFrom="line">
                  <wp:posOffset>635</wp:posOffset>
                </wp:positionV>
                <wp:extent cx="2997200" cy="6303645"/>
                <wp:effectExtent l="0" t="0" r="0" b="0"/>
                <wp:wrapSquare wrapText="right"/>
                <wp:docPr id="46" name="Frame24"/>
                <a:graphic xmlns:a="http://schemas.openxmlformats.org/drawingml/2006/main">
                  <a:graphicData uri="http://schemas.microsoft.com/office/word/2010/wordprocessingShape">
                    <wps:wsp>
                      <wps:cNvSpPr txBox="1"/>
                      <wps:spPr>
                        <a:xfrm>
                          <a:off x="0" y="0"/>
                          <a:ext cx="2997200" cy="63036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NPTB">
                                    <w:r>
                                      <w:rPr>
                                        <w:rStyle w:val="InternetLink"/>
                                        <w:rFonts w:ascii="Arial Narrow;Arial;Tahoma;Geneva;sans-serif" w:hAnsi="Arial Narrow;Arial;Tahoma;Geneva;sans-serif"/>
                                        <w:b/>
                                        <w:color w:val="FF5B34"/>
                                        <w:spacing w:val="11"/>
                                      </w:rPr>
                                      <w:t>Notice Proposals to be Acted Upon at the AGM</w:t>
                                    </w:r>
                                  </w:hyperlink>
                                  <w:r>
                                    <w:rPr/>
                                    <w:t xml:space="preserve"> </w:t>
                                  </w:r>
                                  <w:hyperlink w:anchor="tNPTB">
                                    <w:r>
                                      <w:rPr>
                                        <w:rStyle w:val="InternetLink"/>
                                      </w:rPr>
                                      <w:t>| Page</w:t>
                                    </w:r>
                                  </w:hyperlink>
                                  <w:r>
                                    <w:rPr/>
                                    <w:t xml:space="preserve"> </w:t>
                                  </w:r>
                                  <w:hyperlink w:anchor="tNPTB">
                                    <w:r>
                                      <w:rPr>
                                        <w:rStyle w:val="InternetLink"/>
                                        <w:color w:val="FF5B34"/>
                                      </w:rPr>
                                      <w:t>72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1">
                                    <w:r>
                                      <w:rPr>
                                        <w:rStyle w:val="InternetLink"/>
                                        <w:rFonts w:ascii="Arial Narrow;Arial;Tahoma;Geneva;sans-serif" w:hAnsi="Arial Narrow;Arial;Tahoma;Geneva;sans-serif"/>
                                        <w:b/>
                                        <w:color w:val="702076"/>
                                        <w:spacing w:val="10"/>
                                      </w:rPr>
                                      <w:t>Proposal No. 1</w:t>
                                    </w:r>
                                  </w:hyperlink>
                                  <w:hyperlink w:anchor="tPROP1">
                                    <w:r>
                                      <w:rPr>
                                        <w:rStyle w:val="InternetLink"/>
                                        <w:color w:val="702076"/>
                                      </w:rPr>
                                      <w:t> — Election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2">
                                    <w:r>
                                      <w:rPr>
                                        <w:rStyle w:val="InternetLink"/>
                                        <w:rFonts w:ascii="Arial Narrow;Arial;Tahoma;Geneva;sans-serif" w:hAnsi="Arial Narrow;Arial;Tahoma;Geneva;sans-serif"/>
                                        <w:b/>
                                        <w:color w:val="702076"/>
                                        <w:spacing w:val="10"/>
                                      </w:rPr>
                                      <w:t>Proposal No. 2</w:t>
                                    </w:r>
                                  </w:hyperlink>
                                  <w:hyperlink w:anchor="tPROP2">
                                    <w:r>
                                      <w:rPr>
                                        <w:rStyle w:val="InternetLink"/>
                                        <w:color w:val="702076"/>
                                      </w:rPr>
                                      <w:t> — Advisory (Non-Binding) Vote to Approve Executive Compensation (Say on Pay)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3">
                                    <w:r>
                                      <w:rPr>
                                        <w:rStyle w:val="InternetLink"/>
                                        <w:rFonts w:ascii="Arial Narrow;Arial;Tahoma;Geneva;sans-serif" w:hAnsi="Arial Narrow;Arial;Tahoma;Geneva;sans-serif"/>
                                        <w:b/>
                                        <w:color w:val="702076"/>
                                        <w:spacing w:val="10"/>
                                      </w:rPr>
                                      <w:t>Proposal No. 3</w:t>
                                    </w:r>
                                  </w:hyperlink>
                                  <w:hyperlink w:anchor="tPROP3">
                                    <w:r>
                                      <w:rPr>
                                        <w:rStyle w:val="InternetLink"/>
                                        <w:color w:val="702076"/>
                                      </w:rPr>
                                      <w:t> — Ratification of the Appointment of PwC-US as the Company’s Independent Registered Public Accounting Firm</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4">
                                    <w:r>
                                      <w:rPr>
                                        <w:rStyle w:val="InternetLink"/>
                                        <w:rFonts w:ascii="Arial Narrow;Arial;Tahoma;Geneva;sans-serif" w:hAnsi="Arial Narrow;Arial;Tahoma;Geneva;sans-serif"/>
                                        <w:b/>
                                        <w:color w:val="702076"/>
                                        <w:spacing w:val="10"/>
                                      </w:rPr>
                                      <w:t>Proposal No. 4</w:t>
                                    </w:r>
                                  </w:hyperlink>
                                  <w:hyperlink w:anchor="tPROP4">
                                    <w:r>
                                      <w:rPr>
                                        <w:rStyle w:val="InternetLink"/>
                                        <w:color w:val="702076"/>
                                      </w:rPr>
                                      <w:t> — Approval of the Second Amended and Restated LivaNova PLC 2022 Incentive Award Plan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5">
                                    <w:r>
                                      <w:rPr>
                                        <w:rStyle w:val="InternetLink"/>
                                        <w:rFonts w:ascii="Arial Narrow;Arial;Tahoma;Geneva;sans-serif" w:hAnsi="Arial Narrow;Arial;Tahoma;Geneva;sans-serif"/>
                                        <w:b/>
                                        <w:color w:val="702076"/>
                                        <w:spacing w:val="10"/>
                                      </w:rPr>
                                      <w:t>Proposal No. 5</w:t>
                                    </w:r>
                                  </w:hyperlink>
                                  <w:hyperlink w:anchor="tPROP5">
                                    <w:r>
                                      <w:rPr>
                                        <w:rStyle w:val="InternetLink"/>
                                        <w:color w:val="702076"/>
                                      </w:rPr>
                                      <w:t> — Approval of the LivaNova PLC 2025 Director Incentive Award Plan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6">
                                    <w:r>
                                      <w:rPr>
                                        <w:rStyle w:val="InternetLink"/>
                                        <w:rFonts w:ascii="Arial Narrow;Arial;Tahoma;Geneva;sans-serif" w:hAnsi="Arial Narrow;Arial;Tahoma;Geneva;sans-serif"/>
                                        <w:b/>
                                        <w:color w:val="702076"/>
                                        <w:spacing w:val="10"/>
                                      </w:rPr>
                                      <w:t>Proposal No. 6</w:t>
                                    </w:r>
                                  </w:hyperlink>
                                  <w:hyperlink w:anchor="tPROP6">
                                    <w:r>
                                      <w:rPr>
                                        <w:rStyle w:val="InternetLink"/>
                                        <w:color w:val="702076"/>
                                      </w:rPr>
                                      <w:t> — Ordinary Resolution to Grant Authority to Allot Shares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7">
                                    <w:r>
                                      <w:rPr>
                                        <w:rStyle w:val="InternetLink"/>
                                        <w:rFonts w:ascii="Arial Narrow;Arial;Tahoma;Geneva;sans-serif" w:hAnsi="Arial Narrow;Arial;Tahoma;Geneva;sans-serif"/>
                                        <w:b/>
                                        <w:color w:val="702076"/>
                                        <w:spacing w:val="10"/>
                                      </w:rPr>
                                      <w:t>Proposal No. 7</w:t>
                                    </w:r>
                                  </w:hyperlink>
                                  <w:hyperlink w:anchor="tPROP7">
                                    <w:r>
                                      <w:rPr>
                                        <w:rStyle w:val="InternetLink"/>
                                        <w:color w:val="702076"/>
                                      </w:rPr>
                                      <w:t> — Special Resolution to Grant Power to Disapply Pre-Emption Rights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8">
                                    <w:r>
                                      <w:rPr>
                                        <w:rStyle w:val="InternetLink"/>
                                        <w:rFonts w:ascii="Arial Narrow;Arial;Tahoma;Geneva;sans-serif" w:hAnsi="Arial Narrow;Arial;Tahoma;Geneva;sans-serif"/>
                                        <w:b/>
                                        <w:color w:val="702076"/>
                                        <w:spacing w:val="10"/>
                                      </w:rPr>
                                      <w:t>Proposal No. 8</w:t>
                                    </w:r>
                                  </w:hyperlink>
                                  <w:hyperlink w:anchor="tPROP8">
                                    <w:r>
                                      <w:rPr>
                                        <w:rStyle w:val="InternetLink"/>
                                        <w:color w:val="702076"/>
                                      </w:rPr>
                                      <w:t> — Advisory Vote to Approve the UK Directors’ Remuneration Report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9">
                                    <w:r>
                                      <w:rPr>
                                        <w:rStyle w:val="InternetLink"/>
                                        <w:rFonts w:ascii="Arial Narrow;Arial;Tahoma;Geneva;sans-serif" w:hAnsi="Arial Narrow;Arial;Tahoma;Geneva;sans-serif"/>
                                        <w:b/>
                                        <w:color w:val="702076"/>
                                        <w:spacing w:val="10"/>
                                      </w:rPr>
                                      <w:t>Proposal No. 9</w:t>
                                    </w:r>
                                  </w:hyperlink>
                                  <w:hyperlink w:anchor="tPROP9">
                                    <w:r>
                                      <w:rPr>
                                        <w:rStyle w:val="InternetLink"/>
                                        <w:color w:val="702076"/>
                                      </w:rPr>
                                      <w:t> — Vote to Approve the UK Directors’ Remuneration Policy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10">
                                    <w:r>
                                      <w:rPr>
                                        <w:rStyle w:val="InternetLink"/>
                                        <w:rFonts w:ascii="Arial Narrow;Arial;Tahoma;Geneva;sans-serif" w:hAnsi="Arial Narrow;Arial;Tahoma;Geneva;sans-serif"/>
                                        <w:b/>
                                        <w:color w:val="702076"/>
                                        <w:spacing w:val="10"/>
                                      </w:rPr>
                                      <w:t>Proposal No. 10</w:t>
                                    </w:r>
                                  </w:hyperlink>
                                  <w:hyperlink w:anchor="tPROP10">
                                    <w:r>
                                      <w:rPr>
                                        <w:rStyle w:val="InternetLink"/>
                                        <w:color w:val="702076"/>
                                      </w:rPr>
                                      <w:t> — To Receive and Adopt the UK Annual Report and Accounts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11">
                                    <w:r>
                                      <w:rPr>
                                        <w:rStyle w:val="InternetLink"/>
                                        <w:rFonts w:ascii="Arial Narrow;Arial;Tahoma;Geneva;sans-serif" w:hAnsi="Arial Narrow;Arial;Tahoma;Geneva;sans-serif"/>
                                        <w:b/>
                                        <w:color w:val="702076"/>
                                        <w:spacing w:val="10"/>
                                      </w:rPr>
                                      <w:t>Proposal No. 11</w:t>
                                    </w:r>
                                  </w:hyperlink>
                                  <w:hyperlink w:anchor="tPROP11">
                                    <w:r>
                                      <w:rPr>
                                        <w:rStyle w:val="InternetLink"/>
                                        <w:color w:val="702076"/>
                                      </w:rPr>
                                      <w:t> — Re-appointment of PwC-UK as the Company’s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12">
                                    <w:r>
                                      <w:rPr>
                                        <w:rStyle w:val="InternetLink"/>
                                        <w:rFonts w:ascii="Arial Narrow;Arial;Tahoma;Geneva;sans-serif" w:hAnsi="Arial Narrow;Arial;Tahoma;Geneva;sans-serif"/>
                                        <w:b/>
                                        <w:color w:val="702076"/>
                                        <w:spacing w:val="10"/>
                                      </w:rPr>
                                      <w:t>Proposal No. 12</w:t>
                                    </w:r>
                                  </w:hyperlink>
                                  <w:hyperlink w:anchor="tPROP12">
                                    <w:r>
                                      <w:rPr>
                                        <w:rStyle w:val="InternetLink"/>
                                        <w:color w:val="702076"/>
                                      </w:rPr>
                                      <w:t> — Authorization of the Directors and/or the Audit and Compliance Committee to Determine the Remuneration of PwC-UK in its Capacity as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OTIN">
                                    <w:r>
                                      <w:rPr>
                                        <w:rStyle w:val="InternetLink"/>
                                        <w:rFonts w:ascii="Arial Narrow;Arial;Tahoma;Geneva;sans-serif" w:hAnsi="Arial Narrow;Arial;Tahoma;Geneva;sans-serif"/>
                                        <w:b/>
                                        <w:color w:val="FF5B34"/>
                                        <w:spacing w:val="11"/>
                                      </w:rPr>
                                      <w:t>Other Information</w:t>
                                    </w:r>
                                  </w:hyperlink>
                                  <w:r>
                                    <w:rPr/>
                                    <w:t xml:space="preserve"> </w:t>
                                  </w:r>
                                  <w:hyperlink w:anchor="tOTIN">
                                    <w:r>
                                      <w:rPr>
                                        <w:rStyle w:val="InternetLink"/>
                                      </w:rPr>
                                      <w:t>| Page</w:t>
                                    </w:r>
                                  </w:hyperlink>
                                  <w:r>
                                    <w:rPr/>
                                    <w:t xml:space="preserve"> </w:t>
                                  </w:r>
                                  <w:hyperlink w:anchor="tOTIN">
                                    <w:r>
                                      <w:rPr>
                                        <w:rStyle w:val="InternetLink"/>
                                        <w:color w:val="FF5B34"/>
                                      </w:rPr>
                                      <w:t>98</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FAQA">
                                    <w:r>
                                      <w:rPr>
                                        <w:rStyle w:val="InternetLink"/>
                                        <w:rFonts w:ascii="Arial Narrow;Arial;Tahoma;Geneva;sans-serif" w:hAnsi="Arial Narrow;Arial;Tahoma;Geneva;sans-serif"/>
                                        <w:b/>
                                        <w:color w:val="FF5B34"/>
                                        <w:spacing w:val="11"/>
                                      </w:rPr>
                                      <w:t>Frequently Asked Questions</w:t>
                                    </w:r>
                                  </w:hyperlink>
                                  <w:r>
                                    <w:rPr/>
                                    <w:t xml:space="preserve"> </w:t>
                                  </w:r>
                                  <w:hyperlink w:anchor="tFAQA">
                                    <w:r>
                                      <w:rPr>
                                        <w:rStyle w:val="InternetLink"/>
                                      </w:rPr>
                                      <w:t>| Page</w:t>
                                    </w:r>
                                  </w:hyperlink>
                                  <w:r>
                                    <w:rPr/>
                                    <w:t xml:space="preserve"> </w:t>
                                  </w:r>
                                  <w:hyperlink w:anchor="tFAQA">
                                    <w:r>
                                      <w:rPr>
                                        <w:rStyle w:val="InternetLink"/>
                                        <w:color w:val="FF5B34"/>
                                      </w:rPr>
                                      <w:t>101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PA">
                                    <w:r>
                                      <w:rPr>
                                        <w:rStyle w:val="InternetLink"/>
                                        <w:color w:val="000080"/>
                                      </w:rPr>
                                      <w:t>Appendix A</w:t>
                                    </w:r>
                                  </w:hyperlink>
                                  <w:hyperlink w:anchor="tAPA">
                                    <w:r>
                                      <w:rPr>
                                        <w:rStyle w:val="InternetLink"/>
                                        <w:color w:val="000080"/>
                                      </w:rPr>
                                      <w:t> — Second Amended and Restated LivaNova PLC</w:t>
                                    </w:r>
                                  </w:hyperlink>
                                  <w:r>
                                    <w:rPr>
                                      <w:color w:val="FF5B34"/>
                                    </w:rPr>
                                    <w:t xml:space="preserve"> </w:t>
                                  </w:r>
                                  <w:hyperlink w:anchor="tAPA">
                                    <w:r>
                                      <w:rPr>
                                        <w:rStyle w:val="InternetLink"/>
                                        <w:color w:val="000080"/>
                                      </w:rPr>
                                      <w:t>2022 Incentive Award Plan</w:t>
                                    </w:r>
                                  </w:hyperlink>
                                  <w:r>
                                    <w:rPr>
                                      <w:color w:val="FF5B34"/>
                                      <w:spacing w:val="2"/>
                                    </w:rPr>
                                    <w:t xml:space="preserve"> </w:t>
                                  </w:r>
                                  <w:hyperlink w:anchor="tAPA">
                                    <w:r>
                                      <w:rPr>
                                        <w:rStyle w:val="InternetLink"/>
                                        <w:rFonts w:ascii="Tahoma;Geneva;sans-serif" w:hAnsi="Tahoma;Geneva;sans-serif"/>
                                        <w:b w:val="false"/>
                                        <w:color w:val="000080"/>
                                        <w:spacing w:val="2"/>
                                      </w:rPr>
                                      <w:t>| Appendix A-</w:t>
                                    </w:r>
                                  </w:hyperlink>
                                  <w:hyperlink w:anchor="tAPA">
                                    <w:r>
                                      <w:rPr>
                                        <w:rStyle w:val="InternetLink"/>
                                        <w:rFonts w:ascii="Tahoma;Geneva;sans-serif" w:hAnsi="Tahoma;Geneva;sans-serif"/>
                                        <w:b w:val="false"/>
                                        <w:color w:val="000080"/>
                                        <w:spacing w:val="2"/>
                                      </w:rPr>
                                      <w:t>1</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PB">
                                    <w:r>
                                      <w:rPr>
                                        <w:rStyle w:val="InternetLink"/>
                                        <w:rFonts w:ascii="Arial Narrow;Arial;Tahoma;Geneva;sans-serif" w:hAnsi="Arial Narrow;Arial;Tahoma;Geneva;sans-serif"/>
                                        <w:b/>
                                        <w:color w:val="000080"/>
                                        <w:spacing w:val="11"/>
                                      </w:rPr>
                                      <w:t>Appendix B</w:t>
                                    </w:r>
                                  </w:hyperlink>
                                  <w:hyperlink w:anchor="tAPB">
                                    <w:r>
                                      <w:rPr>
                                        <w:rStyle w:val="InternetLink"/>
                                        <w:rFonts w:ascii="Arial Narrow;Arial;Tahoma;Geneva;sans-serif" w:hAnsi="Arial Narrow;Arial;Tahoma;Geneva;sans-serif"/>
                                        <w:b/>
                                        <w:color w:val="000080"/>
                                        <w:spacing w:val="11"/>
                                      </w:rPr>
                                      <w:t> — 2025 Director Incentive Award Plan</w:t>
                                    </w:r>
                                  </w:hyperlink>
                                  <w:r>
                                    <w:rPr/>
                                    <w:t xml:space="preserve"> </w:t>
                                  </w:r>
                                  <w:hyperlink w:anchor="tAPB">
                                    <w:r>
                                      <w:rPr>
                                        <w:rStyle w:val="InternetLink"/>
                                        <w:color w:val="FF5B34"/>
                                      </w:rPr>
                                      <w:t>| Appendix B-1</w:t>
                                    </w:r>
                                  </w:hyperlink>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6pt;height:496.35pt;mso-wrap-distance-left:6pt;mso-wrap-distance-right:0pt;mso-wrap-distance-top:0pt;mso-wrap-distance-bottom:0pt;margin-top:0pt;mso-position-vertical:top;mso-position-vertical-relative:text;margin-left:6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NPTB">
                              <w:r>
                                <w:rPr>
                                  <w:rStyle w:val="InternetLink"/>
                                  <w:rFonts w:ascii="Arial Narrow;Arial;Tahoma;Geneva;sans-serif" w:hAnsi="Arial Narrow;Arial;Tahoma;Geneva;sans-serif"/>
                                  <w:b/>
                                  <w:color w:val="FF5B34"/>
                                  <w:spacing w:val="11"/>
                                </w:rPr>
                                <w:t>Notice Proposals to be Acted Upon at the AGM</w:t>
                              </w:r>
                            </w:hyperlink>
                            <w:r>
                              <w:rPr/>
                              <w:t xml:space="preserve"> </w:t>
                            </w:r>
                            <w:hyperlink w:anchor="tNPTB">
                              <w:r>
                                <w:rPr>
                                  <w:rStyle w:val="InternetLink"/>
                                </w:rPr>
                                <w:t>| Page</w:t>
                              </w:r>
                            </w:hyperlink>
                            <w:r>
                              <w:rPr/>
                              <w:t xml:space="preserve"> </w:t>
                            </w:r>
                            <w:hyperlink w:anchor="tNPTB">
                              <w:r>
                                <w:rPr>
                                  <w:rStyle w:val="InternetLink"/>
                                  <w:color w:val="FF5B34"/>
                                </w:rPr>
                                <w:t>72</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1">
                              <w:r>
                                <w:rPr>
                                  <w:rStyle w:val="InternetLink"/>
                                  <w:rFonts w:ascii="Arial Narrow;Arial;Tahoma;Geneva;sans-serif" w:hAnsi="Arial Narrow;Arial;Tahoma;Geneva;sans-serif"/>
                                  <w:b/>
                                  <w:color w:val="702076"/>
                                  <w:spacing w:val="10"/>
                                </w:rPr>
                                <w:t>Proposal No. 1</w:t>
                              </w:r>
                            </w:hyperlink>
                            <w:hyperlink w:anchor="tPROP1">
                              <w:r>
                                <w:rPr>
                                  <w:rStyle w:val="InternetLink"/>
                                  <w:color w:val="702076"/>
                                </w:rPr>
                                <w:t> — Election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2">
                              <w:r>
                                <w:rPr>
                                  <w:rStyle w:val="InternetLink"/>
                                  <w:rFonts w:ascii="Arial Narrow;Arial;Tahoma;Geneva;sans-serif" w:hAnsi="Arial Narrow;Arial;Tahoma;Geneva;sans-serif"/>
                                  <w:b/>
                                  <w:color w:val="702076"/>
                                  <w:spacing w:val="10"/>
                                </w:rPr>
                                <w:t>Proposal No. 2</w:t>
                              </w:r>
                            </w:hyperlink>
                            <w:hyperlink w:anchor="tPROP2">
                              <w:r>
                                <w:rPr>
                                  <w:rStyle w:val="InternetLink"/>
                                  <w:color w:val="702076"/>
                                </w:rPr>
                                <w:t> — Advisory (Non-Binding) Vote to Approve Executive Compensation (Say on Pay)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3">
                              <w:r>
                                <w:rPr>
                                  <w:rStyle w:val="InternetLink"/>
                                  <w:rFonts w:ascii="Arial Narrow;Arial;Tahoma;Geneva;sans-serif" w:hAnsi="Arial Narrow;Arial;Tahoma;Geneva;sans-serif"/>
                                  <w:b/>
                                  <w:color w:val="702076"/>
                                  <w:spacing w:val="10"/>
                                </w:rPr>
                                <w:t>Proposal No. 3</w:t>
                              </w:r>
                            </w:hyperlink>
                            <w:hyperlink w:anchor="tPROP3">
                              <w:r>
                                <w:rPr>
                                  <w:rStyle w:val="InternetLink"/>
                                  <w:color w:val="702076"/>
                                </w:rPr>
                                <w:t> — Ratification of the Appointment of PwC-US as the Company’s Independent Registered Public Accounting Firm</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4">
                              <w:r>
                                <w:rPr>
                                  <w:rStyle w:val="InternetLink"/>
                                  <w:rFonts w:ascii="Arial Narrow;Arial;Tahoma;Geneva;sans-serif" w:hAnsi="Arial Narrow;Arial;Tahoma;Geneva;sans-serif"/>
                                  <w:b/>
                                  <w:color w:val="702076"/>
                                  <w:spacing w:val="10"/>
                                </w:rPr>
                                <w:t>Proposal No. 4</w:t>
                              </w:r>
                            </w:hyperlink>
                            <w:hyperlink w:anchor="tPROP4">
                              <w:r>
                                <w:rPr>
                                  <w:rStyle w:val="InternetLink"/>
                                  <w:color w:val="702076"/>
                                </w:rPr>
                                <w:t> — Approval of the Second Amended and Restated LivaNova PLC 2022 Incentive Award Plan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5">
                              <w:r>
                                <w:rPr>
                                  <w:rStyle w:val="InternetLink"/>
                                  <w:rFonts w:ascii="Arial Narrow;Arial;Tahoma;Geneva;sans-serif" w:hAnsi="Arial Narrow;Arial;Tahoma;Geneva;sans-serif"/>
                                  <w:b/>
                                  <w:color w:val="702076"/>
                                  <w:spacing w:val="10"/>
                                </w:rPr>
                                <w:t>Proposal No. 5</w:t>
                              </w:r>
                            </w:hyperlink>
                            <w:hyperlink w:anchor="tPROP5">
                              <w:r>
                                <w:rPr>
                                  <w:rStyle w:val="InternetLink"/>
                                  <w:color w:val="702076"/>
                                </w:rPr>
                                <w:t> — Approval of the LivaNova PLC 2025 Director Incentive Award Plan</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6">
                              <w:r>
                                <w:rPr>
                                  <w:rStyle w:val="InternetLink"/>
                                  <w:rFonts w:ascii="Arial Narrow;Arial;Tahoma;Geneva;sans-serif" w:hAnsi="Arial Narrow;Arial;Tahoma;Geneva;sans-serif"/>
                                  <w:b/>
                                  <w:color w:val="702076"/>
                                  <w:spacing w:val="10"/>
                                </w:rPr>
                                <w:t>Proposal No. 6</w:t>
                              </w:r>
                            </w:hyperlink>
                            <w:hyperlink w:anchor="tPROP6">
                              <w:r>
                                <w:rPr>
                                  <w:rStyle w:val="InternetLink"/>
                                  <w:color w:val="702076"/>
                                </w:rPr>
                                <w:t> — Ordinary Resolution to Grant Authority to Allot Shares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7">
                              <w:r>
                                <w:rPr>
                                  <w:rStyle w:val="InternetLink"/>
                                  <w:rFonts w:ascii="Arial Narrow;Arial;Tahoma;Geneva;sans-serif" w:hAnsi="Arial Narrow;Arial;Tahoma;Geneva;sans-serif"/>
                                  <w:b/>
                                  <w:color w:val="702076"/>
                                  <w:spacing w:val="10"/>
                                </w:rPr>
                                <w:t>Proposal No. 7</w:t>
                              </w:r>
                            </w:hyperlink>
                            <w:hyperlink w:anchor="tPROP7">
                              <w:r>
                                <w:rPr>
                                  <w:rStyle w:val="InternetLink"/>
                                  <w:color w:val="702076"/>
                                </w:rPr>
                                <w:t> — Special Resolution to Grant Power to Disapply Pre-Emption Rights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8">
                              <w:r>
                                <w:rPr>
                                  <w:rStyle w:val="InternetLink"/>
                                  <w:rFonts w:ascii="Arial Narrow;Arial;Tahoma;Geneva;sans-serif" w:hAnsi="Arial Narrow;Arial;Tahoma;Geneva;sans-serif"/>
                                  <w:b/>
                                  <w:color w:val="702076"/>
                                  <w:spacing w:val="10"/>
                                </w:rPr>
                                <w:t>Proposal No. 8</w:t>
                              </w:r>
                            </w:hyperlink>
                            <w:hyperlink w:anchor="tPROP8">
                              <w:r>
                                <w:rPr>
                                  <w:rStyle w:val="InternetLink"/>
                                  <w:color w:val="702076"/>
                                </w:rPr>
                                <w:t> — Advisory Vote to Approve the UK Directors’ Remuneration Report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9">
                              <w:r>
                                <w:rPr>
                                  <w:rStyle w:val="InternetLink"/>
                                  <w:rFonts w:ascii="Arial Narrow;Arial;Tahoma;Geneva;sans-serif" w:hAnsi="Arial Narrow;Arial;Tahoma;Geneva;sans-serif"/>
                                  <w:b/>
                                  <w:color w:val="702076"/>
                                  <w:spacing w:val="10"/>
                                </w:rPr>
                                <w:t>Proposal No. 9</w:t>
                              </w:r>
                            </w:hyperlink>
                            <w:hyperlink w:anchor="tPROP9">
                              <w:r>
                                <w:rPr>
                                  <w:rStyle w:val="InternetLink"/>
                                  <w:color w:val="702076"/>
                                </w:rPr>
                                <w:t> — Vote to Approve the UK Directors’ Remuneration Policy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ROP10">
                              <w:r>
                                <w:rPr>
                                  <w:rStyle w:val="InternetLink"/>
                                  <w:rFonts w:ascii="Arial Narrow;Arial;Tahoma;Geneva;sans-serif" w:hAnsi="Arial Narrow;Arial;Tahoma;Geneva;sans-serif"/>
                                  <w:b/>
                                  <w:color w:val="702076"/>
                                  <w:spacing w:val="10"/>
                                </w:rPr>
                                <w:t>Proposal No. 10</w:t>
                              </w:r>
                            </w:hyperlink>
                            <w:hyperlink w:anchor="tPROP10">
                              <w:r>
                                <w:rPr>
                                  <w:rStyle w:val="InternetLink"/>
                                  <w:color w:val="702076"/>
                                </w:rPr>
                                <w:t> — To Receive and Adopt the UK Annual Report and Accounts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11">
                              <w:r>
                                <w:rPr>
                                  <w:rStyle w:val="InternetLink"/>
                                  <w:rFonts w:ascii="Arial Narrow;Arial;Tahoma;Geneva;sans-serif" w:hAnsi="Arial Narrow;Arial;Tahoma;Geneva;sans-serif"/>
                                  <w:b/>
                                  <w:color w:val="702076"/>
                                  <w:spacing w:val="10"/>
                                </w:rPr>
                                <w:t>Proposal No. 11</w:t>
                              </w:r>
                            </w:hyperlink>
                            <w:hyperlink w:anchor="tPROP11">
                              <w:r>
                                <w:rPr>
                                  <w:rStyle w:val="InternetLink"/>
                                  <w:color w:val="702076"/>
                                </w:rPr>
                                <w:t> — Re-appointment of PwC-UK as the Company’s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ROP12">
                              <w:r>
                                <w:rPr>
                                  <w:rStyle w:val="InternetLink"/>
                                  <w:rFonts w:ascii="Arial Narrow;Arial;Tahoma;Geneva;sans-serif" w:hAnsi="Arial Narrow;Arial;Tahoma;Geneva;sans-serif"/>
                                  <w:b/>
                                  <w:color w:val="702076"/>
                                  <w:spacing w:val="10"/>
                                </w:rPr>
                                <w:t>Proposal No. 12</w:t>
                              </w:r>
                            </w:hyperlink>
                            <w:hyperlink w:anchor="tPROP12">
                              <w:r>
                                <w:rPr>
                                  <w:rStyle w:val="InternetLink"/>
                                  <w:color w:val="702076"/>
                                </w:rPr>
                                <w:t> — Authorization of the Directors and/or the Audit and Compliance Committee to Determine the Remuneration of PwC-UK in its Capacity as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OTIN">
                              <w:r>
                                <w:rPr>
                                  <w:rStyle w:val="InternetLink"/>
                                  <w:rFonts w:ascii="Arial Narrow;Arial;Tahoma;Geneva;sans-serif" w:hAnsi="Arial Narrow;Arial;Tahoma;Geneva;sans-serif"/>
                                  <w:b/>
                                  <w:color w:val="FF5B34"/>
                                  <w:spacing w:val="11"/>
                                </w:rPr>
                                <w:t>Other Information</w:t>
                              </w:r>
                            </w:hyperlink>
                            <w:r>
                              <w:rPr/>
                              <w:t xml:space="preserve"> </w:t>
                            </w:r>
                            <w:hyperlink w:anchor="tOTIN">
                              <w:r>
                                <w:rPr>
                                  <w:rStyle w:val="InternetLink"/>
                                </w:rPr>
                                <w:t>| Page</w:t>
                              </w:r>
                            </w:hyperlink>
                            <w:r>
                              <w:rPr/>
                              <w:t xml:space="preserve"> </w:t>
                            </w:r>
                            <w:hyperlink w:anchor="tOTIN">
                              <w:r>
                                <w:rPr>
                                  <w:rStyle w:val="InternetLink"/>
                                  <w:color w:val="FF5B34"/>
                                </w:rPr>
                                <w:t>98</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FAQA">
                              <w:r>
                                <w:rPr>
                                  <w:rStyle w:val="InternetLink"/>
                                  <w:rFonts w:ascii="Arial Narrow;Arial;Tahoma;Geneva;sans-serif" w:hAnsi="Arial Narrow;Arial;Tahoma;Geneva;sans-serif"/>
                                  <w:b/>
                                  <w:color w:val="FF5B34"/>
                                  <w:spacing w:val="11"/>
                                </w:rPr>
                                <w:t>Frequently Asked Questions</w:t>
                              </w:r>
                            </w:hyperlink>
                            <w:r>
                              <w:rPr/>
                              <w:t xml:space="preserve"> </w:t>
                            </w:r>
                            <w:hyperlink w:anchor="tFAQA">
                              <w:r>
                                <w:rPr>
                                  <w:rStyle w:val="InternetLink"/>
                                </w:rPr>
                                <w:t>| Page</w:t>
                              </w:r>
                            </w:hyperlink>
                            <w:r>
                              <w:rPr/>
                              <w:t xml:space="preserve"> </w:t>
                            </w:r>
                            <w:hyperlink w:anchor="tFAQA">
                              <w:r>
                                <w:rPr>
                                  <w:rStyle w:val="InternetLink"/>
                                  <w:color w:val="FF5B34"/>
                                </w:rPr>
                                <w:t>101</w:t>
                              </w:r>
                            </w:hyperlink>
                            <w:r>
                              <w:rPr>
                                <w:color w:val="702076"/>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PA">
                              <w:r>
                                <w:rPr>
                                  <w:rStyle w:val="InternetLink"/>
                                  <w:color w:val="000080"/>
                                </w:rPr>
                                <w:t>Appendix A</w:t>
                              </w:r>
                            </w:hyperlink>
                            <w:hyperlink w:anchor="tAPA">
                              <w:r>
                                <w:rPr>
                                  <w:rStyle w:val="InternetLink"/>
                                  <w:color w:val="000080"/>
                                </w:rPr>
                                <w:t> — Second Amended and Restated LivaNova PLC</w:t>
                              </w:r>
                            </w:hyperlink>
                            <w:r>
                              <w:rPr>
                                <w:color w:val="FF5B34"/>
                              </w:rPr>
                              <w:t xml:space="preserve"> </w:t>
                            </w:r>
                            <w:hyperlink w:anchor="tAPA">
                              <w:r>
                                <w:rPr>
                                  <w:rStyle w:val="InternetLink"/>
                                  <w:color w:val="000080"/>
                                </w:rPr>
                                <w:t>2022 Incentive Award Plan</w:t>
                              </w:r>
                            </w:hyperlink>
                            <w:r>
                              <w:rPr>
                                <w:color w:val="FF5B34"/>
                                <w:spacing w:val="2"/>
                              </w:rPr>
                              <w:t xml:space="preserve"> </w:t>
                            </w:r>
                            <w:hyperlink w:anchor="tAPA">
                              <w:r>
                                <w:rPr>
                                  <w:rStyle w:val="InternetLink"/>
                                  <w:rFonts w:ascii="Tahoma;Geneva;sans-serif" w:hAnsi="Tahoma;Geneva;sans-serif"/>
                                  <w:b w:val="false"/>
                                  <w:color w:val="000080"/>
                                  <w:spacing w:val="2"/>
                                </w:rPr>
                                <w:t>| Appendix A-</w:t>
                              </w:r>
                            </w:hyperlink>
                            <w:hyperlink w:anchor="tAPA">
                              <w:r>
                                <w:rPr>
                                  <w:rStyle w:val="InternetLink"/>
                                  <w:rFonts w:ascii="Tahoma;Geneva;sans-serif" w:hAnsi="Tahoma;Geneva;sans-serif"/>
                                  <w:b w:val="false"/>
                                  <w:color w:val="000080"/>
                                  <w:spacing w:val="2"/>
                                </w:rPr>
                                <w:t>1</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PB">
                              <w:r>
                                <w:rPr>
                                  <w:rStyle w:val="InternetLink"/>
                                  <w:rFonts w:ascii="Arial Narrow;Arial;Tahoma;Geneva;sans-serif" w:hAnsi="Arial Narrow;Arial;Tahoma;Geneva;sans-serif"/>
                                  <w:b/>
                                  <w:color w:val="000080"/>
                                  <w:spacing w:val="11"/>
                                </w:rPr>
                                <w:t>Appendix B</w:t>
                              </w:r>
                            </w:hyperlink>
                            <w:hyperlink w:anchor="tAPB">
                              <w:r>
                                <w:rPr>
                                  <w:rStyle w:val="InternetLink"/>
                                  <w:rFonts w:ascii="Arial Narrow;Arial;Tahoma;Geneva;sans-serif" w:hAnsi="Arial Narrow;Arial;Tahoma;Geneva;sans-serif"/>
                                  <w:b/>
                                  <w:color w:val="000080"/>
                                  <w:spacing w:val="11"/>
                                </w:rPr>
                                <w:t> — 2025 Director Incentive Award Plan</w:t>
                              </w:r>
                            </w:hyperlink>
                            <w:r>
                              <w:rPr/>
                              <w:t xml:space="preserve"> </w:t>
                            </w:r>
                            <w:hyperlink w:anchor="tAPB">
                              <w:r>
                                <w:rPr>
                                  <w:rStyle w:val="InternetLink"/>
                                  <w:color w:val="FF5B34"/>
                                </w:rPr>
                                <w:t>| Appendix B-1</w:t>
                              </w:r>
                            </w:hyperlink>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tbl>
      <w:tblPr>
        <w:tblW w:w="3097"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451"/>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 descr=""/>
                          <pic:cNvPicPr>
                            <a:picLocks noChangeAspect="1" noChangeArrowheads="1"/>
                          </pic:cNvPicPr>
                        </pic:nvPicPr>
                        <pic:blipFill>
                          <a:blip r:embed="rId24"/>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1"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pPr>
            <w:r>
              <w:rPr>
                <w:spacing w:val="0"/>
                <w:bdr w:val="single" w:sz="96" w:space="1" w:color="702076"/>
              </w:rPr>
              <w:t> </w:t>
            </w:r>
            <w:r>
              <w:rPr>
                <w:spacing w:val="2"/>
              </w:rPr>
              <w:t> </w:t>
            </w:r>
            <w:r>
              <w:rPr>
                <w:rFonts w:ascii="Arial Narrow;Arial;Tahoma;Geneva;sans-serif" w:hAnsi="Arial Narrow;Arial;Tahoma;Geneva;sans-serif"/>
                <w:b/>
                <w:color w:val="702076"/>
                <w:spacing w:val="11"/>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 descr=""/>
                    <pic:cNvPicPr>
                      <a:picLocks noChangeAspect="1" noChangeArrowheads="1"/>
                    </pic:cNvPicPr>
                  </pic:nvPicPr>
                  <pic:blipFill>
                    <a:blip r:embed="rId2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2744" w:type="dxa"/>
        <w:jc w:val="left"/>
        <w:tblInd w:w="1173" w:type="dxa"/>
        <w:tblLayout w:type="fixed"/>
        <w:tblCellMar>
          <w:top w:w="0" w:type="dxa"/>
          <w:left w:w="0" w:type="dxa"/>
          <w:bottom w:w="0" w:type="dxa"/>
          <w:right w:w="0" w:type="dxa"/>
        </w:tblCellMar>
      </w:tblPr>
      <w:tblGrid>
        <w:gridCol w:w="124"/>
        <w:gridCol w:w="2466"/>
        <w:gridCol w:w="154"/>
      </w:tblGrid>
      <w:tr>
        <w:trPr/>
        <w:tc>
          <w:tcPr>
            <w:tcW w:w="124" w:type="dxa"/>
            <w:tcBorders/>
            <w:shd w:fill="702076" w:val="clear"/>
            <w:vAlign w:val="center"/>
          </w:tcPr>
          <w:p>
            <w:pPr>
              <w:pStyle w:val="TableContents"/>
              <w:bidi w:val="0"/>
              <w:spacing w:before="0" w:after="283"/>
              <w:jc w:val="left"/>
              <w:rPr/>
            </w:pPr>
            <w:r>
              <w:rPr/>
              <w:t>​</w:t>
            </w:r>
          </w:p>
        </w:tc>
        <w:tc>
          <w:tcPr>
            <w:tcW w:w="2466" w:type="dxa"/>
            <w:tcBorders/>
            <w:shd w:fill="702076" w:val="clear"/>
            <w:vAlign w:val="center"/>
          </w:tcPr>
          <w:p>
            <w:pPr>
              <w:pStyle w:val="TableContents"/>
              <w:bidi w:val="0"/>
              <w:spacing w:lineRule="atLeast" w:line="240" w:before="0" w:after="0"/>
              <w:jc w:val="center"/>
              <w:rPr/>
            </w:pPr>
            <w:r>
              <w:rPr>
                <w:spacing w:val="14"/>
              </w:rPr>
              <w:t>PROXY SUMMARY</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Governance Highlights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committed to good corporate governance, which promotes the long-term interests of the Company’s shareholders and strengthens Board and management accountability. Many of LivaNova’s enhanced corporate governance practices reflect feedback from the Company’s shareholders and other stakeholders</w:t>
      </w:r>
      <w:r>
        <w:rPr>
          <w:rFonts w:ascii="Arial Narrow;Arial;Tahoma;Geneva;sans-serif" w:hAnsi="Arial Narrow;Arial;Tahoma;Geneva;sans-serif"/>
          <w:b/>
          <w:i w:val="false"/>
          <w:caps w:val="false"/>
          <w:smallCaps w:val="false"/>
          <w:color w:val="000000"/>
          <w:spacing w:val="11"/>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FF5B34"/>
          <w:sz w:val="20"/>
        </w:rPr>
      </w:pPr>
      <w:r>
        <w:rPr>
          <w:rFonts w:ascii="Arial Narrow;Arial;Tahoma;Geneva;sans-serif" w:hAnsi="Arial Narrow;Arial;Tahoma;Geneva;sans-serif"/>
          <w:b/>
          <w:i w:val="false"/>
          <w:caps w:val="false"/>
          <w:smallCaps w:val="false"/>
          <w:color w:val="FF5B34"/>
          <w:spacing w:val="11"/>
          <w:sz w:val="20"/>
        </w:rPr>
        <w:t>Highlights of LivaNova’s corporate governance practices include the following: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Annual Board and Committee Self-Evaluations.</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77">
                <wp:simplePos x="0" y="0"/>
                <wp:positionH relativeFrom="column">
                  <wp:align>left</wp:align>
                </wp:positionH>
                <wp:positionV relativeFrom="line">
                  <wp:align>top</wp:align>
                </wp:positionV>
                <wp:extent cx="228600" cy="355600"/>
                <wp:effectExtent l="0" t="0" r="0" b="0"/>
                <wp:wrapSquare wrapText="right"/>
                <wp:docPr id="49" name="Frame25"/>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218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along with each of its committees, conducts a self-evaluation of its performance on an annual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Regular Review of Key Governance Documents.</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78">
                <wp:simplePos x="0" y="0"/>
                <wp:positionH relativeFrom="column">
                  <wp:align>left</wp:align>
                </wp:positionH>
                <wp:positionV relativeFrom="line">
                  <wp:align>top</wp:align>
                </wp:positionV>
                <wp:extent cx="228600" cy="355600"/>
                <wp:effectExtent l="0" t="0" r="0" b="0"/>
                <wp:wrapSquare wrapText="right"/>
                <wp:docPr id="50" name="Frame26"/>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 of committee charters and Corporate Governance Guidelines at least annually or on a more frequent basis, as needed.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Regular Executive Sessions.</w:t>
      </w:r>
      <w:r>
        <w:rPr>
          <w:rFonts w:ascii="Tahoma;Geneva;sans-serif" w:hAnsi="Tahoma;Geneva;sans-serif"/>
          <w:b w:val="false"/>
          <w:i w:val="false"/>
          <w:caps w:val="false"/>
          <w:smallCaps w:val="false"/>
          <w:color w:val="702076"/>
          <w:sz w:val="24"/>
        </w:rPr>
        <w:t xml:space="preserve"> </w:t>
      </w:r>
      <w:r>
        <mc:AlternateContent>
          <mc:Choice Requires="wps">
            <w:drawing>
              <wp:anchor behindDoc="0" distT="101600" distB="0" distL="0" distR="0" simplePos="0" locked="0" layoutInCell="1" allowOverlap="1" relativeHeight="379">
                <wp:simplePos x="0" y="0"/>
                <wp:positionH relativeFrom="column">
                  <wp:align>left</wp:align>
                </wp:positionH>
                <wp:positionV relativeFrom="line">
                  <wp:align>top</wp:align>
                </wp:positionV>
                <wp:extent cx="228600" cy="355600"/>
                <wp:effectExtent l="0" t="0" r="0" b="0"/>
                <wp:wrapSquare wrapText="right"/>
                <wp:docPr id="51" name="Frame27"/>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regularly scheduled Board and committee meetings include an opportunity for the non-executive directors to meet without management present.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Robust Code of Ethics and Business Conduct.</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80">
                <wp:simplePos x="0" y="0"/>
                <wp:positionH relativeFrom="column">
                  <wp:align>left</wp:align>
                </wp:positionH>
                <wp:positionV relativeFrom="line">
                  <wp:align>top</wp:align>
                </wp:positionV>
                <wp:extent cx="228600" cy="355600"/>
                <wp:effectExtent l="0" t="0" r="0" b="0"/>
                <wp:wrapSquare wrapText="right"/>
                <wp:docPr id="52" name="Frame28"/>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Provides the foundation for how directors and employees represent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Annual Election of Directors.</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81">
                <wp:simplePos x="0" y="0"/>
                <wp:positionH relativeFrom="column">
                  <wp:align>left</wp:align>
                </wp:positionH>
                <wp:positionV relativeFrom="line">
                  <wp:align>top</wp:align>
                </wp:positionV>
                <wp:extent cx="228600" cy="355600"/>
                <wp:effectExtent l="0" t="0" r="0" b="0"/>
                <wp:wrapSquare wrapText="right"/>
                <wp:docPr id="53" name="Frame29"/>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directors stand for election on an annual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Majority Voting in Uncontested Director Elections.</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82">
                <wp:simplePos x="0" y="0"/>
                <wp:positionH relativeFrom="column">
                  <wp:align>left</wp:align>
                </wp:positionH>
                <wp:positionV relativeFrom="line">
                  <wp:align>top</wp:align>
                </wp:positionV>
                <wp:extent cx="228600" cy="355600"/>
                <wp:effectExtent l="0" t="0" r="0" b="0"/>
                <wp:wrapSquare wrapText="right"/>
                <wp:docPr id="54" name="Frame30"/>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director nominees must receive an affirmative vote of the majority of votes cast in an uncontested election. In the event a director nominee fails to receive an affirmative majority vote for reelection, the Board shall resolve whether such director should remain a director in accordance with the Articles of Association.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Separate CEO and Independent Board Chair.</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83">
                <wp:simplePos x="0" y="0"/>
                <wp:positionH relativeFrom="column">
                  <wp:align>left</wp:align>
                </wp:positionH>
                <wp:positionV relativeFrom="line">
                  <wp:align>top</wp:align>
                </wp:positionV>
                <wp:extent cx="228600" cy="355600"/>
                <wp:effectExtent l="0" t="0" r="0" b="0"/>
                <wp:wrapSquare wrapText="right"/>
                <wp:docPr id="55" name="Frame31"/>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Separate CEO and Chair positions to better serve the needs of the Board and the Company by allowing the CEO to focus his attention on driving business performance rather than Board governance.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702076"/>
          <w:sz w:val="24"/>
        </w:rPr>
      </w:pPr>
      <w:r>
        <w:rPr>
          <w:rFonts w:ascii="Arial Narrow;Arial;Tahoma;Geneva;sans-serif" w:hAnsi="Arial Narrow;Arial;Tahoma;Geneva;sans-serif"/>
          <w:b/>
          <w:i w:val="false"/>
          <w:caps w:val="false"/>
          <w:smallCaps w:val="false"/>
          <w:color w:val="702076"/>
          <w:spacing w:val="13"/>
          <w:sz w:val="22"/>
        </w:rPr>
        <w:t>Financial Literacy and Expertise of all Members of the Audit and Compliance Committee.</w:t>
      </w:r>
      <w:r>
        <w:rPr>
          <w:rFonts w:ascii="Tahoma;Geneva;sans-serif" w:hAnsi="Tahoma;Geneva;sans-serif"/>
          <w:b w:val="false"/>
          <w:i w:val="false"/>
          <w:caps w:val="false"/>
          <w:smallCaps w:val="false"/>
          <w:color w:val="000000"/>
          <w:sz w:val="24"/>
        </w:rPr>
        <w:t>​</w:t>
      </w:r>
      <w:r>
        <w:rPr>
          <w:rFonts w:ascii="Tahoma;Geneva;sans-serif" w:hAnsi="Tahoma;Geneva;sans-serif"/>
          <w:b w:val="false"/>
          <w:i w:val="false"/>
          <w:caps w:val="false"/>
          <w:smallCaps w:val="false"/>
          <w:color w:val="000000"/>
          <w:spacing w:val="2"/>
          <w:sz w:val="24"/>
        </w:rPr>
        <w:t xml:space="preserve"> </w:t>
      </w:r>
      <w:r>
        <mc:AlternateContent>
          <mc:Choice Requires="wps">
            <w:drawing>
              <wp:anchor behindDoc="0" distT="101600" distB="0" distL="0" distR="0" simplePos="0" locked="0" layoutInCell="1" allowOverlap="1" relativeHeight="384">
                <wp:simplePos x="0" y="0"/>
                <wp:positionH relativeFrom="column">
                  <wp:align>left</wp:align>
                </wp:positionH>
                <wp:positionV relativeFrom="line">
                  <wp:align>top</wp:align>
                </wp:positionV>
                <wp:extent cx="228600" cy="355600"/>
                <wp:effectExtent l="0" t="0" r="0" b="0"/>
                <wp:wrapSquare wrapText="right"/>
                <wp:docPr id="56" name="Frame32"/>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702076"/>
                        </w:rPr>
                      </w:pPr>
                      <w:r>
                        <w:rPr>
                          <w:color w:val="FF5B34"/>
                          <w:spacing w:val="2"/>
                        </w:rPr>
                        <w:t>☑</w:t>
                      </w:r>
                      <w:r>
                        <w:rPr>
                          <w:color w:val="702076"/>
                        </w:rPr>
                        <w:t xml:space="preserve"> </w:t>
                      </w:r>
                      <w:r>
                        <w:rPr>
                          <w:color w:val="702076"/>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All director nominees that are Audit and Compliance Committee (“AC Committee”) members are “audit committee financial experts” under the rules of the SEC. </w:t>
      </w:r>
    </w:p>
    <w:tbl>
      <w:tblPr>
        <w:tblW w:w="3097" w:type="dxa"/>
        <w:jc w:val="left"/>
        <w:tblInd w:w="1173" w:type="dxa"/>
        <w:tblLayout w:type="fixed"/>
        <w:tblCellMar>
          <w:top w:w="0" w:type="dxa"/>
          <w:left w:w="0" w:type="dxa"/>
          <w:bottom w:w="0" w:type="dxa"/>
          <w:right w:w="0" w:type="dxa"/>
        </w:tblCellMar>
      </w:tblPr>
      <w:tblGrid>
        <w:gridCol w:w="124"/>
        <w:gridCol w:w="451"/>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451"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2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CAD"/>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2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235" w:type="dxa"/>
        <w:jc w:val="left"/>
        <w:tblInd w:w="1173" w:type="dxa"/>
        <w:tblLayout w:type="fixed"/>
        <w:tblCellMar>
          <w:top w:w="0" w:type="dxa"/>
          <w:left w:w="0" w:type="dxa"/>
          <w:bottom w:w="0" w:type="dxa"/>
          <w:right w:w="0" w:type="dxa"/>
        </w:tblCellMar>
      </w:tblPr>
      <w:tblGrid>
        <w:gridCol w:w="124"/>
        <w:gridCol w:w="2957"/>
        <w:gridCol w:w="154"/>
      </w:tblGrid>
      <w:tr>
        <w:trPr/>
        <w:tc>
          <w:tcPr>
            <w:tcW w:w="124" w:type="dxa"/>
            <w:tcBorders/>
            <w:shd w:fill="702076" w:val="clear"/>
            <w:vAlign w:val="center"/>
          </w:tcPr>
          <w:p>
            <w:pPr>
              <w:pStyle w:val="TableContents"/>
              <w:bidi w:val="0"/>
              <w:spacing w:before="0" w:after="283"/>
              <w:jc w:val="left"/>
              <w:rPr/>
            </w:pPr>
            <w:r>
              <w:rPr/>
              <w:t>​</w:t>
            </w:r>
          </w:p>
        </w:tc>
        <w:tc>
          <w:tcPr>
            <w:tcW w:w="2957" w:type="dxa"/>
            <w:tcBorders/>
            <w:shd w:fill="702076" w:val="clear"/>
            <w:vAlign w:val="center"/>
          </w:tcPr>
          <w:p>
            <w:pPr>
              <w:pStyle w:val="TableContents"/>
              <w:bidi w:val="0"/>
              <w:spacing w:lineRule="atLeast" w:line="240" w:before="0" w:after="0"/>
              <w:jc w:val="center"/>
              <w:rPr/>
            </w:pPr>
            <w:r>
              <w:rPr>
                <w:spacing w:val="14"/>
              </w:rPr>
              <w:t>BOARD COMPOSITION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members of LivaNova’s Board of Directors represent a broad range of expertise, experience, viewpoints, and backgrounds, as well as a mix of tenure and service on the Board, as reflected in the following Board composition snapshot for the ten Board members that are being nominated for re-election at LivaNova’s AGM.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Board and the Company are focused on ensuring a diverse Board and accordingly, highlight diversity as a key criterion for consideration in the selection of new directors. In addition to this focus, pursuant to its charter, the Nominating and Corporate Governance Committee (“NCG Committee”) must include at least one woman and at least one member of an underrepresented minority in every pool of potential nominees. The below graphs reflect LivaNova’s self-identified diversity for its current Board members, as of April 30,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400" w:after="283"/>
        <w:jc w:val="left"/>
        <w:rPr>
          <w:caps w:val="false"/>
          <w:smallCaps w:val="false"/>
          <w:color w:val="000000"/>
        </w:rPr>
      </w:pPr>
      <w:r>
        <w:rPr>
          <w:caps w:val="false"/>
          <w:smallCaps w:val="false"/>
          <w:color w:val="000000"/>
          <w:spacing w:val="2"/>
        </w:rPr>
        <w:t>   </w:t>
      </w:r>
      <w:r>
        <w:rPr>
          <w:caps w:val="false"/>
          <w:smallCaps w:val="false"/>
          <w:color w:val="000000"/>
          <w:spacing w:val="4"/>
        </w:rPr>
        <w:t xml:space="preserve"> </w:t>
      </w:r>
    </w:p>
    <w:p>
      <w:pPr>
        <w:pStyle w:val="TextBody"/>
        <w:bidi w:val="0"/>
        <w:spacing w:before="0" w:after="1493"/>
        <w:ind w:left="543" w:right="0" w:hanging="0"/>
        <w:jc w:val="center"/>
        <w:rPr>
          <w:caps w:val="false"/>
          <w:smallCaps w:val="false"/>
          <w:color w:val="000000"/>
        </w:rPr>
      </w:pPr>
      <w:r>
        <w:rPr>
          <w:caps w:val="false"/>
          <w:smallCaps w:val="false"/>
          <w:color w:val="000000"/>
        </w:rPr>
        <w:drawing>
          <wp:inline distT="0" distB="0" distL="0" distR="0">
            <wp:extent cx="6800850" cy="4486275"/>
            <wp:effectExtent l="0" t="0" r="0" b="0"/>
            <wp:docPr id="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7" descr=""/>
                    <pic:cNvPicPr>
                      <a:picLocks noChangeAspect="1" noChangeArrowheads="1"/>
                    </pic:cNvPicPr>
                  </pic:nvPicPr>
                  <pic:blipFill>
                    <a:blip r:embed="rId28"/>
                    <a:stretch>
                      <a:fillRect/>
                    </a:stretch>
                  </pic:blipFill>
                  <pic:spPr bwMode="auto">
                    <a:xfrm>
                      <a:off x="0" y="0"/>
                      <a:ext cx="6800850" cy="44862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097"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451"/>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 descr=""/>
                          <pic:cNvPicPr>
                            <a:picLocks noChangeAspect="1" noChangeArrowheads="1"/>
                          </pic:cNvPicPr>
                        </pic:nvPicPr>
                        <pic:blipFill>
                          <a:blip r:embed="rId2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1"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pPr>
            <w:r>
              <w:rPr>
                <w:spacing w:val="0"/>
                <w:bdr w:val="single" w:sz="96" w:space="1" w:color="702076"/>
              </w:rPr>
              <w:t> </w:t>
            </w:r>
            <w:r>
              <w:rPr>
                <w:spacing w:val="2"/>
              </w:rPr>
              <w:t> </w:t>
            </w:r>
            <w:r>
              <w:rPr>
                <w:rFonts w:ascii="Arial Narrow;Arial;Tahoma;Geneva;sans-serif" w:hAnsi="Arial Narrow;Arial;Tahoma;Geneva;sans-serif"/>
                <w:b/>
                <w:color w:val="702076"/>
                <w:spacing w:val="11"/>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9" descr=""/>
                    <pic:cNvPicPr>
                      <a:picLocks noChangeAspect="1" noChangeArrowheads="1"/>
                    </pic:cNvPicPr>
                  </pic:nvPicPr>
                  <pic:blipFill>
                    <a:blip r:embed="rId3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3662"/>
        <w:gridCol w:w="109"/>
        <w:gridCol w:w="109"/>
        <w:gridCol w:w="109"/>
        <w:gridCol w:w="987"/>
        <w:gridCol w:w="109"/>
        <w:gridCol w:w="109"/>
        <w:gridCol w:w="109"/>
        <w:gridCol w:w="323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FFFF"/>
            </w:tcBorders>
            <w:shd w:fill="702076" w:val="clear"/>
            <w:tcMar>
              <w:bottom w:w="28" w:type="dxa"/>
            </w:tcMar>
            <w:vAlign w:val="center"/>
          </w:tcPr>
          <w:p>
            <w:pPr>
              <w:pStyle w:val="TableContents"/>
              <w:bidi w:val="0"/>
              <w:spacing w:before="0" w:after="283"/>
              <w:jc w:val="left"/>
              <w:rPr/>
            </w:pPr>
            <w:r>
              <w:rPr/>
              <w:t>​</w:t>
            </w:r>
          </w:p>
        </w:tc>
        <w:tc>
          <w:tcPr>
            <w:tcW w:w="8535" w:type="dxa"/>
            <w:gridSpan w:val="9"/>
            <w:tcBorders>
              <w:bottom w:val="single" w:sz="8" w:space="0" w:color="FFFFFF"/>
            </w:tcBorders>
            <w:shd w:fill="702076" w:val="clear"/>
            <w:tcMar>
              <w:bottom w:w="80" w:type="dxa"/>
            </w:tcMar>
            <w:vAlign w:val="center"/>
          </w:tcPr>
          <w:p>
            <w:pPr>
              <w:pStyle w:val="TableContents"/>
              <w:bidi w:val="0"/>
              <w:spacing w:lineRule="atLeast" w:line="288" w:before="0" w:after="0"/>
              <w:jc w:val="center"/>
              <w:rPr/>
            </w:pPr>
            <w:r>
              <w:rPr>
                <w:spacing w:val="15"/>
              </w:rPr>
              <w:t>The following individuals are nominated for election at the AGM.</w:t>
            </w:r>
            <w:r>
              <w:rPr>
                <w:color w:val="000000"/>
              </w:rPr>
              <w:t>​</w:t>
            </w:r>
            <w:r>
              <w:rPr/>
              <w:t xml:space="preserve"> </w:t>
            </w:r>
          </w:p>
        </w:tc>
        <w:tc>
          <w:tcPr>
            <w:tcW w:w="109" w:type="dxa"/>
            <w:tcBorders>
              <w:bottom w:val="single" w:sz="8" w:space="0" w:color="FFFFFF"/>
            </w:tcBorders>
            <w:shd w:fill="702076" w:val="clear"/>
            <w:tcMar>
              <w:bottom w:w="28" w:type="dxa"/>
            </w:tcM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662" w:type="dxa"/>
            <w:tcBorders/>
            <w:shd w:fill="4C4C4C" w:val="clear"/>
            <w:vAlign w:val="center"/>
          </w:tcPr>
          <w:p>
            <w:pPr>
              <w:pStyle w:val="TableContents"/>
              <w:bidi w:val="0"/>
              <w:spacing w:before="0" w:after="0"/>
              <w:jc w:val="center"/>
              <w:rPr>
                <w:spacing w:val="13"/>
              </w:rPr>
            </w:pPr>
            <w:r>
              <w:rPr>
                <w:spacing w:val="13"/>
              </w:rPr>
              <w:t xml:space="preserve">Individual Information </w:t>
            </w:r>
          </w:p>
        </w:tc>
        <w:tc>
          <w:tcPr>
            <w:tcW w:w="109" w:type="dxa"/>
            <w:tcBorders/>
            <w:shd w:fill="4C4C4C"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987" w:type="dxa"/>
            <w:tcBorders/>
            <w:shd w:fill="4C4C4C" w:val="clear"/>
            <w:vAlign w:val="center"/>
          </w:tcPr>
          <w:p>
            <w:pPr>
              <w:pStyle w:val="TableContents"/>
              <w:bidi w:val="0"/>
              <w:spacing w:lineRule="atLeast" w:line="247" w:before="0" w:after="0"/>
              <w:jc w:val="center"/>
              <w:rPr>
                <w:spacing w:val="13"/>
              </w:rPr>
            </w:pPr>
            <w:r>
              <w:rPr>
                <w:spacing w:val="13"/>
              </w:rPr>
              <w:t xml:space="preserve">Director </w:t>
              <w:br/>
              <w:t xml:space="preserve">Since </w:t>
            </w:r>
          </w:p>
        </w:tc>
        <w:tc>
          <w:tcPr>
            <w:tcW w:w="109" w:type="dxa"/>
            <w:tcBorders/>
            <w:shd w:fill="4C4C4C"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232" w:type="dxa"/>
            <w:tcBorders/>
            <w:shd w:fill="4C4C4C" w:val="clear"/>
            <w:vAlign w:val="center"/>
          </w:tcPr>
          <w:p>
            <w:pPr>
              <w:pStyle w:val="TableContents"/>
              <w:bidi w:val="0"/>
              <w:spacing w:before="0" w:after="0"/>
              <w:jc w:val="center"/>
              <w:rPr/>
            </w:pPr>
            <w:r>
              <w:rPr>
                <w:spacing w:val="13"/>
              </w:rPr>
              <w:t>Committee Participation</w:t>
            </w:r>
            <w:r>
              <w:rPr/>
              <w:t xml:space="preserve"> </w:t>
            </w:r>
          </w:p>
        </w:tc>
        <w:tc>
          <w:tcPr>
            <w:tcW w:w="109" w:type="dxa"/>
            <w:tcBorders/>
            <w:shd w:fill="4C4C4C" w:val="clear"/>
            <w:vAlign w:val="center"/>
          </w:tcPr>
          <w:p>
            <w:pPr>
              <w:pStyle w:val="TableContents"/>
              <w:bidi w:val="0"/>
              <w:spacing w:before="0" w:after="283"/>
              <w:jc w:val="left"/>
              <w:rPr/>
            </w:pPr>
            <w:r>
              <w:rPr/>
              <w:t>​</w:t>
            </w:r>
          </w:p>
        </w:tc>
        <w:tc>
          <w:tcPr>
            <w:tcW w:w="155" w:type="dxa"/>
            <w:tcBorders/>
            <w:shd w:fill="4C4C4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i/>
                <w:color w:val="702076"/>
              </w:rPr>
            </w:pPr>
            <w:r>
              <w:rPr>
                <w:rFonts w:ascii="Arial Narrow;Arial;Tahoma;Geneva;sans-serif" w:hAnsi="Arial Narrow;Arial;Tahoma;Geneva;sans-serif"/>
                <w:b/>
                <w:i w:val="false"/>
                <w:caps w:val="false"/>
                <w:smallCaps w:val="false"/>
                <w:color w:val="702076"/>
                <w:spacing w:val="13"/>
                <w:sz w:val="22"/>
              </w:rPr>
              <w:t>William Kozy</w:t>
            </w:r>
            <w:r>
              <w:rPr>
                <w:i/>
                <w:caps w:val="false"/>
                <w:smallCaps w:val="false"/>
                <w:color w:val="702076"/>
                <w:spacing w:val="2"/>
              </w:rPr>
              <w:t xml:space="preserve"> </w:t>
            </w:r>
            <w:r>
              <w:rPr>
                <w:i/>
                <w:color w:val="702076"/>
              </w:rPr>
              <w:t>(Chair of the Board)</w:t>
              <w:br/>
            </w:r>
            <w:r>
              <w:rPr>
                <w:i/>
                <w:color w:val="FF5B34"/>
              </w:rPr>
              <w:t>Independent | Age 73</w:t>
            </w:r>
          </w:p>
          <w:p>
            <w:pPr>
              <w:pStyle w:val="TableContents"/>
              <w:bidi w:val="0"/>
              <w:spacing w:lineRule="atLeast" w:line="240" w:before="160" w:after="283"/>
              <w:jc w:val="left"/>
              <w:rPr>
                <w:spacing w:val="2"/>
              </w:rPr>
            </w:pPr>
            <w:r>
              <w:rPr>
                <w:spacing w:val="2"/>
              </w:rPr>
              <w:t xml:space="preserve">Former EVP and COO, Becton, Dickinson and Company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2018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00" w:before="0" w:after="0"/>
              <w:ind w:left="200" w:right="0" w:hanging="0"/>
              <w:jc w:val="left"/>
              <w:rPr>
                <w:rFonts w:ascii="Tahoma;Geneva;sans-serif" w:hAnsi="Tahoma;Geneva;sans-serif"/>
                <w:spacing w:val="2"/>
              </w:rPr>
            </w:pPr>
            <w:r>
              <w:rPr>
                <w:rFonts w:ascii="Tahoma;Geneva;sans-serif" w:hAnsi="Tahoma;Geneva;sans-serif"/>
                <w:spacing w:val="2"/>
              </w:rPr>
              <w:t xml:space="preserve">None </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127000" cy="350520"/>
                      <wp:effectExtent l="0" t="0" r="0" b="0"/>
                      <wp:wrapSquare wrapText="right"/>
                      <wp:docPr id="62"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702076"/>
              </w:rPr>
            </w:pPr>
            <w:r>
              <w:rPr>
                <w:rFonts w:ascii="Arial Narrow;Arial;Tahoma;Geneva;sans-serif" w:hAnsi="Arial Narrow;Arial;Tahoma;Geneva;sans-serif"/>
                <w:b/>
                <w:color w:val="702076"/>
                <w:spacing w:val="13"/>
                <w:sz w:val="22"/>
              </w:rPr>
              <w:t>J. Christopher Barry</w:t>
            </w:r>
            <w:r>
              <w:rPr>
                <w:b/>
                <w:color w:val="000000"/>
                <w:spacing w:val="2"/>
              </w:rPr>
              <w:t xml:space="preserve"> </w:t>
            </w:r>
            <w:r>
              <w:rPr>
                <w:b w:val="false"/>
                <w:i/>
                <w:color w:val="FF5B34"/>
              </w:rPr>
              <w:t>Independent | Age 53</w:t>
            </w:r>
            <w:r>
              <w:rPr>
                <w:b/>
                <w:color w:val="702076"/>
              </w:rPr>
              <w:t xml:space="preserve"> </w:t>
            </w:r>
          </w:p>
          <w:p>
            <w:pPr>
              <w:pStyle w:val="TableContents"/>
              <w:bidi w:val="0"/>
              <w:spacing w:lineRule="atLeast" w:line="240" w:before="160" w:after="283"/>
              <w:jc w:val="left"/>
              <w:rPr>
                <w:spacing w:val="2"/>
              </w:rPr>
            </w:pPr>
            <w:r>
              <w:rPr>
                <w:spacing w:val="2"/>
              </w:rPr>
              <w:t xml:space="preserve">Executive Vice President and Group President of the Medical Solutions Division, Solventum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00" w:before="0" w:after="0"/>
              <w:ind w:left="200" w:right="0" w:hanging="0"/>
              <w:jc w:val="left"/>
              <w:rPr>
                <w:rFonts w:ascii="Helvetica;Arial Narrow;sans-serif" w:hAnsi="Helvetica;Arial Narrow;sans-serif"/>
              </w:rPr>
            </w:pPr>
            <w:r>
              <w:rPr>
                <w:rFonts w:ascii="Tahoma;Geneva;sans-serif" w:hAnsi="Tahoma;Geneva;sans-serif"/>
                <w:spacing w:val="2"/>
              </w:rPr>
              <w:t>Audit &amp; Compliance Committee</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127000" cy="350520"/>
                      <wp:effectExtent l="0" t="0" r="0" b="0"/>
                      <wp:wrapSquare wrapText="right"/>
                      <wp:docPr id="63"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200" w:right="0" w:hanging="0"/>
              <w:jc w:val="left"/>
              <w:rPr>
                <w:spacing w:val="2"/>
              </w:rPr>
            </w:pPr>
            <w:r>
              <w:rPr>
                <w:spacing w:val="2"/>
              </w:rPr>
              <w:t xml:space="preserve">Nominating &amp; Corporate Governance Committee </w:t>
            </w:r>
            <w:r>
              <mc:AlternateContent>
                <mc:Choice Requires="wps">
                  <w:drawing>
                    <wp:anchor behindDoc="0" distT="25400" distB="0" distL="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64"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Francesco Bianchi</w:t>
            </w:r>
            <w:r>
              <w:rPr>
                <w:b/>
                <w:color w:val="000000"/>
                <w:spacing w:val="2"/>
              </w:rPr>
              <w:t xml:space="preserve"> </w:t>
            </w:r>
            <w:r>
              <w:rPr>
                <w:b w:val="false"/>
                <w:i/>
                <w:color w:val="FF5B34"/>
              </w:rPr>
              <w:t>Independent | Age 68</w:t>
            </w:r>
            <w:r>
              <w:rPr>
                <w:b/>
                <w:color w:val="FF5B34"/>
              </w:rPr>
              <w:t xml:space="preserve"> </w:t>
            </w:r>
          </w:p>
          <w:p>
            <w:pPr>
              <w:pStyle w:val="TableContents"/>
              <w:bidi w:val="0"/>
              <w:spacing w:before="160" w:after="283"/>
              <w:jc w:val="left"/>
              <w:rPr>
                <w:spacing w:val="2"/>
              </w:rPr>
            </w:pPr>
            <w:r>
              <w:rPr>
                <w:spacing w:val="2"/>
              </w:rPr>
              <w:t xml:space="preserve">Chair, Seven Capital Partners S.r.l.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2015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00" w:before="0" w:after="0"/>
              <w:ind w:left="200" w:right="0" w:hanging="0"/>
              <w:jc w:val="left"/>
              <w:rPr>
                <w:rFonts w:ascii="Helvetica;Arial Narrow;sans-serif" w:hAnsi="Helvetica;Arial Narrow;sans-serif"/>
              </w:rPr>
            </w:pPr>
            <w:r>
              <w:rPr>
                <w:rFonts w:ascii="Tahoma;Geneva;sans-serif" w:hAnsi="Tahoma;Geneva;sans-serif"/>
                <w:spacing w:val="2"/>
              </w:rPr>
              <w:t>Audit &amp; Compliance Committee</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127000" cy="350520"/>
                      <wp:effectExtent l="0" t="0" r="0" b="0"/>
                      <wp:wrapSquare wrapText="right"/>
                      <wp:docPr id="65"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200" w:right="0" w:hanging="0"/>
              <w:jc w:val="left"/>
              <w:rPr>
                <w:spacing w:val="2"/>
              </w:rPr>
            </w:pPr>
            <w:r>
              <w:rPr>
                <w:spacing w:val="2"/>
              </w:rPr>
              <w:t xml:space="preserve">Compensation &amp; Human Capital Management Committee </w:t>
            </w:r>
            <w:r>
              <mc:AlternateContent>
                <mc:Choice Requires="wps">
                  <w:drawing>
                    <wp:anchor behindDoc="0" distT="25400" distB="0" distL="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66"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Stacy Enxing Seng</w:t>
            </w:r>
            <w:r>
              <w:rPr>
                <w:b/>
                <w:color w:val="000000"/>
                <w:spacing w:val="2"/>
              </w:rPr>
              <w:t xml:space="preserve"> </w:t>
            </w:r>
            <w:r>
              <w:rPr>
                <w:b w:val="false"/>
                <w:i/>
                <w:color w:val="FF5B34"/>
              </w:rPr>
              <w:t>Independent | Age 60</w:t>
            </w:r>
            <w:r>
              <w:rPr>
                <w:b/>
                <w:color w:val="FF5B34"/>
              </w:rPr>
              <w:t xml:space="preserve"> </w:t>
            </w:r>
          </w:p>
          <w:p>
            <w:pPr>
              <w:pStyle w:val="TableContents"/>
              <w:bidi w:val="0"/>
              <w:spacing w:before="160" w:after="283"/>
              <w:jc w:val="left"/>
              <w:rPr>
                <w:spacing w:val="2"/>
              </w:rPr>
            </w:pPr>
            <w:r>
              <w:rPr>
                <w:spacing w:val="2"/>
              </w:rPr>
              <w:t xml:space="preserve">Operating Partner, Lightstone Ventures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2019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40" w:before="0" w:after="0"/>
              <w:ind w:left="200" w:right="0" w:hanging="0"/>
              <w:jc w:val="left"/>
              <w:rPr/>
            </w:pPr>
            <w:r>
              <w:rPr>
                <w:rFonts w:ascii="Arial Narrow;Arial;Tahoma;Geneva;sans-serif" w:hAnsi="Arial Narrow;Arial;Tahoma;Geneva;sans-serif"/>
                <w:b/>
                <w:spacing w:val="11"/>
              </w:rPr>
              <w:t>CHAIR,</w:t>
            </w:r>
            <w:r>
              <w:rPr>
                <w:spacing w:val="2"/>
              </w:rPr>
              <w:t xml:space="preserve"> Compensation &amp; Human Capital Management Committee </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127000" cy="350520"/>
                      <wp:effectExtent l="0" t="0" r="0" b="0"/>
                      <wp:wrapSquare wrapText="right"/>
                      <wp:docPr id="67"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i/>
                <w:color w:val="702076"/>
              </w:rPr>
            </w:pPr>
            <w:r>
              <w:rPr>
                <w:rFonts w:ascii="Arial Narrow;Arial;Tahoma;Geneva;sans-serif" w:hAnsi="Arial Narrow;Arial;Tahoma;Geneva;sans-serif"/>
                <w:b/>
                <w:i w:val="false"/>
                <w:caps w:val="false"/>
                <w:smallCaps w:val="false"/>
                <w:color w:val="702076"/>
                <w:spacing w:val="13"/>
                <w:sz w:val="22"/>
              </w:rPr>
              <w:t>Vladimir Makatsaria</w:t>
            </w:r>
            <w:r>
              <w:rPr>
                <w:i/>
                <w:caps w:val="false"/>
                <w:smallCaps w:val="false"/>
                <w:color w:val="702076"/>
                <w:spacing w:val="2"/>
              </w:rPr>
              <w:t xml:space="preserve"> </w:t>
            </w:r>
            <w:r>
              <w:rPr>
                <w:i/>
                <w:color w:val="702076"/>
              </w:rPr>
              <w:t>(Chief Executive Officer)</w:t>
              <w:br/>
            </w:r>
            <w:r>
              <w:rPr>
                <w:i/>
                <w:color w:val="FF5B34"/>
              </w:rPr>
              <w:t>Not Independent | Age 52</w:t>
            </w:r>
          </w:p>
          <w:p>
            <w:pPr>
              <w:pStyle w:val="TableContents"/>
              <w:bidi w:val="0"/>
              <w:spacing w:before="160" w:after="283"/>
              <w:jc w:val="left"/>
              <w:rPr>
                <w:spacing w:val="2"/>
              </w:rPr>
            </w:pPr>
            <w:r>
              <w:rPr>
                <w:spacing w:val="2"/>
              </w:rPr>
              <w:t xml:space="preserve">CEO, LivaNova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00" w:before="0" w:after="0"/>
              <w:ind w:left="200" w:right="0" w:hanging="0"/>
              <w:jc w:val="left"/>
              <w:rPr>
                <w:rFonts w:ascii="Tahoma;Geneva;sans-serif" w:hAnsi="Tahoma;Geneva;sans-serif"/>
                <w:spacing w:val="2"/>
              </w:rPr>
            </w:pPr>
            <w:r>
              <w:rPr>
                <w:rFonts w:ascii="Tahoma;Geneva;sans-serif" w:hAnsi="Tahoma;Geneva;sans-serif"/>
                <w:spacing w:val="2"/>
              </w:rPr>
              <w:t xml:space="preserve">None, as Chief Executive Officer </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127000" cy="350520"/>
                      <wp:effectExtent l="0" t="0" r="0" b="0"/>
                      <wp:wrapSquare wrapText="right"/>
                      <wp:docPr id="68"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Dr. Sharon O’Kane</w:t>
            </w:r>
            <w:r>
              <w:rPr>
                <w:b/>
                <w:color w:val="000000"/>
                <w:spacing w:val="2"/>
              </w:rPr>
              <w:t xml:space="preserve"> </w:t>
            </w:r>
            <w:r>
              <w:rPr>
                <w:b w:val="false"/>
                <w:i/>
                <w:color w:val="FF5B34"/>
              </w:rPr>
              <w:t>Independent | Age 57</w:t>
            </w:r>
            <w:r>
              <w:rPr>
                <w:b/>
                <w:color w:val="FF5B34"/>
              </w:rPr>
              <w:t xml:space="preserve"> </w:t>
            </w:r>
          </w:p>
          <w:p>
            <w:pPr>
              <w:pStyle w:val="TableContents"/>
              <w:bidi w:val="0"/>
              <w:spacing w:lineRule="atLeast" w:line="240" w:before="160" w:after="283"/>
              <w:jc w:val="left"/>
              <w:rPr>
                <w:spacing w:val="2"/>
              </w:rPr>
            </w:pPr>
            <w:r>
              <w:rPr>
                <w:spacing w:val="2"/>
              </w:rPr>
              <w:t xml:space="preserve">Non-Executive Director of the Health Products Regulatory Authority Board in Ireland; Entrepreneur in Residence, University College Dublin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2015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40" w:before="0" w:after="0"/>
              <w:ind w:left="200" w:right="0" w:hanging="0"/>
              <w:jc w:val="left"/>
              <w:rPr/>
            </w:pPr>
            <w:r>
              <w:rPr>
                <w:rFonts w:ascii="Arial Narrow;Arial;Tahoma;Geneva;sans-serif" w:hAnsi="Arial Narrow;Arial;Tahoma;Geneva;sans-serif"/>
                <w:b/>
                <w:spacing w:val="11"/>
              </w:rPr>
              <w:t>CHAIR,</w:t>
            </w:r>
            <w:r>
              <w:rPr>
                <w:spacing w:val="2"/>
              </w:rPr>
              <w:t xml:space="preserve"> Nominating &amp; Corporate Governance Committee </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127000" cy="350520"/>
                      <wp:effectExtent l="0" t="0" r="0" b="0"/>
                      <wp:wrapSquare wrapText="right"/>
                      <wp:docPr id="69"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Susan Podlogar</w:t>
            </w:r>
            <w:r>
              <w:rPr>
                <w:b/>
                <w:color w:val="000000"/>
                <w:spacing w:val="2"/>
              </w:rPr>
              <w:t xml:space="preserve"> </w:t>
            </w:r>
            <w:r>
              <w:rPr>
                <w:b w:val="false"/>
                <w:i/>
                <w:color w:val="FF5B34"/>
              </w:rPr>
              <w:t>Independent | Age 61</w:t>
            </w:r>
            <w:r>
              <w:rPr>
                <w:b/>
                <w:color w:val="FF5B34"/>
              </w:rPr>
              <w:t xml:space="preserve"> </w:t>
            </w:r>
          </w:p>
          <w:p>
            <w:pPr>
              <w:pStyle w:val="TableContents"/>
              <w:bidi w:val="0"/>
              <w:spacing w:lineRule="atLeast" w:line="240" w:before="160" w:after="283"/>
              <w:jc w:val="left"/>
              <w:rPr>
                <w:spacing w:val="2"/>
              </w:rPr>
            </w:pPr>
            <w:r>
              <w:rPr>
                <w:spacing w:val="2"/>
              </w:rPr>
              <w:t xml:space="preserve">Former Executive Vice President, Chief Human Resources Officer at MetLife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40" w:before="0" w:after="0"/>
              <w:ind w:left="200" w:right="0" w:hanging="0"/>
              <w:jc w:val="left"/>
              <w:rPr>
                <w:spacing w:val="2"/>
              </w:rPr>
            </w:pPr>
            <w:r>
              <w:rPr>
                <w:spacing w:val="2"/>
              </w:rPr>
              <w:t xml:space="preserve">Compensation &amp; Human Capital Management Committee </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127000" cy="350520"/>
                      <wp:effectExtent l="0" t="0" r="0" b="0"/>
                      <wp:wrapSquare wrapText="right"/>
                      <wp:docPr id="70"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Todd Schermerhorn</w:t>
            </w:r>
            <w:r>
              <w:rPr>
                <w:b/>
                <w:color w:val="000000"/>
                <w:spacing w:val="2"/>
              </w:rPr>
              <w:t xml:space="preserve"> </w:t>
            </w:r>
            <w:r>
              <w:rPr>
                <w:b w:val="false"/>
                <w:i/>
                <w:color w:val="FF5B34"/>
              </w:rPr>
              <w:t>Independent | Age 64</w:t>
            </w:r>
            <w:r>
              <w:rPr>
                <w:b/>
                <w:color w:val="FF5B34"/>
              </w:rPr>
              <w:t xml:space="preserve"> </w:t>
            </w:r>
          </w:p>
          <w:p>
            <w:pPr>
              <w:pStyle w:val="TableContents"/>
              <w:bidi w:val="0"/>
              <w:spacing w:lineRule="atLeast" w:line="240" w:before="160" w:after="283"/>
              <w:jc w:val="left"/>
              <w:rPr>
                <w:spacing w:val="2"/>
              </w:rPr>
            </w:pPr>
            <w:r>
              <w:rPr>
                <w:spacing w:val="2"/>
              </w:rPr>
              <w:t xml:space="preserve">Former SVP and Chief Financial Officer, C.R. Bard, Inc.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40" w:before="0" w:after="0"/>
              <w:ind w:left="200" w:right="0" w:hanging="0"/>
              <w:jc w:val="left"/>
              <w:rPr/>
            </w:pPr>
            <w:r>
              <w:rPr>
                <w:rFonts w:ascii="Arial Narrow;Arial;Tahoma;Geneva;sans-serif" w:hAnsi="Arial Narrow;Arial;Tahoma;Geneva;sans-serif"/>
                <w:b/>
                <w:spacing w:val="11"/>
              </w:rPr>
              <w:t>CHAIR,</w:t>
            </w:r>
            <w:r>
              <w:rPr>
                <w:spacing w:val="2"/>
              </w:rPr>
              <w:t xml:space="preserve"> Audit &amp; Compliance Committee </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127000" cy="350520"/>
                      <wp:effectExtent l="0" t="0" r="0" b="0"/>
                      <wp:wrapSquare wrapText="right"/>
                      <wp:docPr id="71"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Brooke Story</w:t>
            </w:r>
            <w:r>
              <w:rPr>
                <w:b/>
                <w:color w:val="000000"/>
                <w:spacing w:val="2"/>
              </w:rPr>
              <w:t xml:space="preserve"> </w:t>
            </w:r>
            <w:r>
              <w:rPr>
                <w:b w:val="false"/>
                <w:i/>
                <w:color w:val="FF5B34"/>
              </w:rPr>
              <w:t>Independent | Age 53</w:t>
            </w:r>
            <w:r>
              <w:rPr>
                <w:b/>
                <w:color w:val="FF5B34"/>
              </w:rPr>
              <w:t xml:space="preserve"> </w:t>
            </w:r>
          </w:p>
          <w:p>
            <w:pPr>
              <w:pStyle w:val="TableContents"/>
              <w:bidi w:val="0"/>
              <w:spacing w:before="160" w:after="283"/>
              <w:jc w:val="left"/>
              <w:rPr>
                <w:spacing w:val="2"/>
              </w:rPr>
            </w:pPr>
            <w:r>
              <w:rPr>
                <w:spacing w:val="2"/>
              </w:rPr>
              <w:t xml:space="preserve">Integration Lead, Becton, Dickinson and Company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40" w:before="0" w:after="0"/>
              <w:ind w:left="200" w:right="0" w:hanging="0"/>
              <w:jc w:val="left"/>
              <w:rPr>
                <w:spacing w:val="2"/>
              </w:rPr>
            </w:pPr>
            <w:r>
              <w:rPr>
                <w:spacing w:val="2"/>
              </w:rPr>
              <w:t xml:space="preserve">Nominating &amp; Corporate Governance Committee </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127000" cy="350520"/>
                      <wp:effectExtent l="0" t="0" r="0" b="0"/>
                      <wp:wrapSquare wrapText="right"/>
                      <wp:docPr id="72"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662" w:type="dxa"/>
            <w:tcBorders>
              <w:bottom w:val="single" w:sz="8" w:space="0" w:color="702076"/>
            </w:tcBorders>
            <w:tcMar>
              <w:bottom w:w="90" w:type="dxa"/>
            </w:tcMar>
            <w:vAlign w:val="center"/>
          </w:tcPr>
          <w:p>
            <w:pPr>
              <w:pStyle w:val="TableContents"/>
              <w:bidi w:val="0"/>
              <w:spacing w:before="0" w:after="0"/>
              <w:jc w:val="left"/>
              <w:rPr>
                <w:b/>
                <w:color w:val="FF5B34"/>
              </w:rPr>
            </w:pPr>
            <w:r>
              <w:rPr>
                <w:rFonts w:ascii="Arial Narrow;Arial;Tahoma;Geneva;sans-serif" w:hAnsi="Arial Narrow;Arial;Tahoma;Geneva;sans-serif"/>
                <w:b/>
                <w:color w:val="702076"/>
                <w:spacing w:val="13"/>
                <w:sz w:val="22"/>
              </w:rPr>
              <w:t>Peter Wilver</w:t>
            </w:r>
            <w:r>
              <w:rPr>
                <w:b/>
                <w:color w:val="000000"/>
                <w:spacing w:val="2"/>
              </w:rPr>
              <w:t xml:space="preserve"> </w:t>
            </w:r>
            <w:r>
              <w:rPr>
                <w:b w:val="false"/>
                <w:i/>
                <w:color w:val="FF5B34"/>
              </w:rPr>
              <w:t>Independent | Age 65</w:t>
            </w:r>
            <w:r>
              <w:rPr>
                <w:b/>
                <w:color w:val="FF5B34"/>
              </w:rPr>
              <w:t xml:space="preserve"> </w:t>
            </w:r>
          </w:p>
          <w:p>
            <w:pPr>
              <w:pStyle w:val="TableContents"/>
              <w:bidi w:val="0"/>
              <w:spacing w:lineRule="atLeast" w:line="240" w:before="160" w:after="283"/>
              <w:jc w:val="left"/>
              <w:rPr>
                <w:spacing w:val="2"/>
              </w:rPr>
            </w:pPr>
            <w:r>
              <w:rPr>
                <w:spacing w:val="2"/>
              </w:rPr>
              <w:t xml:space="preserve">Former EVP and Chief Administrative Officer, Thermo Fisher Scientific Inc.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987"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32" w:type="dxa"/>
            <w:tcBorders>
              <w:bottom w:val="single" w:sz="8" w:space="0" w:color="702076"/>
            </w:tcBorders>
            <w:tcMar>
              <w:bottom w:w="90" w:type="dxa"/>
            </w:tcMar>
            <w:vAlign w:val="center"/>
          </w:tcPr>
          <w:p>
            <w:pPr>
              <w:pStyle w:val="TableContents"/>
              <w:bidi w:val="0"/>
              <w:spacing w:lineRule="atLeast" w:line="200" w:before="0" w:after="0"/>
              <w:ind w:left="200" w:right="0" w:hanging="0"/>
              <w:jc w:val="left"/>
              <w:rPr>
                <w:rFonts w:ascii="Helvetica;Arial Narrow;sans-serif" w:hAnsi="Helvetica;Arial Narrow;sans-serif"/>
              </w:rPr>
            </w:pPr>
            <w:r>
              <w:rPr>
                <w:rFonts w:ascii="Tahoma;Geneva;sans-serif" w:hAnsi="Tahoma;Geneva;sans-serif"/>
                <w:spacing w:val="2"/>
              </w:rPr>
              <w:t>Audit &amp; Compliance Committee</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127000" cy="350520"/>
                      <wp:effectExtent l="0" t="0" r="0" b="0"/>
                      <wp:wrapSquare wrapText="right"/>
                      <wp:docPr id="73"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200" w:right="0" w:hanging="0"/>
              <w:jc w:val="left"/>
              <w:rPr/>
            </w:pPr>
            <w:r>
              <w:rPr>
                <w:spacing w:val="2"/>
              </w:rPr>
              <w:t>Compensation &amp; Human Capital Management Committee</w:t>
            </w:r>
            <w:r>
              <w:rPr/>
              <w:t xml:space="preserve"> </w:t>
            </w:r>
            <w:r>
              <mc:AlternateContent>
                <mc:Choice Requires="wps">
                  <w:drawing>
                    <wp:anchor behindDoc="0" distT="25400" distB="0" distL="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74"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 descr=""/>
                          <pic:cNvPicPr>
                            <a:picLocks noChangeAspect="1" noChangeArrowheads="1"/>
                          </pic:cNvPicPr>
                        </pic:nvPicPr>
                        <pic:blipFill>
                          <a:blip r:embed="rId3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ATEC"/>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1" descr=""/>
                    <pic:cNvPicPr>
                      <a:picLocks noChangeAspect="1" noChangeArrowheads="1"/>
                    </pic:cNvPicPr>
                  </pic:nvPicPr>
                  <pic:blipFill>
                    <a:blip r:embed="rId3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5952" w:type="dxa"/>
        <w:jc w:val="left"/>
        <w:tblInd w:w="1173" w:type="dxa"/>
        <w:tblLayout w:type="fixed"/>
        <w:tblCellMar>
          <w:top w:w="0" w:type="dxa"/>
          <w:left w:w="0" w:type="dxa"/>
          <w:bottom w:w="0" w:type="dxa"/>
          <w:right w:w="0" w:type="dxa"/>
        </w:tblCellMar>
      </w:tblPr>
      <w:tblGrid>
        <w:gridCol w:w="124"/>
        <w:gridCol w:w="5674"/>
        <w:gridCol w:w="154"/>
      </w:tblGrid>
      <w:tr>
        <w:trPr/>
        <w:tc>
          <w:tcPr>
            <w:tcW w:w="124" w:type="dxa"/>
            <w:tcBorders/>
            <w:shd w:fill="702076" w:val="clear"/>
            <w:vAlign w:val="center"/>
          </w:tcPr>
          <w:p>
            <w:pPr>
              <w:pStyle w:val="TableContents"/>
              <w:bidi w:val="0"/>
              <w:spacing w:before="0" w:after="283"/>
              <w:jc w:val="left"/>
              <w:rPr/>
            </w:pPr>
            <w:r>
              <w:rPr/>
              <w:t>​</w:t>
            </w:r>
          </w:p>
        </w:tc>
        <w:tc>
          <w:tcPr>
            <w:tcW w:w="5674" w:type="dxa"/>
            <w:tcBorders/>
            <w:shd w:fill="702076" w:val="clear"/>
            <w:vAlign w:val="center"/>
          </w:tcPr>
          <w:p>
            <w:pPr>
              <w:pStyle w:val="TableContents"/>
              <w:bidi w:val="0"/>
              <w:spacing w:lineRule="atLeast" w:line="240" w:before="0" w:after="0"/>
              <w:jc w:val="center"/>
              <w:rPr/>
            </w:pPr>
            <w:r>
              <w:rPr>
                <w:spacing w:val="14"/>
              </w:rPr>
              <w:t>APPROACH TO EXECUTIVE COMPENSATION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market-competitive executive compensation program acts as an incentive for the Company’s named executive officers (“NEOs”) to perform at their highest level, take appropriate risks, and create shareholder value. In addition, LivaNova’s executive compensation program is designed to ensure that the Company recruits and retains key executive officers that can drive the Company’s success and align the interests of its executive officers, including the Company’s NEOs, with that of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With input from the Company’s independent compensation consultant, Pearl Meyer, the Compensation and Human Capital Management Committee (“CHCM Committee”) routinely assesses the Company’s executive compensation practices to determine whether any enhancements are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Arial Narrow;Arial;Tahoma;Geneva;sans-serif" w:hAnsi="Arial Narrow;Arial;Tahoma;Geneva;sans-serif"/>
          <w:b/>
          <w:i w:val="false"/>
          <w:caps w:val="false"/>
          <w:smallCaps w:val="false"/>
          <w:color w:val="FF5B34"/>
          <w:sz w:val="20"/>
        </w:rPr>
      </w:pPr>
      <w:r>
        <w:rPr>
          <w:rFonts w:ascii="Arial Narrow;Arial;Tahoma;Geneva;sans-serif" w:hAnsi="Arial Narrow;Arial;Tahoma;Geneva;sans-serif"/>
          <w:b/>
          <w:i w:val="false"/>
          <w:caps w:val="false"/>
          <w:smallCaps w:val="false"/>
          <w:color w:val="FF5B34"/>
          <w:spacing w:val="11"/>
          <w:sz w:val="20"/>
        </w:rPr>
        <w:t>To achieve the objectives of the Company’s executive compensation program as described above, the CHCM Committee structures the executive compensation program to:</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Target NEO pay around the market median to attract, motivate, develop and retain talented executive officers with the skills and experience to ensure LivaNova’s long-term success;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98">
                <wp:simplePos x="0" y="0"/>
                <wp:positionH relativeFrom="column">
                  <wp:align>left</wp:align>
                </wp:positionH>
                <wp:positionV relativeFrom="line">
                  <wp:align>top</wp:align>
                </wp:positionV>
                <wp:extent cx="228600" cy="355600"/>
                <wp:effectExtent l="0" t="0" r="0" b="0"/>
                <wp:wrapSquare wrapText="right"/>
                <wp:docPr id="77" name="Frame46"/>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Use multiple pay and award vehicles that work together to reward performance and retain talent, while maintaining alignment with shareholder interests;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99">
                <wp:simplePos x="0" y="0"/>
                <wp:positionH relativeFrom="column">
                  <wp:align>left</wp:align>
                </wp:positionH>
                <wp:positionV relativeFrom="line">
                  <wp:align>top</wp:align>
                </wp:positionV>
                <wp:extent cx="228600" cy="355600"/>
                <wp:effectExtent l="0" t="0" r="0" b="0"/>
                <wp:wrapSquare wrapText="right"/>
                <wp:docPr id="78" name="Frame47"/>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Reward individual performance with a base salary and a cash-based, short-term bonus ensuring a meaningful link to the Company’s operational performance and shareholder interests;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0">
                <wp:simplePos x="0" y="0"/>
                <wp:positionH relativeFrom="column">
                  <wp:align>left</wp:align>
                </wp:positionH>
                <wp:positionV relativeFrom="line">
                  <wp:align>top</wp:align>
                </wp:positionV>
                <wp:extent cx="228600" cy="355600"/>
                <wp:effectExtent l="0" t="0" r="0" b="0"/>
                <wp:wrapSquare wrapText="right"/>
                <wp:docPr id="79" name="Frame48"/>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Pay a substantial portion of each NEO’s compensation as variable pay contingent upon the achievement of the Company’s business objectives and individual performance;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1">
                <wp:simplePos x="0" y="0"/>
                <wp:positionH relativeFrom="column">
                  <wp:align>left</wp:align>
                </wp:positionH>
                <wp:positionV relativeFrom="line">
                  <wp:align>top</wp:align>
                </wp:positionV>
                <wp:extent cx="228600" cy="355600"/>
                <wp:effectExtent l="0" t="0" r="0" b="0"/>
                <wp:wrapSquare wrapText="right"/>
                <wp:docPr id="80" name="Frame49"/>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Balance the components of compensation so that short-term (annual) and long-term performance objectives are recognized because the Company’s success depends on the Company’s executive officers being focused on critical strategic and tactical objectives, both short-term and long-term</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2">
                <wp:simplePos x="0" y="0"/>
                <wp:positionH relativeFrom="column">
                  <wp:align>left</wp:align>
                </wp:positionH>
                <wp:positionV relativeFrom="line">
                  <wp:align>top</wp:align>
                </wp:positionV>
                <wp:extent cx="228600" cy="355600"/>
                <wp:effectExtent l="0" t="0" r="0" b="0"/>
                <wp:wrapSquare wrapText="right"/>
                <wp:docPr id="81" name="Frame50"/>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Employ stock ownership requirements that require NEOs to maintain a meaningful ownership interest in the Company;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3">
                <wp:simplePos x="0" y="0"/>
                <wp:positionH relativeFrom="column">
                  <wp:align>left</wp:align>
                </wp:positionH>
                <wp:positionV relativeFrom="line">
                  <wp:align>top</wp:align>
                </wp:positionV>
                <wp:extent cx="228600" cy="355600"/>
                <wp:effectExtent l="0" t="0" r="0" b="0"/>
                <wp:wrapSquare wrapText="right"/>
                <wp:docPr id="82" name="Frame51"/>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Vest equity awards over time to promote retention;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4">
                <wp:simplePos x="0" y="0"/>
                <wp:positionH relativeFrom="column">
                  <wp:align>left</wp:align>
                </wp:positionH>
                <wp:positionV relativeFrom="line">
                  <wp:align>top</wp:align>
                </wp:positionV>
                <wp:extent cx="228600" cy="355600"/>
                <wp:effectExtent l="0" t="0" r="0" b="0"/>
                <wp:wrapSquare wrapText="right"/>
                <wp:docPr id="83" name="Frame52"/>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Provide for a double-trigger vesting for equity awards granted after February 15, 2023;</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5">
                <wp:simplePos x="0" y="0"/>
                <wp:positionH relativeFrom="column">
                  <wp:align>left</wp:align>
                </wp:positionH>
                <wp:positionV relativeFrom="line">
                  <wp:align>top</wp:align>
                </wp:positionV>
                <wp:extent cx="228600" cy="355600"/>
                <wp:effectExtent l="0" t="0" r="0" b="0"/>
                <wp:wrapSquare wrapText="right"/>
                <wp:docPr id="84" name="Frame53"/>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Consider the LivaNova Compensation Recoupment Policy and the Incentive Clawback Policy, which provide for the clawback of awards in specified situations;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6">
                <wp:simplePos x="0" y="0"/>
                <wp:positionH relativeFrom="column">
                  <wp:align>left</wp:align>
                </wp:positionH>
                <wp:positionV relativeFrom="line">
                  <wp:align>top</wp:align>
                </wp:positionV>
                <wp:extent cx="228600" cy="355600"/>
                <wp:effectExtent l="0" t="0" r="0" b="0"/>
                <wp:wrapSquare wrapText="right"/>
                <wp:docPr id="85" name="Frame54"/>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left"/>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Work with an independent compensation consultant to ensure the Company’s program is meeting its goals. </w:t>
      </w:r>
      <w:r>
        <mc:AlternateContent>
          <mc:Choice Requires="wps">
            <w:drawing>
              <wp:anchor behindDoc="0" distT="101600" distB="0" distL="0" distR="0" simplePos="0" locked="0" layoutInCell="1" allowOverlap="1" relativeHeight="407">
                <wp:simplePos x="0" y="0"/>
                <wp:positionH relativeFrom="column">
                  <wp:align>left</wp:align>
                </wp:positionH>
                <wp:positionV relativeFrom="line">
                  <wp:align>top</wp:align>
                </wp:positionV>
                <wp:extent cx="228600" cy="355600"/>
                <wp:effectExtent l="0" t="0" r="0" b="0"/>
                <wp:wrapSquare wrapText="right"/>
                <wp:docPr id="86" name="Frame55"/>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pPr>
                            <w:r>
                              <w:rPr>
                                <w:color w:val="FF5B34"/>
                                <w:spacing w:val="2"/>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FF5B34"/>
                          <w:spacing w:val="2"/>
                        </w:rPr>
                        <w:t>☑</w:t>
                      </w:r>
                      <w:r>
                        <w:rPr/>
                        <w:t xml:space="preserve"> </w:t>
                      </w:r>
                      <w:r>
                        <w:rPr>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8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2" descr=""/>
                          <pic:cNvPicPr>
                            <a:picLocks noChangeAspect="1" noChangeArrowheads="1"/>
                          </pic:cNvPicPr>
                        </pic:nvPicPr>
                        <pic:blipFill>
                          <a:blip r:embed="rId3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G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8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3" descr=""/>
                    <pic:cNvPicPr>
                      <a:picLocks noChangeAspect="1" noChangeArrowheads="1"/>
                    </pic:cNvPicPr>
                  </pic:nvPicPr>
                  <pic:blipFill>
                    <a:blip r:embed="rId3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922" w:type="dxa"/>
        <w:jc w:val="left"/>
        <w:tblInd w:w="1173" w:type="dxa"/>
        <w:tblLayout w:type="fixed"/>
        <w:tblCellMar>
          <w:top w:w="0" w:type="dxa"/>
          <w:left w:w="0" w:type="dxa"/>
          <w:bottom w:w="0" w:type="dxa"/>
          <w:right w:w="0" w:type="dxa"/>
        </w:tblCellMar>
      </w:tblPr>
      <w:tblGrid>
        <w:gridCol w:w="124"/>
        <w:gridCol w:w="3644"/>
        <w:gridCol w:w="154"/>
      </w:tblGrid>
      <w:tr>
        <w:trPr/>
        <w:tc>
          <w:tcPr>
            <w:tcW w:w="124" w:type="dxa"/>
            <w:tcBorders/>
            <w:shd w:fill="702076" w:val="clear"/>
            <w:vAlign w:val="center"/>
          </w:tcPr>
          <w:p>
            <w:pPr>
              <w:pStyle w:val="TableContents"/>
              <w:bidi w:val="0"/>
              <w:spacing w:before="0" w:after="283"/>
              <w:jc w:val="left"/>
              <w:rPr/>
            </w:pPr>
            <w:r>
              <w:rPr/>
              <w:t>​</w:t>
            </w:r>
          </w:p>
        </w:tc>
        <w:tc>
          <w:tcPr>
            <w:tcW w:w="3644" w:type="dxa"/>
            <w:tcBorders/>
            <w:shd w:fill="702076" w:val="clear"/>
            <w:vAlign w:val="center"/>
          </w:tcPr>
          <w:p>
            <w:pPr>
              <w:pStyle w:val="TableContents"/>
              <w:bidi w:val="0"/>
              <w:spacing w:lineRule="atLeast" w:line="240" w:before="0" w:after="0"/>
              <w:jc w:val="center"/>
              <w:rPr/>
            </w:pPr>
            <w:r>
              <w:rPr>
                <w:spacing w:val="14"/>
              </w:rPr>
              <w:t>CORPORATE GOVERNANCE</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committed to effective corporate governance and high ethical standards. The following highlights the Company’s governance practices which are covered in greater detail in the following pages.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28" w:type="dxa"/>
          <w:right w:w="0" w:type="dxa"/>
        </w:tblCellMar>
      </w:tblPr>
      <w:tblGrid>
        <w:gridCol w:w="124"/>
        <w:gridCol w:w="1879"/>
        <w:gridCol w:w="109"/>
        <w:gridCol w:w="109"/>
        <w:gridCol w:w="6656"/>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Board Independence</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Nine of LivaNova’s ten current directors are independent</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228600" cy="350520"/>
                      <wp:effectExtent l="0" t="0" r="0" b="0"/>
                      <wp:wrapSquare wrapText="right"/>
                      <wp:docPr id="89" name="Frame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LivaNova’s CEO is the only management director</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409">
                      <wp:simplePos x="0" y="0"/>
                      <wp:positionH relativeFrom="column">
                        <wp:align>left</wp:align>
                      </wp:positionH>
                      <wp:positionV relativeFrom="line">
                        <wp:align>top</wp:align>
                      </wp:positionV>
                      <wp:extent cx="228600" cy="350520"/>
                      <wp:effectExtent l="0" t="0" r="0" b="0"/>
                      <wp:wrapSquare wrapText="right"/>
                      <wp:docPr id="90" name="Frame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both"/>
              <w:rPr>
                <w:rFonts w:ascii="Tahoma;Geneva;sans-serif" w:hAnsi="Tahoma;Geneva;sans-serif"/>
                <w:spacing w:val="2"/>
              </w:rPr>
            </w:pPr>
            <w:r>
              <w:rPr>
                <w:rFonts w:ascii="Tahoma;Geneva;sans-serif" w:hAnsi="Tahoma;Geneva;sans-serif"/>
                <w:spacing w:val="2"/>
              </w:rPr>
              <w:t xml:space="preserve">The Board holds regular executive sessions of independent directors </w:t>
            </w:r>
            <w:r>
              <mc:AlternateContent>
                <mc:Choice Requires="wps">
                  <w:drawing>
                    <wp:anchor behindDoc="0" distT="19050" distB="0" distL="0" distR="0" simplePos="0" locked="0" layoutInCell="1" allowOverlap="1" relativeHeight="410">
                      <wp:simplePos x="0" y="0"/>
                      <wp:positionH relativeFrom="column">
                        <wp:align>left</wp:align>
                      </wp:positionH>
                      <wp:positionV relativeFrom="line">
                        <wp:align>top</wp:align>
                      </wp:positionV>
                      <wp:extent cx="228600" cy="350520"/>
                      <wp:effectExtent l="0" t="0" r="0" b="0"/>
                      <wp:wrapSquare wrapText="right"/>
                      <wp:docPr id="91" name="Frame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Board Composition</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00" w:before="0" w:after="0"/>
              <w:ind w:left="360" w:right="0" w:hanging="0"/>
              <w:jc w:val="both"/>
              <w:rPr>
                <w:rFonts w:ascii="Helvetica;Arial Narrow;sans-serif" w:hAnsi="Helvetica;Arial Narrow;sans-serif"/>
              </w:rPr>
            </w:pPr>
            <w:r>
              <w:rPr>
                <w:rFonts w:ascii="Tahoma;Geneva;sans-serif" w:hAnsi="Tahoma;Geneva;sans-serif"/>
                <w:spacing w:val="2"/>
              </w:rPr>
              <w:t>Four of the Company’s current directors are female and six are male</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228600" cy="350520"/>
                      <wp:effectExtent l="0" t="0" r="0" b="0"/>
                      <wp:wrapSquare wrapText="right"/>
                      <wp:docPr id="92" name="Frame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Board refreshment in 2024 with the addition of an executive director CEO, Mr. Makatsaria, and a new independent director, Ms. Podlogar. </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228600" cy="350520"/>
                      <wp:effectExtent l="0" t="0" r="0" b="0"/>
                      <wp:wrapSquare wrapText="right"/>
                      <wp:docPr id="93" name="Frame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Board Committees</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 has three committees: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228600" cy="350520"/>
                      <wp:effectExtent l="0" t="0" r="0" b="0"/>
                      <wp:wrapSquare wrapText="right"/>
                      <wp:docPr id="94" name="Frame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Audit and Compliance</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9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Compensation and Human Capital Management</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9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Nominating and Corporate Governance</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9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All of the members of the Company’s committees are independent</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417">
                      <wp:simplePos x="0" y="0"/>
                      <wp:positionH relativeFrom="column">
                        <wp:align>left</wp:align>
                      </wp:positionH>
                      <wp:positionV relativeFrom="line">
                        <wp:align>top</wp:align>
                      </wp:positionV>
                      <wp:extent cx="228600" cy="350520"/>
                      <wp:effectExtent l="0" t="0" r="0" b="0"/>
                      <wp:wrapSquare wrapText="right"/>
                      <wp:docPr id="98" name="Frame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The Company conducts annual Board and committee evaluations and an annual review of committee charters </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228600" cy="350520"/>
                      <wp:effectExtent l="0" t="0" r="0" b="0"/>
                      <wp:wrapSquare wrapText="right"/>
                      <wp:docPr id="99" name="Frame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Leadership Structure</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LivaNova’s Chair and CEO are separate roles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228600" cy="350520"/>
                      <wp:effectExtent l="0" t="0" r="0" b="0"/>
                      <wp:wrapSquare wrapText="right"/>
                      <wp:docPr id="100" name="Frame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The Chair of the Board, who is independent, presides over all executive sessions of the Board and engages frequently with members of the Company’s Board and executive management team </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228600" cy="350520"/>
                      <wp:effectExtent l="0" t="0" r="0" b="0"/>
                      <wp:wrapSquare wrapText="right"/>
                      <wp:docPr id="101" name="Frame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75"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Risk Oversight</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75" w:type="dxa"/>
            </w:tcMar>
            <w:vAlign w:val="center"/>
          </w:tcPr>
          <w:p>
            <w:pPr>
              <w:pStyle w:val="TableContents"/>
              <w:bidi w:val="0"/>
              <w:spacing w:lineRule="atLeast" w:line="230" w:before="0" w:after="0"/>
              <w:ind w:left="360" w:right="0" w:hanging="0"/>
              <w:jc w:val="both"/>
              <w:rPr>
                <w:spacing w:val="2"/>
              </w:rPr>
            </w:pPr>
            <w:r>
              <w:rPr>
                <w:spacing w:val="2"/>
              </w:rPr>
              <w:t xml:space="preserve">LivaNova’s Board has primary responsibility for oversight of enterprise risk management, with the standing committees supporting the Board by overseeing risks related to their respective areas of oversight, including cybersecurity, compensation, succession planning, and environmental, social and governance (“ESG”). </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228600" cy="350520"/>
                      <wp:effectExtent l="0" t="0" r="0" b="0"/>
                      <wp:wrapSquare wrapText="right"/>
                      <wp:docPr id="102" name="Frame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Director Stock Ownership</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30" w:before="0" w:after="0"/>
              <w:ind w:left="360" w:right="0" w:hanging="0"/>
              <w:jc w:val="both"/>
              <w:rPr/>
            </w:pPr>
            <w:r>
              <w:rPr>
                <w:spacing w:val="2"/>
              </w:rPr>
              <w:t>Directors are required to hold meaningful equity ownership positions in the Company (five times the annual base salary for the CEO and five times the annual cash retainer for all non-executive directors).</w:t>
            </w:r>
            <w:r>
              <w:rPr/>
              <w:t xml:space="preserve"> </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228600" cy="350520"/>
                      <wp:effectExtent l="0" t="0" r="0" b="0"/>
                      <wp:wrapSquare wrapText="right"/>
                      <wp:docPr id="103" name="Frame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A meaningful portion of director compensation is in the form of Company equity</w:t>
            </w:r>
            <w:r>
              <w:rPr/>
              <w:t xml:space="preserve"> </w: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228600" cy="350520"/>
                      <wp:effectExtent l="0" t="0" r="0" b="0"/>
                      <wp:wrapSquare wrapText="right"/>
                      <wp:docPr id="104"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Directors are prohibited from hedging, pledging, or using Company stock as collateral </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228600" cy="350520"/>
                      <wp:effectExtent l="0" t="0" r="0" b="0"/>
                      <wp:wrapSquare wrapText="right"/>
                      <wp:docPr id="105"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Accountability to Shareholders</w:t>
            </w:r>
            <w:r>
              <w:rPr>
                <w:rFonts w:ascii="Arial Narrow;Arial;Tahoma;Geneva;sans-serif" w:hAnsi="Arial Narrow;Arial;Tahoma;Geneva;sans-serif"/>
                <w:b/>
                <w:color w:val="70207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5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 uses majority voting in director elections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228600" cy="350520"/>
                      <wp:effectExtent l="0" t="0" r="0" b="0"/>
                      <wp:wrapSquare wrapText="right"/>
                      <wp:docPr id="106"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All of the Company’s directors are elected each year</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426">
                      <wp:simplePos x="0" y="0"/>
                      <wp:positionH relativeFrom="column">
                        <wp:align>left</wp:align>
                      </wp:positionH>
                      <wp:positionV relativeFrom="line">
                        <wp:align>top</wp:align>
                      </wp:positionV>
                      <wp:extent cx="228600" cy="350520"/>
                      <wp:effectExtent l="0" t="0" r="0" b="0"/>
                      <wp:wrapSquare wrapText="right"/>
                      <wp:docPr id="107" name="Frame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both"/>
              <w:rPr>
                <w:rFonts w:ascii="Helvetica;Arial Narrow;sans-serif" w:hAnsi="Helvetica;Arial Narrow;sans-serif"/>
              </w:rPr>
            </w:pPr>
            <w:r>
              <w:rPr>
                <w:rFonts w:ascii="Tahoma;Geneva;sans-serif" w:hAnsi="Tahoma;Geneva;sans-serif"/>
                <w:spacing w:val="2"/>
              </w:rPr>
              <w:t>The Company does not have a shareholder rights (“poison pill”) plan</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427">
                      <wp:simplePos x="0" y="0"/>
                      <wp:positionH relativeFrom="column">
                        <wp:align>left</wp:align>
                      </wp:positionH>
                      <wp:positionV relativeFrom="line">
                        <wp:align>top</wp:align>
                      </wp:positionV>
                      <wp:extent cx="228600" cy="350520"/>
                      <wp:effectExtent l="0" t="0" r="0" b="0"/>
                      <wp:wrapSquare wrapText="right"/>
                      <wp:docPr id="108" name="Frame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Since the past proxy season, LivaNova has engaged with the majority of the Company’s top 30 shareholders, who represented over 70% of the Company’s register as of December 31, 2024</w:t>
            </w:r>
            <w:r>
              <w:rPr/>
              <w:t xml:space="preserve"> </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228600" cy="350520"/>
                      <wp:effectExtent l="0" t="0" r="0" b="0"/>
                      <wp:wrapSquare wrapText="right"/>
                      <wp:docPr id="109" name="Frame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LivaNova conducts an annual advisory say-on-pay vote</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429">
                      <wp:simplePos x="0" y="0"/>
                      <wp:positionH relativeFrom="column">
                        <wp:align>left</wp:align>
                      </wp:positionH>
                      <wp:positionV relativeFrom="line">
                        <wp:align>top</wp:align>
                      </wp:positionV>
                      <wp:extent cx="228600" cy="350520"/>
                      <wp:effectExtent l="0" t="0" r="0" b="0"/>
                      <wp:wrapSquare wrapText="right"/>
                      <wp:docPr id="110" name="Frame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The Company retains the ability to clawback awards in specified situations through the LivaNova Compensation Recoupment Policy and Incentive Clawback Policy</w:t>
            </w:r>
            <w:r>
              <w:rPr/>
              <w:t xml:space="preserve"> </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228600" cy="350520"/>
                      <wp:effectExtent l="0" t="0" r="0" b="0"/>
                      <wp:wrapSquare wrapText="right"/>
                      <wp:docPr id="111" name="Frame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30" w:before="0" w:after="283"/>
                              <w:jc w:val="both"/>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1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4" descr=""/>
                          <pic:cNvPicPr>
                            <a:picLocks noChangeAspect="1" noChangeArrowheads="1"/>
                          </pic:cNvPicPr>
                        </pic:nvPicPr>
                        <pic:blipFill>
                          <a:blip r:embed="rId3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OTB1"/>
      <w:bookmarkEnd w:id="7"/>
      <w:r>
        <w:rPr>
          <w:rFonts w:ascii="calibri;arial;sans-serif" w:hAnsi="calibri;arial;sans-serif"/>
          <w:b w:val="false"/>
          <w:i w:val="false"/>
          <w:caps w:val="false"/>
          <w:smallCaps w:val="false"/>
          <w:color w:val="000000"/>
          <w:sz w:val="16"/>
        </w:rPr>
        <w:t>​</w:t>
      </w:r>
      <w:bookmarkStart w:id="8" w:name="tBOCO1"/>
      <w:bookmarkEnd w:id="8"/>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1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5" descr=""/>
                    <pic:cNvPicPr>
                      <a:picLocks noChangeAspect="1" noChangeArrowheads="1"/>
                    </pic:cNvPicPr>
                  </pic:nvPicPr>
                  <pic:blipFill>
                    <a:blip r:embed="rId3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5000" w:type="dxa"/>
        <w:jc w:val="left"/>
        <w:tblInd w:w="1173" w:type="dxa"/>
        <w:tblLayout w:type="fixed"/>
        <w:tblCellMar>
          <w:top w:w="0" w:type="dxa"/>
          <w:left w:w="0" w:type="dxa"/>
          <w:bottom w:w="0" w:type="dxa"/>
          <w:right w:w="0" w:type="dxa"/>
        </w:tblCellMar>
      </w:tblPr>
      <w:tblGrid>
        <w:gridCol w:w="124"/>
        <w:gridCol w:w="4722"/>
        <w:gridCol w:w="154"/>
      </w:tblGrid>
      <w:tr>
        <w:trPr/>
        <w:tc>
          <w:tcPr>
            <w:tcW w:w="124" w:type="dxa"/>
            <w:tcBorders/>
            <w:shd w:fill="702076" w:val="clear"/>
            <w:vAlign w:val="center"/>
          </w:tcPr>
          <w:p>
            <w:pPr>
              <w:pStyle w:val="TableContents"/>
              <w:bidi w:val="0"/>
              <w:spacing w:before="0" w:after="283"/>
              <w:jc w:val="left"/>
              <w:rPr/>
            </w:pPr>
            <w:r>
              <w:rPr/>
              <w:t>​</w:t>
            </w:r>
          </w:p>
        </w:tc>
        <w:tc>
          <w:tcPr>
            <w:tcW w:w="4722" w:type="dxa"/>
            <w:tcBorders/>
            <w:shd w:fill="702076" w:val="clear"/>
            <w:vAlign w:val="center"/>
          </w:tcPr>
          <w:p>
            <w:pPr>
              <w:pStyle w:val="TableContents"/>
              <w:bidi w:val="0"/>
              <w:spacing w:lineRule="atLeast" w:line="240" w:before="0" w:after="0"/>
              <w:jc w:val="center"/>
              <w:rPr/>
            </w:pPr>
            <w:r>
              <w:rPr>
                <w:spacing w:val="14"/>
              </w:rPr>
              <w:t>ROLE OF THE BOARD OF DIRECTORS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oversees management as it operates the business and ensures the interests of shareholders are served. The Board provides guidance over the Company’s regular and nonrecurring business transactions, as required, and is also responsible for assessing the effectiveness of the Company’s organizational structure and systems and for evaluating the Company’s overall performance.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Meetings and Attendance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held nine meetings during the year ended December 31, 2024. Each of the directors attended at least 75% of the total number of Board meetings and meetings of the committees on which they served. While the Company does not have a formal policy on director attendance at LivaNova’s AGM, eight out of ten of LivaNova’s then serving directors attended the Company’s 2024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Leadership Structure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directors may at any time elect and remove a director as Chair of the Board. The director appointed as Chair presides at all meetings of the Board at which they are present. LivaNova’s Board of Directors is currently led by a non-executive and independent Chair, Mr. Kozy. Currently, LivaNova does not have a policy requiring that the positions of Chair of the Board and CEO be held by different persons. The Board believes that it is in the best interest of the Company and its shareholders for the Board to make a determination on whether to separate or combine the roles of Chair and CEO based upon the Company’s circumstances at any particular point in time. The Company’s Corporate Governance Guidelines state that whenever the Chair is also the CEO or is a director who does not otherwise qualify as an independent director, the independent directors will elect from among themselves a Lead Director of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the present time, the positions of Chair of the Board and CEO are separated and are expected to remain so because the Board currently believes that this structure better serves the needs of the Board and the Company by allowing the CEO to focus their attention on driving business performance rather than Board governance.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Chair establishes the agenda for each Board meeting in consultation with the CEO and with the assistance of the Company Secretary. Each Board member is free to suggest that other items be included on the agenda and to raise any subject that is not on the agenda during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non-executive, independent directors have an opportunity to meet in private sessions at least quarterly and hold at least two executive sessions during the year. The Chair, or the Lead Director as the case may be, is responsible for conducting any such executive sessions.</w:t>
      </w:r>
      <w:r>
        <w:rPr>
          <w:rFonts w:ascii="Tahoma;Geneva;sans-serif" w:hAnsi="Tahoma;Geneva;sans-serif"/>
          <w:b w:val="false"/>
          <w:i w:val="false"/>
          <w:caps w:val="false"/>
          <w:smallCaps w:val="false"/>
          <w:color w:val="000000"/>
          <w:spacing w:val="4"/>
          <w:sz w:val="20"/>
        </w:rPr>
        <w:t xml:space="preserve"> </w:t>
      </w:r>
    </w:p>
    <w:tbl>
      <w:tblPr>
        <w:tblW w:w="3131" w:type="dxa"/>
        <w:jc w:val="left"/>
        <w:tblInd w:w="1173" w:type="dxa"/>
        <w:tblLayout w:type="fixed"/>
        <w:tblCellMar>
          <w:top w:w="0" w:type="dxa"/>
          <w:left w:w="0" w:type="dxa"/>
          <w:bottom w:w="0" w:type="dxa"/>
          <w:right w:w="0" w:type="dxa"/>
        </w:tblCellMar>
      </w:tblPr>
      <w:tblGrid>
        <w:gridCol w:w="124"/>
        <w:gridCol w:w="2853"/>
        <w:gridCol w:w="154"/>
      </w:tblGrid>
      <w:tr>
        <w:trPr/>
        <w:tc>
          <w:tcPr>
            <w:tcW w:w="124" w:type="dxa"/>
            <w:tcBorders/>
            <w:shd w:fill="702076" w:val="clear"/>
            <w:vAlign w:val="center"/>
          </w:tcPr>
          <w:p>
            <w:pPr>
              <w:pStyle w:val="TableContents"/>
              <w:bidi w:val="0"/>
              <w:spacing w:before="0" w:after="283"/>
              <w:jc w:val="left"/>
              <w:rPr/>
            </w:pPr>
            <w:r>
              <w:rPr/>
              <w:t>​</w:t>
            </w:r>
          </w:p>
        </w:tc>
        <w:tc>
          <w:tcPr>
            <w:tcW w:w="2853" w:type="dxa"/>
            <w:tcBorders/>
            <w:shd w:fill="702076" w:val="clear"/>
            <w:vAlign w:val="center"/>
          </w:tcPr>
          <w:p>
            <w:pPr>
              <w:pStyle w:val="TableContents"/>
              <w:bidi w:val="0"/>
              <w:spacing w:lineRule="atLeast" w:line="240" w:before="0" w:after="0"/>
              <w:jc w:val="center"/>
              <w:rPr/>
            </w:pPr>
            <w:r>
              <w:rPr>
                <w:spacing w:val="14"/>
              </w:rPr>
              <w:t>BOARD COMMITTEES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LivaNova’s Board of Directors has three standing committees: Audit and Compliance; Compensation and Human Capital Management; and Nominating and Corporate Governance. Each committee is comprised entirely of independent directors, and each committee is governed by a written charter approved by the Board. These charters, which are reviewed at least annually, form an integral part of the Company’s corporate governance policies, and a copy of each charter is available on LivaNova’s website at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1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6" descr=""/>
                          <pic:cNvPicPr>
                            <a:picLocks noChangeAspect="1" noChangeArrowheads="1"/>
                          </pic:cNvPicPr>
                        </pic:nvPicPr>
                        <pic:blipFill>
                          <a:blip r:embed="rId3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1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7" descr=""/>
                    <pic:cNvPicPr>
                      <a:picLocks noChangeAspect="1" noChangeArrowheads="1"/>
                    </pic:cNvPicPr>
                  </pic:nvPicPr>
                  <pic:blipFill>
                    <a:blip r:embed="rId3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286"/>
        <w:gridCol w:w="197"/>
        <w:gridCol w:w="197"/>
        <w:gridCol w:w="197"/>
        <w:gridCol w:w="155"/>
      </w:tblGrid>
      <w:tr>
        <w:trPr/>
        <w:tc>
          <w:tcPr>
            <w:tcW w:w="8286" w:type="dxa"/>
            <w:tcBorders/>
            <w:shd w:fill="FF5B34" w:val="clear"/>
            <w:vAlign w:val="center"/>
          </w:tcPr>
          <w:p>
            <w:pPr>
              <w:pStyle w:val="TableContents"/>
              <w:bidi w:val="0"/>
              <w:spacing w:lineRule="atLeast" w:line="280" w:before="0" w:after="0"/>
              <w:jc w:val="left"/>
              <w:rPr>
                <w:spacing w:val="14"/>
              </w:rPr>
            </w:pPr>
            <w:r>
              <w:rPr>
                <w:spacing w:val="14"/>
              </w:rPr>
              <w:t xml:space="preserve">AUDIT AND COMPLIANCE COMMITTEE </w:t>
            </w:r>
          </w:p>
        </w:tc>
        <w:tc>
          <w:tcPr>
            <w:tcW w:w="197" w:type="dxa"/>
            <w:tcBorders/>
            <w:shd w:fill="FF5B34" w:val="clear"/>
            <w:vAlign w:val="center"/>
          </w:tcPr>
          <w:p>
            <w:pPr>
              <w:pStyle w:val="TableContents"/>
              <w:bidi w:val="0"/>
              <w:spacing w:before="0" w:after="283"/>
              <w:jc w:val="left"/>
              <w:rPr/>
            </w:pPr>
            <w:r>
              <w:rPr/>
              <w:t>​</w:t>
            </w:r>
          </w:p>
        </w:tc>
        <w:tc>
          <w:tcPr>
            <w:tcW w:w="197" w:type="dxa"/>
            <w:tcBorders/>
            <w:vAlign w:val="center"/>
          </w:tcPr>
          <w:p>
            <w:pPr>
              <w:pStyle w:val="TableContents"/>
              <w:bidi w:val="0"/>
              <w:spacing w:before="0" w:after="283"/>
              <w:jc w:val="left"/>
              <w:rPr/>
            </w:pPr>
            <w:r>
              <w:rPr/>
              <w:t>​</w:t>
            </w:r>
          </w:p>
        </w:tc>
        <w:tc>
          <w:tcPr>
            <w:tcW w:w="19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Todd Schermerhorn (Chair) </w:t>
            </w:r>
            <w:r>
              <w:rPr>
                <w:color w:val="FF5B34"/>
                <w:spacing w:val="11"/>
              </w:rPr>
              <w:t>|</w:t>
            </w:r>
            <w:r>
              <w:rPr>
                <w:spacing w:val="11"/>
              </w:rPr>
              <w:t xml:space="preserve"> J. Christopher Barry </w:t>
            </w:r>
            <w:r>
              <w:rPr>
                <w:color w:val="FF5B34"/>
                <w:spacing w:val="11"/>
              </w:rPr>
              <w:t>|</w:t>
            </w:r>
            <w:r>
              <w:rPr>
                <w:spacing w:val="11"/>
              </w:rPr>
              <w:t xml:space="preserve"> Francesco Bianchi </w:t>
            </w:r>
            <w:r>
              <w:rPr>
                <w:color w:val="FF5B34"/>
                <w:spacing w:val="11"/>
              </w:rPr>
              <w:t>|</w:t>
            </w:r>
            <w:r>
              <w:rPr>
                <w:spacing w:val="11"/>
              </w:rPr>
              <w:t xml:space="preserve"> Peter Wilver</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color w:val="FF5B34"/>
                <w:spacing w:val="2"/>
                <w:sz w:val="24"/>
              </w:rPr>
              <w:t>Meetings:</w:t>
            </w:r>
            <w:r>
              <w:rPr>
                <w:spacing w:val="2"/>
              </w:rPr>
              <w:t xml:space="preserve"> </w:t>
            </w:r>
            <w:r>
              <w:rPr>
                <w:rFonts w:ascii="Arial Narrow;Arial;Tahoma;Geneva;sans-serif" w:hAnsi="Arial Narrow;Arial;Tahoma;Geneva;sans-serif"/>
                <w:b/>
                <w:spacing w:val="11"/>
              </w:rPr>
              <w:t>Eight scheduled meetings in 2024.</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40" w:before="0" w:after="0"/>
              <w:jc w:val="left"/>
              <w:rPr/>
            </w:pPr>
            <w:r>
              <w:rPr>
                <w:rFonts w:ascii="Tahoma;Geneva;sans-serif" w:hAnsi="Tahoma;Geneva;sans-serif"/>
                <w:b w:val="false"/>
                <w:color w:val="FF5B34"/>
                <w:spacing w:val="2"/>
                <w:sz w:val="24"/>
              </w:rPr>
              <w:t>Report:</w:t>
            </w:r>
            <w:r>
              <w:rPr>
                <w:spacing w:val="2"/>
              </w:rPr>
              <w:t xml:space="preserve"> </w:t>
            </w:r>
            <w:r>
              <w:rPr>
                <w:spacing w:val="11"/>
              </w:rPr>
              <w:t>The AC Committee Report is on pages </w:t>
            </w:r>
            <w:hyperlink w:anchor="tACCR1">
              <w:r>
                <w:rPr>
                  <w:rStyle w:val="InternetLink"/>
                  <w:spacing w:val="11"/>
                </w:rPr>
                <w:t>74</w:t>
              </w:r>
            </w:hyperlink>
            <w:r>
              <w:rPr>
                <w:spacing w:val="11"/>
              </w:rPr>
              <w:t>-</w:t>
            </w:r>
            <w:hyperlink w:anchor="tACCR2">
              <w:r>
                <w:rPr>
                  <w:rStyle w:val="InternetLink"/>
                  <w:spacing w:val="11"/>
                </w:rPr>
                <w:t>75</w:t>
              </w:r>
            </w:hyperlink>
            <w:r>
              <w:rPr>
                <w:spacing w:val="11"/>
              </w:rPr>
              <w:t xml:space="preserve"> of this proxy statement.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AC Committee’s key responsibilities include: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accounting, financial reporting and disclosure processes, and the audit of the Company’s consolidated financial statements;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1">
                <wp:simplePos x="0" y="0"/>
                <wp:positionH relativeFrom="column">
                  <wp:align>left</wp:align>
                </wp:positionH>
                <wp:positionV relativeFrom="line">
                  <wp:align>top</wp:align>
                </wp:positionV>
                <wp:extent cx="228600" cy="350520"/>
                <wp:effectExtent l="0" t="0" r="0" b="0"/>
                <wp:wrapSquare wrapText="right"/>
                <wp:docPr id="116" name="Frame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with management and the independent auditors the Company’s internal controls over financial reporting and disclosure controls and procedures (including reporting structures);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2">
                <wp:simplePos x="0" y="0"/>
                <wp:positionH relativeFrom="column">
                  <wp:align>left</wp:align>
                </wp:positionH>
                <wp:positionV relativeFrom="line">
                  <wp:align>top</wp:align>
                </wp:positionV>
                <wp:extent cx="228600" cy="350520"/>
                <wp:effectExtent l="0" t="0" r="0" b="0"/>
                <wp:wrapSquare wrapText="right"/>
                <wp:docPr id="117" name="Frame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actions the Company takes to comply with the Company’s internal accounting and control policies, as well as external financial, legal, and regulatory requirements;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3">
                <wp:simplePos x="0" y="0"/>
                <wp:positionH relativeFrom="column">
                  <wp:align>left</wp:align>
                </wp:positionH>
                <wp:positionV relativeFrom="line">
                  <wp:align>top</wp:align>
                </wp:positionV>
                <wp:extent cx="228600" cy="350520"/>
                <wp:effectExtent l="0" t="0" r="0" b="0"/>
                <wp:wrapSquare wrapText="right"/>
                <wp:docPr id="118" name="Frame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internal audit functions;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4">
                <wp:simplePos x="0" y="0"/>
                <wp:positionH relativeFrom="column">
                  <wp:align>left</wp:align>
                </wp:positionH>
                <wp:positionV relativeFrom="line">
                  <wp:align>top</wp:align>
                </wp:positionV>
                <wp:extent cx="228600" cy="350520"/>
                <wp:effectExtent l="0" t="0" r="0" b="0"/>
                <wp:wrapSquare wrapText="right"/>
                <wp:docPr id="119" name="Frame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process by which cybersecurity risks are managed;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5">
                <wp:simplePos x="0" y="0"/>
                <wp:positionH relativeFrom="column">
                  <wp:align>left</wp:align>
                </wp:positionH>
                <wp:positionV relativeFrom="line">
                  <wp:align>top</wp:align>
                </wp:positionV>
                <wp:extent cx="228600" cy="350520"/>
                <wp:effectExtent l="0" t="0" r="0" b="0"/>
                <wp:wrapSquare wrapText="right"/>
                <wp:docPr id="120" name="Frame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compliance function and related policies, procedures, and programs which are designed to promote and monitor legal, ethical, and regulatory compliance.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6">
                <wp:simplePos x="0" y="0"/>
                <wp:positionH relativeFrom="column">
                  <wp:align>left</wp:align>
                </wp:positionH>
                <wp:positionV relativeFrom="line">
                  <wp:align>top</wp:align>
                </wp:positionV>
                <wp:extent cx="228600" cy="350520"/>
                <wp:effectExtent l="0" t="0" r="0" b="0"/>
                <wp:wrapSquare wrapText="right"/>
                <wp:docPr id="121" name="Frame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Producing the AC Committee Report for inclusion in the Company’s annual proxy statement or annual report on Form 10-K;</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7">
                <wp:simplePos x="0" y="0"/>
                <wp:positionH relativeFrom="column">
                  <wp:align>left</wp:align>
                </wp:positionH>
                <wp:positionV relativeFrom="line">
                  <wp:align>top</wp:align>
                </wp:positionV>
                <wp:extent cx="228600" cy="350520"/>
                <wp:effectExtent l="0" t="0" r="0" b="0"/>
                <wp:wrapSquare wrapText="right"/>
                <wp:docPr id="122" name="Frame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qualifications and independence of the Company’s independent auditors who are engaged for the purpose of auditing its consolidated financial statements and issuing an audit report for inclusion in the Company’s annual report on Form 10-K; and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8">
                <wp:simplePos x="0" y="0"/>
                <wp:positionH relativeFrom="column">
                  <wp:align>left</wp:align>
                </wp:positionH>
                <wp:positionV relativeFrom="line">
                  <wp:align>top</wp:align>
                </wp:positionV>
                <wp:extent cx="228600" cy="350520"/>
                <wp:effectExtent l="0" t="0" r="0" b="0"/>
                <wp:wrapSquare wrapText="right"/>
                <wp:docPr id="123" name="Frame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Selecting, subject to required shareholder approvals, LivaNova’s independent auditors and evaluating their performance.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9">
                <wp:simplePos x="0" y="0"/>
                <wp:positionH relativeFrom="column">
                  <wp:align>left</wp:align>
                </wp:positionH>
                <wp:positionV relativeFrom="line">
                  <wp:align>top</wp:align>
                </wp:positionV>
                <wp:extent cx="228600" cy="350520"/>
                <wp:effectExtent l="0" t="0" r="0" b="0"/>
                <wp:wrapSquare wrapText="right"/>
                <wp:docPr id="124" name="Frame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AC Committee periodically meets separately with management, including the Chief Financial Officer, the Head of Internal Audit, the Chief Legal Officer, Chief Compliance Officer, and representatives of the Company’s independent auditors (or equivalent roles) and may invite such individuals to meetings as it deems appropriate, to assist in carrying out its duties and responsibilities.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2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8" descr=""/>
                          <pic:cNvPicPr>
                            <a:picLocks noChangeAspect="1" noChangeArrowheads="1"/>
                          </pic:cNvPicPr>
                        </pic:nvPicPr>
                        <pic:blipFill>
                          <a:blip r:embed="rId3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2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9" descr=""/>
                    <pic:cNvPicPr>
                      <a:picLocks noChangeAspect="1" noChangeArrowheads="1"/>
                    </pic:cNvPicPr>
                  </pic:nvPicPr>
                  <pic:blipFill>
                    <a:blip r:embed="rId4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508"/>
        <w:gridCol w:w="123"/>
        <w:gridCol w:w="123"/>
        <w:gridCol w:w="123"/>
        <w:gridCol w:w="155"/>
      </w:tblGrid>
      <w:tr>
        <w:trPr/>
        <w:tc>
          <w:tcPr>
            <w:tcW w:w="8508" w:type="dxa"/>
            <w:tcBorders/>
            <w:shd w:fill="FF5B34" w:val="clear"/>
            <w:vAlign w:val="center"/>
          </w:tcPr>
          <w:p>
            <w:pPr>
              <w:pStyle w:val="TableContents"/>
              <w:bidi w:val="0"/>
              <w:spacing w:lineRule="atLeast" w:line="280" w:before="0" w:after="0"/>
              <w:jc w:val="left"/>
              <w:rPr>
                <w:spacing w:val="14"/>
              </w:rPr>
            </w:pPr>
            <w:r>
              <w:rPr>
                <w:spacing w:val="14"/>
              </w:rPr>
              <w:t xml:space="preserve">COMPENSATION AND HUMAN CAPITAL MANAGEMENT COMMITTEE </w:t>
            </w:r>
          </w:p>
        </w:tc>
        <w:tc>
          <w:tcPr>
            <w:tcW w:w="123" w:type="dxa"/>
            <w:tcBorders/>
            <w:shd w:fill="FF5B34" w:val="clear"/>
            <w:vAlign w:val="center"/>
          </w:tcPr>
          <w:p>
            <w:pPr>
              <w:pStyle w:val="TableContents"/>
              <w:bidi w:val="0"/>
              <w:spacing w:before="0" w:after="283"/>
              <w:jc w:val="left"/>
              <w:rPr/>
            </w:pPr>
            <w:r>
              <w:rPr/>
              <w:t>​</w:t>
            </w:r>
          </w:p>
        </w:tc>
        <w:tc>
          <w:tcPr>
            <w:tcW w:w="123" w:type="dxa"/>
            <w:tcBorders/>
            <w:vAlign w:val="center"/>
          </w:tcPr>
          <w:p>
            <w:pPr>
              <w:pStyle w:val="TableContents"/>
              <w:bidi w:val="0"/>
              <w:spacing w:before="0" w:after="283"/>
              <w:jc w:val="left"/>
              <w:rPr/>
            </w:pPr>
            <w:r>
              <w:rPr/>
              <w:t>​</w:t>
            </w:r>
          </w:p>
        </w:tc>
        <w:tc>
          <w:tcPr>
            <w:tcW w:w="12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Stacy Enxing Seng (Chair) </w:t>
            </w:r>
            <w:r>
              <w:rPr>
                <w:color w:val="FF5B34"/>
                <w:spacing w:val="11"/>
              </w:rPr>
              <w:t>|</w:t>
            </w:r>
            <w:r>
              <w:rPr>
                <w:spacing w:val="11"/>
              </w:rPr>
              <w:t xml:space="preserve"> Francesco Bianchi </w:t>
            </w:r>
            <w:r>
              <w:rPr>
                <w:color w:val="FF5B34"/>
                <w:spacing w:val="11"/>
              </w:rPr>
              <w:t>|</w:t>
            </w:r>
            <w:r>
              <w:rPr>
                <w:spacing w:val="11"/>
              </w:rPr>
              <w:t xml:space="preserve"> Peter Wilver </w:t>
            </w:r>
            <w:r>
              <w:rPr>
                <w:color w:val="FF5B34"/>
                <w:spacing w:val="11"/>
              </w:rPr>
              <w:t>|</w:t>
            </w:r>
            <w:r>
              <w:rPr>
                <w:spacing w:val="11"/>
              </w:rPr>
              <w:t xml:space="preserve"> Susan Podlogar</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color w:val="FF5B34"/>
                <w:spacing w:val="2"/>
                <w:sz w:val="24"/>
              </w:rPr>
              <w:t>Meetings:</w:t>
            </w:r>
            <w:r>
              <w:rPr>
                <w:spacing w:val="2"/>
              </w:rPr>
              <w:t xml:space="preserve"> </w:t>
            </w:r>
            <w:r>
              <w:rPr>
                <w:rFonts w:ascii="Arial Narrow;Arial;Tahoma;Geneva;sans-serif" w:hAnsi="Arial Narrow;Arial;Tahoma;Geneva;sans-serif"/>
                <w:b/>
                <w:spacing w:val="11"/>
              </w:rPr>
              <w:t>Eleven scheduled meetings in 2024.</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Report:</w:t>
            </w:r>
            <w:r>
              <w:rPr>
                <w:spacing w:val="2"/>
              </w:rPr>
              <w:t xml:space="preserve"> </w:t>
            </w:r>
            <w:r>
              <w:rPr>
                <w:spacing w:val="11"/>
              </w:rPr>
              <w:t xml:space="preserve">The CHCM Committee Report is on pages </w:t>
            </w:r>
            <w:hyperlink w:anchor="tCHCMCR">
              <w:r>
                <w:rPr>
                  <w:rStyle w:val="InternetLink"/>
                  <w:spacing w:val="11"/>
                </w:rPr>
                <w:t>50</w:t>
              </w:r>
            </w:hyperlink>
            <w:r>
              <w:rPr>
                <w:spacing w:val="11"/>
              </w:rPr>
              <w:t>-</w:t>
            </w:r>
            <w:hyperlink w:anchor="tCHCMCR1">
              <w:r>
                <w:rPr>
                  <w:rStyle w:val="InternetLink"/>
                  <w:spacing w:val="11"/>
                </w:rPr>
                <w:t>51</w:t>
              </w:r>
            </w:hyperlink>
            <w:r>
              <w:rPr>
                <w:spacing w:val="11"/>
              </w:rPr>
              <w:t xml:space="preserve"> of this proxy statement.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CHCM Committee’s key responsibilities include: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and approving the goals and objectives applicable to the compensation of the CEO; evaluating the CEO in light of those goals and objectives at least annually; and determining and approving the CEO’s compensation based on this evaluation;</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0">
                <wp:simplePos x="0" y="0"/>
                <wp:positionH relativeFrom="column">
                  <wp:align>left</wp:align>
                </wp:positionH>
                <wp:positionV relativeFrom="line">
                  <wp:align>top</wp:align>
                </wp:positionV>
                <wp:extent cx="228600" cy="350520"/>
                <wp:effectExtent l="0" t="0" r="0" b="0"/>
                <wp:wrapSquare wrapText="right"/>
                <wp:docPr id="127" name="Frame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and approving the compensation of all other executive officers;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1">
                <wp:simplePos x="0" y="0"/>
                <wp:positionH relativeFrom="column">
                  <wp:align>left</wp:align>
                </wp:positionH>
                <wp:positionV relativeFrom="line">
                  <wp:align>top</wp:align>
                </wp:positionV>
                <wp:extent cx="228600" cy="350520"/>
                <wp:effectExtent l="0" t="0" r="0" b="0"/>
                <wp:wrapSquare wrapText="right"/>
                <wp:docPr id="128" name="Frame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Developing and reviewing with the Board plans for succession and talent development of the Company’s non-CEO executive officers;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2">
                <wp:simplePos x="0" y="0"/>
                <wp:positionH relativeFrom="column">
                  <wp:align>left</wp:align>
                </wp:positionH>
                <wp:positionV relativeFrom="line">
                  <wp:align>top</wp:align>
                </wp:positionV>
                <wp:extent cx="228600" cy="350520"/>
                <wp:effectExtent l="0" t="0" r="0" b="0"/>
                <wp:wrapSquare wrapText="right"/>
                <wp:docPr id="129" name="Frame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Overseeing the Company’s policies and strategies, and periodically reviewing risks, trends and key metrics related to human capital management including with respect to employee engagement, pay equity, workplace culture, talent development and talent pipeline, and workforce composition and compensation;</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3">
                <wp:simplePos x="0" y="0"/>
                <wp:positionH relativeFrom="column">
                  <wp:align>left</wp:align>
                </wp:positionH>
                <wp:positionV relativeFrom="line">
                  <wp:align>top</wp:align>
                </wp:positionV>
                <wp:extent cx="228600" cy="350520"/>
                <wp:effectExtent l="0" t="0" r="0" b="0"/>
                <wp:wrapSquare wrapText="right"/>
                <wp:docPr id="130" name="Frame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Approving the achievement of performance goals for short-term and long-term incentive plans in relation to executive officer compensation;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4">
                <wp:simplePos x="0" y="0"/>
                <wp:positionH relativeFrom="column">
                  <wp:align>left</wp:align>
                </wp:positionH>
                <wp:positionV relativeFrom="line">
                  <wp:align>top</wp:align>
                </wp:positionV>
                <wp:extent cx="228600" cy="350520"/>
                <wp:effectExtent l="0" t="0" r="0" b="0"/>
                <wp:wrapSquare wrapText="right"/>
                <wp:docPr id="131" name="Frame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approving incentive compensation plans and equity-based plans and, where appropriate or required, recommending such plans for shareholder approval;</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5">
                <wp:simplePos x="0" y="0"/>
                <wp:positionH relativeFrom="column">
                  <wp:align>left</wp:align>
                </wp:positionH>
                <wp:positionV relativeFrom="line">
                  <wp:align>top</wp:align>
                </wp:positionV>
                <wp:extent cx="228600" cy="350520"/>
                <wp:effectExtent l="0" t="0" r="0" b="0"/>
                <wp:wrapSquare wrapText="right"/>
                <wp:docPr id="132" name="Frame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Approving employment agreements and severance arrangements or plans for executive officers;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6">
                <wp:simplePos x="0" y="0"/>
                <wp:positionH relativeFrom="column">
                  <wp:align>left</wp:align>
                </wp:positionH>
                <wp:positionV relativeFrom="line">
                  <wp:align>top</wp:align>
                </wp:positionV>
                <wp:extent cx="228600" cy="350520"/>
                <wp:effectExtent l="0" t="0" r="0" b="0"/>
                <wp:wrapSquare wrapText="right"/>
                <wp:docPr id="133" name="Frame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Administering (including adopting, amending, and terminating) incentive compensation and equity-based plans;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7">
                <wp:simplePos x="0" y="0"/>
                <wp:positionH relativeFrom="column">
                  <wp:align>left</wp:align>
                </wp:positionH>
                <wp:positionV relativeFrom="line">
                  <wp:align>top</wp:align>
                </wp:positionV>
                <wp:extent cx="228600" cy="350520"/>
                <wp:effectExtent l="0" t="0" r="0" b="0"/>
                <wp:wrapSquare wrapText="right"/>
                <wp:docPr id="134" name="Frame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discussing with management and overseeing the preparation of the Compensation Discussion and Analysis to be included in appropriate regulatory filings and determining whether to recommend to the Board that the Compensation Discussion and Analysis be included in such filings;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8">
                <wp:simplePos x="0" y="0"/>
                <wp:positionH relativeFrom="column">
                  <wp:align>left</wp:align>
                </wp:positionH>
                <wp:positionV relativeFrom="line">
                  <wp:align>top</wp:align>
                </wp:positionV>
                <wp:extent cx="228600" cy="350520"/>
                <wp:effectExtent l="0" t="0" r="0" b="0"/>
                <wp:wrapSquare wrapText="right"/>
                <wp:docPr id="135" name="Frame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Submitting to the Board and shareholders for their approval a directors’ remuneration policy every three years, or in any year that there is a change relative to the prior year, or if shareholder approval was not achieved when last submitted;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49">
                <wp:simplePos x="0" y="0"/>
                <wp:positionH relativeFrom="column">
                  <wp:align>left</wp:align>
                </wp:positionH>
                <wp:positionV relativeFrom="line">
                  <wp:align>top</wp:align>
                </wp:positionV>
                <wp:extent cx="228600" cy="350520"/>
                <wp:effectExtent l="0" t="0" r="0" b="0"/>
                <wp:wrapSquare wrapText="right"/>
                <wp:docPr id="136" name="Frame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Producing the CHCM Committee Report for inclusion in the Company’s annual proxy statement or annual report on Form 10-K, as well as the Remuneration Report in the UK Annual Report;</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0">
                <wp:simplePos x="0" y="0"/>
                <wp:positionH relativeFrom="column">
                  <wp:align>left</wp:align>
                </wp:positionH>
                <wp:positionV relativeFrom="line">
                  <wp:align>top</wp:align>
                </wp:positionV>
                <wp:extent cx="228600" cy="350520"/>
                <wp:effectExtent l="0" t="0" r="0" b="0"/>
                <wp:wrapSquare wrapText="right"/>
                <wp:docPr id="137" name="Frame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approving the adoption of, or revision to, and administering any recoupment policy that allows the Company to “clawback” compensation received by executive officers of the Company and to monitor compliance therewith;</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1">
                <wp:simplePos x="0" y="0"/>
                <wp:positionH relativeFrom="column">
                  <wp:align>left</wp:align>
                </wp:positionH>
                <wp:positionV relativeFrom="line">
                  <wp:align>top</wp:align>
                </wp:positionV>
                <wp:extent cx="228600" cy="350520"/>
                <wp:effectExtent l="0" t="0" r="0" b="0"/>
                <wp:wrapSquare wrapText="right"/>
                <wp:docPr id="138" name="Frame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stock ownership guidelines for directors and executive officers and monitoring compliance with such guidelines;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2">
                <wp:simplePos x="0" y="0"/>
                <wp:positionH relativeFrom="column">
                  <wp:align>left</wp:align>
                </wp:positionH>
                <wp:positionV relativeFrom="line">
                  <wp:align>top</wp:align>
                </wp:positionV>
                <wp:extent cx="228600" cy="350520"/>
                <wp:effectExtent l="0" t="0" r="0" b="0"/>
                <wp:wrapSquare wrapText="right"/>
                <wp:docPr id="139" name="Frame1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director compensation and benefits at least annually;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3">
                <wp:simplePos x="0" y="0"/>
                <wp:positionH relativeFrom="column">
                  <wp:align>left</wp:align>
                </wp:positionH>
                <wp:positionV relativeFrom="line">
                  <wp:align>top</wp:align>
                </wp:positionV>
                <wp:extent cx="228600" cy="350520"/>
                <wp:effectExtent l="0" t="0" r="0" b="0"/>
                <wp:wrapSquare wrapText="right"/>
                <wp:docPr id="140" name="Frame1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Reviewing the Company’s incentive compensation arrangements to determine whether they encourage excessive risk-taking. </w:t>
      </w:r>
      <w:r>
        <mc:AlternateContent>
          <mc:Choice Requires="wps">
            <w:drawing>
              <wp:anchor behindDoc="0" distT="76200" distB="0" distL="228600" distR="0" simplePos="0" locked="0" layoutInCell="1" allowOverlap="1" relativeHeight="454">
                <wp:simplePos x="0" y="0"/>
                <wp:positionH relativeFrom="column">
                  <wp:align>left</wp:align>
                </wp:positionH>
                <wp:positionV relativeFrom="line">
                  <wp:align>top</wp:align>
                </wp:positionV>
                <wp:extent cx="228600" cy="350520"/>
                <wp:effectExtent l="0" t="0" r="0" b="0"/>
                <wp:wrapSquare wrapText="right"/>
                <wp:docPr id="141" name="Frame1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0" descr=""/>
                          <pic:cNvPicPr>
                            <a:picLocks noChangeAspect="1" noChangeArrowheads="1"/>
                          </pic:cNvPicPr>
                        </pic:nvPicPr>
                        <pic:blipFill>
                          <a:blip r:embed="rId4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1" descr=""/>
                    <pic:cNvPicPr>
                      <a:picLocks noChangeAspect="1" noChangeArrowheads="1"/>
                    </pic:cNvPicPr>
                  </pic:nvPicPr>
                  <pic:blipFill>
                    <a:blip r:embed="rId4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368"/>
        <w:gridCol w:w="169"/>
        <w:gridCol w:w="169"/>
        <w:gridCol w:w="169"/>
        <w:gridCol w:w="157"/>
      </w:tblGrid>
      <w:tr>
        <w:trPr/>
        <w:tc>
          <w:tcPr>
            <w:tcW w:w="8368" w:type="dxa"/>
            <w:tcBorders/>
            <w:shd w:fill="FF5B34" w:val="clear"/>
            <w:vAlign w:val="center"/>
          </w:tcPr>
          <w:p>
            <w:pPr>
              <w:pStyle w:val="TableContents"/>
              <w:bidi w:val="0"/>
              <w:spacing w:lineRule="atLeast" w:line="280" w:before="0" w:after="0"/>
              <w:jc w:val="left"/>
              <w:rPr>
                <w:spacing w:val="14"/>
              </w:rPr>
            </w:pPr>
            <w:r>
              <w:rPr>
                <w:spacing w:val="14"/>
              </w:rPr>
              <w:t xml:space="preserve">NOMINATING &amp; CORPORATE GOVERNANCE COMMITTEE </w:t>
            </w:r>
          </w:p>
        </w:tc>
        <w:tc>
          <w:tcPr>
            <w:tcW w:w="169" w:type="dxa"/>
            <w:tcBorders/>
            <w:shd w:fill="FF5B34" w:val="cle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8875"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Dr. Sharon O’Kane (Chair) </w:t>
            </w:r>
            <w:r>
              <w:rPr>
                <w:color w:val="FF5B34"/>
                <w:spacing w:val="11"/>
              </w:rPr>
              <w:t>|</w:t>
            </w:r>
            <w:r>
              <w:rPr>
                <w:spacing w:val="11"/>
              </w:rPr>
              <w:t xml:space="preserve"> J. Christopher Barry </w:t>
            </w:r>
            <w:r>
              <w:rPr>
                <w:color w:val="FF5B34"/>
                <w:spacing w:val="11"/>
              </w:rPr>
              <w:t>|</w:t>
            </w:r>
            <w:r>
              <w:rPr>
                <w:spacing w:val="11"/>
              </w:rPr>
              <w:t xml:space="preserve"> Brooke Story</w:t>
            </w:r>
            <w:r>
              <w:rPr/>
              <w:t xml:space="preserve"> </w:t>
            </w:r>
          </w:p>
        </w:tc>
        <w:tc>
          <w:tcPr>
            <w:tcW w:w="157" w:type="dxa"/>
            <w:tcBorders/>
            <w:vAlign w:val="center"/>
          </w:tcPr>
          <w:p>
            <w:pPr>
              <w:pStyle w:val="TableContents"/>
              <w:bidi w:val="0"/>
              <w:spacing w:before="0" w:after="283"/>
              <w:jc w:val="left"/>
              <w:rPr/>
            </w:pPr>
            <w:r>
              <w:rPr/>
              <w:t>​</w:t>
            </w:r>
          </w:p>
        </w:tc>
      </w:tr>
      <w:tr>
        <w:trPr/>
        <w:tc>
          <w:tcPr>
            <w:tcW w:w="8875" w:type="dxa"/>
            <w:gridSpan w:val="4"/>
            <w:tcBorders/>
            <w:shd w:fill="FFEFEB" w:val="clear"/>
            <w:vAlign w:val="center"/>
          </w:tcPr>
          <w:p>
            <w:pPr>
              <w:pStyle w:val="TableContents"/>
              <w:bidi w:val="0"/>
              <w:spacing w:lineRule="atLeast" w:line="260" w:before="0" w:after="0"/>
              <w:jc w:val="left"/>
              <w:rPr/>
            </w:pPr>
            <w:r>
              <w:rPr>
                <w:rFonts w:ascii="Tahoma;Geneva;sans-serif" w:hAnsi="Tahoma;Geneva;sans-serif"/>
                <w:b w:val="false"/>
                <w:color w:val="FF5B34"/>
                <w:spacing w:val="2"/>
                <w:sz w:val="24"/>
              </w:rPr>
              <w:t>Meetings:</w:t>
            </w:r>
            <w:r>
              <w:rPr>
                <w:spacing w:val="2"/>
              </w:rPr>
              <w:t xml:space="preserve"> </w:t>
            </w:r>
            <w:r>
              <w:rPr>
                <w:spacing w:val="11"/>
              </w:rPr>
              <w:t>Eight scheduled meetings in 2024, separate and apart from several ad hoc meetings held throughout 2024 in connection with CEO and director succession planning.</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NCG Committee is responsible for, among other things: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the qualifications, qualities, skills, and other expertise required to be a director;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5">
                <wp:simplePos x="0" y="0"/>
                <wp:positionH relativeFrom="column">
                  <wp:align>left</wp:align>
                </wp:positionH>
                <wp:positionV relativeFrom="line">
                  <wp:align>top</wp:align>
                </wp:positionV>
                <wp:extent cx="228600" cy="350520"/>
                <wp:effectExtent l="0" t="0" r="0" b="0"/>
                <wp:wrapSquare wrapText="right"/>
                <wp:docPr id="144" name="Frame1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Administering the process for identifying candidates for membership on the Board, including the inclusion of at least one woman and at least one member of an underrepresented minority in every slate of potential nominees, developing criteria for Board and committee memberships and recommending and recruiting director nominees;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6">
                <wp:simplePos x="0" y="0"/>
                <wp:positionH relativeFrom="column">
                  <wp:align>left</wp:align>
                </wp:positionH>
                <wp:positionV relativeFrom="line">
                  <wp:align>top</wp:align>
                </wp:positionV>
                <wp:extent cx="228600" cy="350520"/>
                <wp:effectExtent l="0" t="0" r="0" b="0"/>
                <wp:wrapSquare wrapText="right"/>
                <wp:docPr id="145" name="Frame1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Evaluating the independence and other standards applicable to service on the Board and its committees, including whether each AC Committee member is financially literate and whether the AC Committee has at least one “audit committee financial expert;”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7">
                <wp:simplePos x="0" y="0"/>
                <wp:positionH relativeFrom="column">
                  <wp:align>left</wp:align>
                </wp:positionH>
                <wp:positionV relativeFrom="line">
                  <wp:align>top</wp:align>
                </wp:positionV>
                <wp:extent cx="228600" cy="350520"/>
                <wp:effectExtent l="0" t="0" r="0" b="0"/>
                <wp:wrapSquare wrapText="right"/>
                <wp:docPr id="146" name="Frame1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Evaluating and recommending changes, as appropriate, to Board and committee size, composition and chair and committee structure; and administering the process for regular Board and committee self-evaluations;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8">
                <wp:simplePos x="0" y="0"/>
                <wp:positionH relativeFrom="column">
                  <wp:align>left</wp:align>
                </wp:positionH>
                <wp:positionV relativeFrom="line">
                  <wp:align>top</wp:align>
                </wp:positionV>
                <wp:extent cx="228600" cy="350520"/>
                <wp:effectExtent l="0" t="0" r="0" b="0"/>
                <wp:wrapSquare wrapText="right"/>
                <wp:docPr id="147" name="Frame1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Developing and recommending corporate governance principles and policies to LivaNova’s Board;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9">
                <wp:simplePos x="0" y="0"/>
                <wp:positionH relativeFrom="column">
                  <wp:align>left</wp:align>
                </wp:positionH>
                <wp:positionV relativeFrom="line">
                  <wp:align>top</wp:align>
                </wp:positionV>
                <wp:extent cx="228600" cy="350520"/>
                <wp:effectExtent l="0" t="0" r="0" b="0"/>
                <wp:wrapSquare wrapText="right"/>
                <wp:docPr id="148" name="Frame1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Overseeing the Company’s corporate governance practices and procedures and reviewing such procedures at least annually;</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60">
                <wp:simplePos x="0" y="0"/>
                <wp:positionH relativeFrom="column">
                  <wp:align>left</wp:align>
                </wp:positionH>
                <wp:positionV relativeFrom="line">
                  <wp:align>top</wp:align>
                </wp:positionV>
                <wp:extent cx="228600" cy="350520"/>
                <wp:effectExtent l="0" t="0" r="0" b="0"/>
                <wp:wrapSquare wrapText="right"/>
                <wp:docPr id="149" name="Frame1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annually and recommending, for Board approval, a succession plan in respect of the CEO;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61">
                <wp:simplePos x="0" y="0"/>
                <wp:positionH relativeFrom="column">
                  <wp:align>left</wp:align>
                </wp:positionH>
                <wp:positionV relativeFrom="line">
                  <wp:align>top</wp:align>
                </wp:positionV>
                <wp:extent cx="228600" cy="350520"/>
                <wp:effectExtent l="0" t="0" r="0" b="0"/>
                <wp:wrapSquare wrapText="right"/>
                <wp:docPr id="150" name="Frame1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overseeing the Company’s material ESG matters, unless specifically delegated to another committee.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62">
                <wp:simplePos x="0" y="0"/>
                <wp:positionH relativeFrom="column">
                  <wp:align>left</wp:align>
                </wp:positionH>
                <wp:positionV relativeFrom="line">
                  <wp:align>top</wp:align>
                </wp:positionV>
                <wp:extent cx="228600" cy="350520"/>
                <wp:effectExtent l="0" t="0" r="0" b="0"/>
                <wp:wrapSquare wrapText="right"/>
                <wp:docPr id="151" name="Frame1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Pursuant to their charters, each committee has the authority, at the Company’s expense, to retain professional advisors, including legal, accounting, or other consultants, to advise it in connection with the exercise of its duties and responsibilities.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2" descr=""/>
                          <pic:cNvPicPr>
                            <a:picLocks noChangeAspect="1" noChangeArrowheads="1"/>
                          </pic:cNvPicPr>
                        </pic:nvPicPr>
                        <pic:blipFill>
                          <a:blip r:embed="rId4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GAO1"/>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3" descr=""/>
                    <pic:cNvPicPr>
                      <a:picLocks noChangeAspect="1" noChangeArrowheads="1"/>
                    </pic:cNvPicPr>
                  </pic:nvPicPr>
                  <pic:blipFill>
                    <a:blip r:embed="rId4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961" w:type="dxa"/>
        <w:jc w:val="left"/>
        <w:tblInd w:w="1173" w:type="dxa"/>
        <w:tblLayout w:type="fixed"/>
        <w:tblCellMar>
          <w:top w:w="0" w:type="dxa"/>
          <w:left w:w="0" w:type="dxa"/>
          <w:bottom w:w="0" w:type="dxa"/>
          <w:right w:w="0" w:type="dxa"/>
        </w:tblCellMar>
      </w:tblPr>
      <w:tblGrid>
        <w:gridCol w:w="124"/>
        <w:gridCol w:w="3683"/>
        <w:gridCol w:w="154"/>
      </w:tblGrid>
      <w:tr>
        <w:trPr/>
        <w:tc>
          <w:tcPr>
            <w:tcW w:w="124" w:type="dxa"/>
            <w:tcBorders/>
            <w:shd w:fill="702076" w:val="clear"/>
            <w:vAlign w:val="center"/>
          </w:tcPr>
          <w:p>
            <w:pPr>
              <w:pStyle w:val="TableContents"/>
              <w:bidi w:val="0"/>
              <w:spacing w:before="0" w:after="283"/>
              <w:jc w:val="left"/>
              <w:rPr/>
            </w:pPr>
            <w:r>
              <w:rPr/>
              <w:t>​</w:t>
            </w:r>
          </w:p>
        </w:tc>
        <w:tc>
          <w:tcPr>
            <w:tcW w:w="3683" w:type="dxa"/>
            <w:tcBorders/>
            <w:shd w:fill="702076" w:val="clear"/>
            <w:vAlign w:val="center"/>
          </w:tcPr>
          <w:p>
            <w:pPr>
              <w:pStyle w:val="TableContents"/>
              <w:bidi w:val="0"/>
              <w:spacing w:lineRule="atLeast" w:line="240" w:before="0" w:after="0"/>
              <w:jc w:val="center"/>
              <w:rPr/>
            </w:pPr>
            <w:r>
              <w:rPr>
                <w:spacing w:val="14"/>
              </w:rPr>
              <w:t>Board Governance and Oversight</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Succession Planning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Succession planning is a top priority for the Board and LivaNova’s management team. The Board and management proactively address succession planning with the objective of maintaining a pipeline of qualified leaders for the immediate future and the long term. The Board has delegated the responsibility for CEO succession planning to the NCG Committee and non-CEO executive officer succession planning to the CHCM Committee. The NCG Committee’s succession planning process is conducted in the context of the challenges and opportunities facing LivaNova, the skills and expertise likely to be required by the Company in the future, and the goal of achieving the benefits of diversity in its widest sense. This process enables the Board to address both longer-term, planned transitions, such as retirements or role changes, as well as shorter-term, unexpected openings. Furthermore, the CHCM Committee develops and reviews with the Board plans for succession and talent development of the Company’s non-CEO executive officers. Similar processes to those described above, led by the relevant management team, occur within each of LivaNova’s business units and functions.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example, Mr. Makatsaria, who was appointed as CEO and to the Board effective March 2024, was recommended to the NCG Committee by a third-party search firm, which was engaged by the NCG Committee to assist in the identification and recruitment of a new CEO. After reviewing Mr. Makatsaria’s qualifications and discussing his potential appointment at several meetings, the NCG Committee voted unanimously to recommend Mr. Makatsaria for the position of CEO and as a director of the Board based on his extensive global leadership experience and his considerable background in building and driving innovation within the medical technology space.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relation to succession planning, in 2024, the NCG and CHCM Committees also agreed to add two additional joint meetings to their yearly schedule: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first meeting is a joint session in advance of the NCG Committee’s session on CEO succession planning. The purpose of this additional meeting is to allow for alignment and discussion between the two committees prior to the formal CEO succession planning review, particularly given the CHCM Committee’s role with respect to non-CEO executive officer succession planning.</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463">
                <wp:simplePos x="0" y="0"/>
                <wp:positionH relativeFrom="column">
                  <wp:align>left</wp:align>
                </wp:positionH>
                <wp:positionV relativeFrom="line">
                  <wp:align>top</wp:align>
                </wp:positionV>
                <wp:extent cx="228600" cy="350520"/>
                <wp:effectExtent l="0" t="0" r="0" b="0"/>
                <wp:wrapSquare wrapText="right"/>
                <wp:docPr id="154" name="Frame1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meeting is a joint session with the CEO to review and assess the executive leadership team before the annual compensation discussion.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464">
                <wp:simplePos x="0" y="0"/>
                <wp:positionH relativeFrom="column">
                  <wp:align>left</wp:align>
                </wp:positionH>
                <wp:positionV relativeFrom="line">
                  <wp:align>top</wp:align>
                </wp:positionV>
                <wp:extent cx="228600" cy="350520"/>
                <wp:effectExtent l="0" t="0" r="0" b="0"/>
                <wp:wrapSquare wrapText="right"/>
                <wp:docPr id="155" name="Frame1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8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Independence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of the Board is empowered by its charter to make recommendations regarding all determinations of independence required under Nasdaq rules or other applicable laws and regulations, including but not limited to determinations as to which directors qualify as independent directors, non- employee directors, and “audit committee financial experts” as defined by U.S. securities laws.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Nasdaq listing rules, a majority of the members of LivaNova’s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evaluated all relevant transactions and relationships between each director, and any of their family members, and the Company, management, and the Company’s independent registered public accounting firm. Based on this evaluation, the NCG Committee determined that all the directors, other than Mr. Makatsaria, LivaNova’s CEO, are “independent” as is defined in the Nasdaq listing standards and under U.S. securities laws.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Board has also determined that all members of the AC Committee meet additional, heightened independence criteria applicable to audit committee members under the Nasdaq listing rules and the applicable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4" descr=""/>
                          <pic:cNvPicPr>
                            <a:picLocks noChangeAspect="1" noChangeArrowheads="1"/>
                          </pic:cNvPicPr>
                        </pic:nvPicPr>
                        <pic:blipFill>
                          <a:blip r:embed="rId4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5" descr=""/>
                    <pic:cNvPicPr>
                      <a:picLocks noChangeAspect="1" noChangeArrowheads="1"/>
                    </pic:cNvPicPr>
                  </pic:nvPicPr>
                  <pic:blipFill>
                    <a:blip r:embed="rId4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rules of the SEC. The Board has further determined that all members of the AC Committee are financially literate and qualify as “audit committee financial experts.”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1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Finally, the NCG Committee has determined that all members of the CHCM Committee meet heightened independence criteria applicable to CHCM committee members under the Nasdaq listing rules and qualify as “non-employee directors” under Rule 16b-3 of the Exchange Act.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9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Evaluation Process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the Company’s Corporate Governance Guidelines and committee charters, the Board conducts an annual self-evaluation to determine whether the Board and its committees are functioning effectively, a process which is overseen by the NCG Committee. With respect to the 2024 self-assessment process, each member of the Board completed a comprehensive questionnaire at the end of 2024 to assess the overall performance and effectiveness of the Board, its respective committees, and its chairs and to identify any key themes and potential opportunities for continuous improvement. The results of the questionnaire were aggregated by an independent third-party facilitator with experience in board evaluations, who also conducted one-on-one interviews with each member of the Board. Thereafter, the results were shared and discussed among the third-party facilitator and full Board. In addition, the Chair of the Board held sessions with each of the three committees to review and discuss their respective results. The self-evaluation process provides the Board and its committees with actionable feedback to enhance their respective performance and effectiveness.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9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Role in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has primary responsibility for oversight of enterprise risk management, with the standing committees supporting the Board by overseeing risks related to their respective areas of oversight. Each of LivaNova’s Board committees has historically focused, and continues to focus, on specific risks within their respective areas of responsibility.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uses its committees to assist in its risk oversight responsibility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Audit and Compliance Committee</w:t>
      </w:r>
      <w:r>
        <w:rPr>
          <w:rFonts w:ascii="Tahoma;Geneva;sans-serif" w:hAnsi="Tahoma;Geneva;sans-serif"/>
          <w:b w:val="false"/>
          <w:i w:val="false"/>
          <w:caps w:val="false"/>
          <w:smallCaps w:val="false"/>
          <w:color w:val="000000"/>
          <w:spacing w:val="2"/>
          <w:sz w:val="20"/>
        </w:rPr>
        <w:t xml:space="preserve"> Oversees the integrity of the financial reporting of the Company and its compliance with applicable legal and regulatory requirements. It also oversees LivaNova’s internal controls and compliance activities. The AC committee regularly discusses the Company’s major financial and business risk exposures and certain contingent liabilities, and the steps management has undertaken to monitor and control such exposures. The AC committee also has responsibility for the oversight of the management of cybersecurity risks and is regularly briefed by the Company’s Chief Information Security Officer (“CISO”) regarding such risks, as discussed further below.</w:t>
      </w:r>
      <w:r>
        <w:rPr>
          <w:rFonts w:ascii="Tahoma;Geneva;sans-serif" w:hAnsi="Tahoma;Geneva;sans-serif"/>
          <w:b w:val="false"/>
          <w:i w:val="false"/>
          <w:caps w:val="false"/>
          <w:smallCaps w:val="false"/>
          <w:color w:val="000000"/>
          <w:sz w:val="20"/>
        </w:rPr>
        <w:t xml:space="preserve"> </w:t>
      </w:r>
      <w:r>
        <mc:AlternateContent>
          <mc:Choice Requires="wps">
            <w:drawing>
              <wp:anchor behindDoc="0" distT="81280" distB="0" distL="228600" distR="0" simplePos="0" locked="0" layoutInCell="1" allowOverlap="1" relativeHeight="465">
                <wp:simplePos x="0" y="0"/>
                <wp:positionH relativeFrom="column">
                  <wp:align>left</wp:align>
                </wp:positionH>
                <wp:positionV relativeFrom="line">
                  <wp:align>top</wp:align>
                </wp:positionV>
                <wp:extent cx="228600" cy="350520"/>
                <wp:effectExtent l="0" t="0" r="0" b="0"/>
                <wp:wrapSquare wrapText="right"/>
                <wp:docPr id="158" name="Frame1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4pt;mso-wrap-distance-bottom:0pt;margin-top:6.4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Compensation and Human Capital Management Committee</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Oversees risks relating to LivaNova’s compensation policies and practices and other human capital management policies and strategies.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81280" distB="0" distL="228600" distR="0" simplePos="0" locked="0" layoutInCell="1" allowOverlap="1" relativeHeight="466">
                <wp:simplePos x="0" y="0"/>
                <wp:positionH relativeFrom="column">
                  <wp:align>left</wp:align>
                </wp:positionH>
                <wp:positionV relativeFrom="line">
                  <wp:align>top</wp:align>
                </wp:positionV>
                <wp:extent cx="228600" cy="350520"/>
                <wp:effectExtent l="0" t="0" r="0" b="0"/>
                <wp:wrapSquare wrapText="right"/>
                <wp:docPr id="159" name="Frame1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4pt;mso-wrap-distance-bottom:0pt;margin-top:6.4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Nominating and Corporate Governance Committee</w:t>
      </w:r>
      <w:r>
        <w:rPr>
          <w:rFonts w:ascii="Tahoma;Geneva;sans-serif" w:hAnsi="Tahoma;Geneva;sans-serif"/>
          <w:b w:val="false"/>
          <w:i w:val="false"/>
          <w:caps w:val="false"/>
          <w:smallCaps w:val="false"/>
          <w:color w:val="000000"/>
          <w:spacing w:val="2"/>
          <w:sz w:val="20"/>
        </w:rPr>
        <w:t xml:space="preserve"> Oversees risks relating to succession planning and governance structures in addition to ESG issues. The NCG committee, as well as the full Board, receives quarterly updates on the Company’s ESG efforts in addition to related industry trends.</w:t>
      </w:r>
      <w:r>
        <w:rPr>
          <w:rFonts w:ascii="Tahoma;Geneva;sans-serif" w:hAnsi="Tahoma;Geneva;sans-serif"/>
          <w:b w:val="false"/>
          <w:i w:val="false"/>
          <w:caps w:val="false"/>
          <w:smallCaps w:val="false"/>
          <w:color w:val="000000"/>
          <w:sz w:val="20"/>
        </w:rPr>
        <w:t xml:space="preserve"> </w:t>
      </w:r>
      <w:r>
        <mc:AlternateContent>
          <mc:Choice Requires="wps">
            <w:drawing>
              <wp:anchor behindDoc="0" distT="81280" distB="0" distL="228600" distR="0" simplePos="0" locked="0" layoutInCell="1" allowOverlap="1" relativeHeight="467">
                <wp:simplePos x="0" y="0"/>
                <wp:positionH relativeFrom="column">
                  <wp:align>left</wp:align>
                </wp:positionH>
                <wp:positionV relativeFrom="line">
                  <wp:align>top</wp:align>
                </wp:positionV>
                <wp:extent cx="228600" cy="350520"/>
                <wp:effectExtent l="0" t="0" r="0" b="0"/>
                <wp:wrapSquare wrapText="right"/>
                <wp:docPr id="160" name="Frame1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4pt;mso-wrap-distance-bottom:0pt;margin-top:6.4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Management oversees the assessment, monitoring, and mitigation of risks that arise in the course of LivaNova’s business. As part of the Company’s enterprise risk management procedures, LivaNova consults with subject matter experts and outside consultants, as appropriate, to review and optimize the Company’s processes. Every quarter a risk register assessment is compiled from various functions throughout the organization. This assessment examines short and intermediate term risks, with higher risk ratings for more immediate, severe risks, applying countermeasures with more frequent deadlines and assessments of efficacy. The top risks facing the Company are then reviewed and considered during the Company’s executive leadership team’s quarterly meetings. The CFO, CLO, CAO, CCO, CISO, and Internal Audit team are key personnel responsible to the Board and/or the AC Committee for the planning, assessment, and reporting of risks. The Board is regularly kept apprised of these matters in the context of strategic planning discussions, business and financial updates, and general Company and functional updates over the course of the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6" descr=""/>
                          <pic:cNvPicPr>
                            <a:picLocks noChangeAspect="1" noChangeArrowheads="1"/>
                          </pic:cNvPicPr>
                        </pic:nvPicPr>
                        <pic:blipFill>
                          <a:blip r:embed="rId4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7" descr=""/>
                    <pic:cNvPicPr>
                      <a:picLocks noChangeAspect="1" noChangeArrowheads="1"/>
                    </pic:cNvPicPr>
                  </pic:nvPicPr>
                  <pic:blipFill>
                    <a:blip r:embed="rId4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Compensation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executive compensation program is designed to motivate the Company’s executive officers and reward them for their performance during the fiscal year and over the long term, and for taking appropriate risks toward achieving LivaNova’s long-term financial and strategic growth objectives. The following characteristics of LivaNova’s executive compensation program are designed to reduce the possibility of the Company’s executive officers, either individually or as a group, making excessively risky business decisions that could maximize short-term results at the expense of long-term value: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Balanced Mix of Pay Components.</w:t>
      </w:r>
      <w:r>
        <w:rPr>
          <w:rFonts w:ascii="Tahoma;Geneva;sans-serif" w:hAnsi="Tahoma;Geneva;sans-serif"/>
          <w:b w:val="false"/>
          <w:i w:val="false"/>
          <w:caps w:val="false"/>
          <w:smallCaps w:val="false"/>
          <w:color w:val="000000"/>
          <w:spacing w:val="2"/>
          <w:sz w:val="20"/>
        </w:rPr>
        <w:t xml:space="preserve"> The target compensation mix is not overly weighted toward annual incentive awards and represents a balance of base salary, annual short-term incentive compensation in the form of a cash bonus, and long-term equity-based compensation vesting over multiple years or cliff-vested based on long-term performance objectives;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468">
                <wp:simplePos x="0" y="0"/>
                <wp:positionH relativeFrom="column">
                  <wp:align>left</wp:align>
                </wp:positionH>
                <wp:positionV relativeFrom="line">
                  <wp:align>top</wp:align>
                </wp:positionV>
                <wp:extent cx="228600" cy="350520"/>
                <wp:effectExtent l="0" t="0" r="0" b="0"/>
                <wp:wrapSquare wrapText="right"/>
                <wp:docPr id="163" name="Frame1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Bracketed Incentive Awards.</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Annual cash bonuses for LivaNova’s CEO can be as little as 0%, but no more than 200% of base salary, per the Company’s remuneration policy;</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469">
                <wp:simplePos x="0" y="0"/>
                <wp:positionH relativeFrom="column">
                  <wp:align>left</wp:align>
                </wp:positionH>
                <wp:positionV relativeFrom="line">
                  <wp:align>top</wp:align>
                </wp:positionV>
                <wp:extent cx="228600" cy="350520"/>
                <wp:effectExtent l="0" t="0" r="0" b="0"/>
                <wp:wrapSquare wrapText="right"/>
                <wp:docPr id="164" name="Frame1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Stock Ownership Guidelines.</w:t>
      </w:r>
      <w:r>
        <w:rPr>
          <w:rFonts w:ascii="Tahoma;Geneva;sans-serif" w:hAnsi="Tahoma;Geneva;sans-serif"/>
          <w:b w:val="false"/>
          <w:i w:val="false"/>
          <w:caps w:val="false"/>
          <w:smallCaps w:val="false"/>
          <w:color w:val="000000"/>
          <w:spacing w:val="2"/>
          <w:sz w:val="20"/>
        </w:rPr>
        <w:t xml:space="preserve"> LivaNova’s executive officers and directors are subject to stock ownership guidelines which set a minimum amount of equity ownership (five times the annual base salary for the CEO, three times the annual base salary for the other executives, and five times the annual cash retainer for all non-executive directors); and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470">
                <wp:simplePos x="0" y="0"/>
                <wp:positionH relativeFrom="column">
                  <wp:align>left</wp:align>
                </wp:positionH>
                <wp:positionV relativeFrom="line">
                  <wp:align>top</wp:align>
                </wp:positionV>
                <wp:extent cx="228600" cy="350520"/>
                <wp:effectExtent l="0" t="0" r="0" b="0"/>
                <wp:wrapSquare wrapText="right"/>
                <wp:docPr id="165" name="Frame1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Performance Assessments.</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Compliance and ethical behaviors are integral factors considered in all performance assessments.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471">
                <wp:simplePos x="0" y="0"/>
                <wp:positionH relativeFrom="column">
                  <wp:align>left</wp:align>
                </wp:positionH>
                <wp:positionV relativeFrom="line">
                  <wp:align>top</wp:align>
                </wp:positionV>
                <wp:extent cx="228600" cy="350520"/>
                <wp:effectExtent l="0" t="0" r="0" b="0"/>
                <wp:wrapSquare wrapText="right"/>
                <wp:docPr id="166" name="Frame1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94"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closely examines its broader compensation policies and actual compensation practices for all employees, to assess whether those compensation policies or practices create unreasonable risks. Management conducts the initial risk assessment before presenting potential plans to the CHCM Committee for its review, and, in the case of executive officers, its approval. The CHCM Committee believes that the mix and design of the elements of the Company’s compensation program are appropriate and incentivize executive officers and key employees to establish and achieve goals that benefit the Company and its shareholders over the long term.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Cybersecurity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enterprise risk management process consists of risk identification, evaluation, control and monitoring, and documentation. The LivaNova Board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 CISO, Chief Information Officer, Chief Privacy Officer, and their respective teams to review the cybersecurity risk landscape.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part of LivaNova’s cyber resiliency strategy and in an effort to mitigate potential cybersecurity risks, the Company employs various measures, including employee training, systems monitoring and testing, maintenance of protective systems, and contingency plans. In addition, the CISO manages a structured cyber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itself for appropriate business continuity and disaster recovery planning, with test scenarios that include simulations and penetration tests.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LivaNova routinely engages with third-party service providers to conduct evaluations of its security controls, whether through penetration testing or consulting on best practices to address new challenges.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materially adversely impact the Company. The Company assesses third-party cybersecurity controls through its information security program and includes security and privacy addendums to its contracts where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6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8" descr=""/>
                          <pic:cNvPicPr>
                            <a:picLocks noChangeAspect="1" noChangeArrowheads="1"/>
                          </pic:cNvPicPr>
                        </pic:nvPicPr>
                        <pic:blipFill>
                          <a:blip r:embed="rId4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6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9" descr=""/>
                    <pic:cNvPicPr>
                      <a:picLocks noChangeAspect="1" noChangeArrowheads="1"/>
                    </pic:cNvPicPr>
                  </pic:nvPicPr>
                  <pic:blipFill>
                    <a:blip r:embed="rId5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codified in its charter, the AC Committee is responsible for reviewing the processes by which cybersecurity risks are managed and reporting any issues that arise out of such reviews to the Board. The CISO provides key security metrics to the AC Committee on a quarterly basis, and directly to the chair of the AC Committee on a case-by-case basis, as needed, at any time during the quarter. The AC Committee reviews these reports, which include, among other things, external events impacting the Company, security incidents, user training statistics, and evaluation of user readiness to address cyber incidents. Notwithstanding the Company’s approach to cybersecurity, the Company may not be successful in preventing or mitigating a cybersecurity incident that could have a material adverse effect on the Company. While LivaNova maintains cybersecurity insurance, the costs related to cybersecurity threats or disruptions may not be fully insured. For more information regarding the Company’s Cybersecurity Risk Management, Strategy and Cyber Governance please see “Item 1C. Cybersecurity” in LivaNova’s U.S. Annual Report on Form 10-K for the year ended December 31,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Compensation and Human Capital Management Committee Interlocks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 member of the CHCM Committee is now, or at any time has been, employed by or served as an executive officer of the Company or any of its subsidiaries, or has had any substantial business dealings with the Company or any of its subsidiaries. None of LivaNova’s executive officers currently serves or served in the year ended December 31, 2024, on the board of directors or compensation committee of another company at any time during which an executive officer of such other company served on LivaNova’s Board or CHCM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Insider Trading Policy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has an Insider Trading Policy that governs the purchase, sale, and/or other disposition of the Company’s securities by directors, officers, employees, consultants, and contractors of the Company. LivaNova believes that the Insider Trading Policy is reasonably designed to promote compliance with insider trading laws, rules and regulations, and the exchange listing standards applicable to the Company. A copy of the Insider Trading Policy was filed as Exhibit 19 to the Company’s Annual Report on Form 10-K for the year ended December 31,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Prohibitions on Hedging and Pledging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Additionally, 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 The Company’s Insider Trading Policy also prohibits the pledging of any Company securities by the Company’s employees, directors, and their family members. Pledging is an activity in which the borrower of funds uses securities as a form of collateral to secure the funds it borrows or takes from the lender.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Related Party Transactions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recognizes that related party transactions present a heightened risk of conflicts of interest or the perception of such a conflict. Under the Company’s written Related Party Transaction Policy, related party transactions, including those covered by Item 404(a) of Regulation S-K, may be consummated, or may continue only if the AC Committee approves or ratifies the transaction in accordance with the guidelines set forth in the aforementioned policy.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the Company’s Related Party Transaction Policy, the CLO and Company Secretary or their designee(s) (each, a “Responsible Officer”) is expected to report each qualifying related party transaction, together with a summary of the material facts, to the AC Committee for consideration at its next regularly scheduled meeting. The AC Committee is then expected to conduct, to the extent reasonably practicable, prior review of the relevant facts and circumstances and either approve or disapprove the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determining whether to approve or, if necessary, ratify a qualifying related party transaction, the AC Committee takes into account, among other factors it deems appropriate: (1) whether the transaction was undertaken in the ordinary course of business of the Company, (2) whether the transaction was initiated by the Company, a subsidiary, or the related party, (3) whether the transaction with the related party is proposed to be, or was,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6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0" descr=""/>
                          <pic:cNvPicPr>
                            <a:picLocks noChangeAspect="1" noChangeArrowheads="1"/>
                          </pic:cNvPicPr>
                        </pic:nvPicPr>
                        <pic:blipFill>
                          <a:blip r:embed="rId5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1" descr=""/>
                    <pic:cNvPicPr>
                      <a:picLocks noChangeAspect="1" noChangeArrowheads="1"/>
                    </pic:cNvPicPr>
                  </pic:nvPicPr>
                  <pic:blipFill>
                    <a:blip r:embed="rId5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entered into on terms no less favorable to the Company than terms that could have been reached with an unrelated third-party, (4) the purpose and potential benefits to the Company of the related party transaction, (5) the approximate dollar value of the transaction, particularly as it relates to the related party, (6) the related party’s interest in the transaction and (7) any other information regarding the transaction or the related party that would be material to investors in light of the circumstances of the particular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in connection with any approval or ratification of a qualifying related party transaction involving a non-executive director or nominee for director, the AC Committee should consider whether such transaction would compromise such director’s status as: (1) an independent director under the rules of the NASDAQ Stock Market LLC, (2) a “non-employee director” under Rule 16b-3 under the Securities Exchange Act of 1934, as amended (the “Exchange Act”), if such non-executive director serves on the CHCM Committee of the Board of Directors or (3) an independent director under Rule 10A-3 of the Exchange Act, if such non-executive director serves on the AC Committee. The AC Committee may approve or ratify the transaction only if it determines in good faith that, under all the circumstances, the transaction is in the best interests of the Company and its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Responsible Officer determines that it is impractical or undesirable to wait until the next AC Committee meeting to evaluate the related party transaction, the chair of the AC Committee may review and approve the transaction in accordance with the procedures set forth in the policy. In such cases, any such approval (and the rationale for such approval) must be reported to the AC Committee at its next regularly scheduled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Company becomes aware of a related party transaction that has not been approved under the policy, the AC Committee must review the transaction and, if the AC Committee determines it is appropriate, ratify it at its next regularly scheduled meeting. In any case where the AC Committee determines not to ratify the transaction that has been commenced without approval, it may direct additional actions including, but not limited to, immediate discontinuation or rescission of the transaction, or modification of the transaction to make it acceptable for ratification.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fiscal year ended December 31, 2024, there were no related party transactions required to be disclosed pursuant to Item 404(a) of Regulation S-K, and no such transactions are currently proposed.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Availability of Governance Documents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Corporate Governance Guidelines, charters of the committees of the Board, and Code of Ethics and Business Conduct are available on LivaNova’s website and in print to any shareholder upon request. To access these documents from the Company’s website, go to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www.livanova.com/en-us/about-us/corporate-governance</w:t>
      </w:r>
      <w:r>
        <w:rPr>
          <w:rFonts w:ascii="Tahoma;Geneva;sans-serif" w:hAnsi="Tahoma;Geneva;sans-serif"/>
          <w:b w:val="false"/>
          <w:i w:val="false"/>
          <w:caps w:val="false"/>
          <w:smallCaps w:val="false"/>
          <w:color w:val="000000"/>
          <w:spacing w:val="2"/>
          <w:sz w:val="20"/>
        </w:rPr>
        <w:t>. Requests for a printed copy should be addressed to LivaNova PLC, 20 Eastbourne Terrace, London, England W2 6LG, Attention: Company Secretary.</w:t>
      </w:r>
      <w:r>
        <w:rPr>
          <w:rFonts w:ascii="Tahoma;Geneva;sans-serif" w:hAnsi="Tahoma;Geneva;sans-serif"/>
          <w:b w:val="false"/>
          <w:i w:val="false"/>
          <w:caps w:val="false"/>
          <w:smallCaps w:val="false"/>
          <w:color w:val="000000"/>
          <w:spacing w:val="4"/>
          <w:sz w:val="20"/>
        </w:rPr>
        <w:t xml:space="preserve"> </w:t>
      </w:r>
    </w:p>
    <w:tbl>
      <w:tblPr>
        <w:tblW w:w="1901" w:type="dxa"/>
        <w:jc w:val="left"/>
        <w:tblInd w:w="1173" w:type="dxa"/>
        <w:tblLayout w:type="fixed"/>
        <w:tblCellMar>
          <w:top w:w="0" w:type="dxa"/>
          <w:left w:w="0" w:type="dxa"/>
          <w:bottom w:w="0" w:type="dxa"/>
          <w:right w:w="0" w:type="dxa"/>
        </w:tblCellMar>
      </w:tblPr>
      <w:tblGrid>
        <w:gridCol w:w="124"/>
        <w:gridCol w:w="1623"/>
        <w:gridCol w:w="154"/>
      </w:tblGrid>
      <w:tr>
        <w:trPr/>
        <w:tc>
          <w:tcPr>
            <w:tcW w:w="124" w:type="dxa"/>
            <w:tcBorders/>
            <w:shd w:fill="702076" w:val="clear"/>
            <w:vAlign w:val="center"/>
          </w:tcPr>
          <w:p>
            <w:pPr>
              <w:pStyle w:val="TableContents"/>
              <w:bidi w:val="0"/>
              <w:spacing w:before="0" w:after="283"/>
              <w:jc w:val="left"/>
              <w:rPr/>
            </w:pPr>
            <w:r>
              <w:rPr/>
              <w:t>​</w:t>
            </w:r>
          </w:p>
        </w:tc>
        <w:tc>
          <w:tcPr>
            <w:tcW w:w="1623" w:type="dxa"/>
            <w:tcBorders/>
            <w:shd w:fill="702076" w:val="clear"/>
            <w:vAlign w:val="center"/>
          </w:tcPr>
          <w:p>
            <w:pPr>
              <w:pStyle w:val="TableContents"/>
              <w:bidi w:val="0"/>
              <w:spacing w:lineRule="atLeast" w:line="240" w:before="0" w:after="0"/>
              <w:jc w:val="center"/>
              <w:rPr/>
            </w:pPr>
            <w:r>
              <w:rPr>
                <w:spacing w:val="14"/>
              </w:rPr>
              <w:t>Sustainability</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Through the NCG Committee, the Board oversees the Company’s sustainability efforts, which are led by the Senior Director of Sustainability. The Company’s sustainability governance structure includes regular executive team engagement with a Steering Committee (sponsored by the CFO) and the cross-functional Environmental, Social, and Governance (“ESG”) Task Force. The ESG Task Force is comprised of vice presidents and key stakeholders who lead ESG focus areas or whose work is informed by ESG.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global stakeholder team also monitors relevant regulations in global markets to enable LivaNova to meet or surpass ESG and Sustainability performance expectations and requirements.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has established a sustainability strategy delivery program with global coordination to respond to regulatory requirements and commercial needs. LivaNova’s sustainability commitment and associated actions to support the Company’s focus areas — People, Products, and Planet — are integrated into the Company’s strategic plans for business continuity and are foundations upon which to grow its climate risk resilience to create long-term stakeholder value.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2" descr=""/>
                          <pic:cNvPicPr>
                            <a:picLocks noChangeAspect="1" noChangeArrowheads="1"/>
                          </pic:cNvPicPr>
                        </pic:nvPicPr>
                        <pic:blipFill>
                          <a:blip r:embed="rId5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21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HCM1"/>
      <w:bookmarkEnd w:id="11"/>
      <w:r>
        <w:rPr>
          <w:rFonts w:ascii="calibri;arial;sans-serif" w:hAnsi="calibri;arial;sans-serif"/>
          <w:b w:val="false"/>
          <w:i w:val="false"/>
          <w:caps w:val="false"/>
          <w:smallCaps w:val="false"/>
          <w:color w:val="000000"/>
          <w:sz w:val="16"/>
        </w:rPr>
        <w:t>​</w:t>
      </w:r>
      <w:bookmarkStart w:id="12" w:name="tVAPE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3" descr=""/>
                    <pic:cNvPicPr>
                      <a:picLocks noChangeAspect="1" noChangeArrowheads="1"/>
                    </pic:cNvPicPr>
                  </pic:nvPicPr>
                  <pic:blipFill>
                    <a:blip r:embed="rId5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April 2025, LivaNova published its second Climate-related Financial Disclosures, which is incorporated into LivaNova’s 2024 UK Annual Report. Utilizing climate scenario modeling, the Company assessed its exposure to climate-related risks and opportunities, including likelihood and related impacts, to evaluate the resilience of LivaNova’s business model and its strategy to mitigate these risks. For additional information, please refer to the Company’s 2024 UK Annual Report which is available on the Company’s Investor Relations page on the Company’s website.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LivaNova annually updates and publishes the Company’s Board-approved Carbon Reduction Plan, which includes the Company’s 2050 net zero commitment. LivaNova plans to continue exploring initiatives throughout 2025 in furtherance of that plan. An updated Carbon Reduction Plan was approved by the Board in April 2025 and is currently published on LivaNova’s sustainability website under “Planet”.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Human Capital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has approximately 2,900 employees worldwide, representing more than 70 nationalities and located in 31 countries. These employees are crucial in achieving the Company’s mission to provide hope to patients and their families. LivaNova encourages its employees to live by LivaNova’s five core values: patients first, meaningful innovation, act with agility, commitment to quality and integrity, and collaborative culture. The Company measures its success by these values, using them as a foundation for achieving organizational growth and excellence.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Maintaining a culture that embodies LivaNova’s values and mission is of the utmost importance. The Company aims to foster a culture of continuous learning wherein open and direct employee communication is valued. The Board’s committees each oversee elements of the Company’s culture associated with their area of responsibility: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oversees the Company’s material environmental, social, and governance matters. Additionally, the NCG Committee annually reviews the CEO succession plan.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472">
                <wp:simplePos x="0" y="0"/>
                <wp:positionH relativeFrom="column">
                  <wp:align>left</wp:align>
                </wp:positionH>
                <wp:positionV relativeFrom="line">
                  <wp:align>top</wp:align>
                </wp:positionV>
                <wp:extent cx="228600" cy="350520"/>
                <wp:effectExtent l="0" t="0" r="0" b="0"/>
                <wp:wrapSquare wrapText="right"/>
                <wp:docPr id="173" name="Frame1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2023, the CHCM Committee modified its name to include human capital management and updated its charter to include the CHCM committee’s oversight of human capital management within the Company. The Committee oversees policies and strategies related to human capital management and periodically reviews risks, trends and key metrics relating to human capital management, including with respect to employee engagement, pay equity, workplace culture, talent development and pipeline, and workforce composition and compensation. The CHCM Committee also reviews and approves equity-based plans and compensation arrangements, including performance goals, for the Company’s executive officers. Furthermore, the CHCM reviews and recommends for approval any changes to the Company’s director compensation program.</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473">
                <wp:simplePos x="0" y="0"/>
                <wp:positionH relativeFrom="column">
                  <wp:align>left</wp:align>
                </wp:positionH>
                <wp:positionV relativeFrom="line">
                  <wp:align>top</wp:align>
                </wp:positionV>
                <wp:extent cx="228600" cy="350520"/>
                <wp:effectExtent l="0" t="0" r="0" b="0"/>
                <wp:wrapSquare wrapText="right"/>
                <wp:docPr id="174" name="Frame1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reviews LivaNova’s ethics and compliance program, including related policies, procedures, and programs designed to promote and monitor legal, ethical, and regulatory compliance. In addition, the AC Committee regularly receives updates on the Company’s culture of integrity and the tone set by LivaNova’s leadership.</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474">
                <wp:simplePos x="0" y="0"/>
                <wp:positionH relativeFrom="column">
                  <wp:align>left</wp:align>
                </wp:positionH>
                <wp:positionV relativeFrom="line">
                  <wp:align>top</wp:align>
                </wp:positionV>
                <wp:extent cx="228600" cy="350520"/>
                <wp:effectExtent l="0" t="0" r="0" b="0"/>
                <wp:wrapSquare wrapText="right"/>
                <wp:docPr id="175" name="Frame1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to the Board committees’ oversight over the Company’s culture, the full Board also oversees elements of LivaNova’s culture. For example, the Company regularly conducts employee engagement surveys, called LivaNova4You, to measure overall employment engagement and satisfaction and to provide actionable data regarding potential opportunities for improvement. The data is reviewed by the Board and the executive leadership team who are both committed to improving employee satisfaction in relation to the culture of the Company. Furthermore, the Board regularly receives “talent” updates from the Chief Human Resources Officer at its quarterly meetings.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Valuing People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 recognizes the value in fostering an inclusive work environment and strives to provide a workplace free of harassment or discrimination. LivaNova’s strategy for fostering diversity begins with creating new ways to identify extraordinary talent. Examples of the Company’s efforts include networking with universities, posting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4" descr=""/>
                          <pic:cNvPicPr>
                            <a:picLocks noChangeAspect="1" noChangeArrowheads="1"/>
                          </pic:cNvPicPr>
                        </pic:nvPicPr>
                        <pic:blipFill>
                          <a:blip r:embed="rId5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OEA1"/>
      <w:bookmarkEnd w:id="13"/>
      <w:r>
        <w:rPr>
          <w:rFonts w:ascii="calibri;arial;sans-serif" w:hAnsi="calibri;arial;sans-serif"/>
          <w:b w:val="false"/>
          <w:i w:val="false"/>
          <w:caps w:val="false"/>
          <w:smallCaps w:val="false"/>
          <w:color w:val="000000"/>
          <w:sz w:val="16"/>
        </w:rPr>
        <w:t>​</w:t>
      </w:r>
      <w:bookmarkStart w:id="14" w:name="tSHE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5" descr=""/>
                    <pic:cNvPicPr>
                      <a:picLocks noChangeAspect="1" noChangeArrowheads="1"/>
                    </pic:cNvPicPr>
                  </pic:nvPicPr>
                  <pic:blipFill>
                    <a:blip r:embed="rId5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job listings on diverse sites, ensuring diversity-focused interview slates and panels, and training interviewers on how to conduct a fair, unbiased interview process.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also supports internal diversity affinity initiatives, including the Multi-Generation Network and Women in Sales, where employees convene to discuss topics that unite and celebrate the strength of diversity in the workplace. In addition,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others across the organization.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Company’s senior leadership team monitors and reviews available information regarding LivaNova’s diversity profile periodically over the course of the year. The CHCM Committee receives similar reports regularly. In relation to director onboarding, LivaNova’s Corporate Governance Guidelines require that Board candidates bring diversified attributes to the Board, which encompass gender, race, ethnicity, geography, professional experience, national origin, sexual orientation, life experience, skills, and tenure, among others. In addition to having diversity highlighted generally as a key criterion for consideration in the selection of new directors, pursuant to its charter, the NCG Committee must include at least one woman and at least one member of an underrepresented minority in every slate of potential nominees.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Code of Ethics and Business Conduct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Code of Ethics and Business Conduct (the “Code”) applies to all directors, officers, and employees of the Company. The Code is intended to enhance understanding of the Company’s standards of ethical business practices and values, provide clarity as to how to address ethical issues that may arise, guide interactions with patients and healthcare professionals, and provide information surrounding LivaNova’s marketing and promotional practices. The Code is designed to promote honest and ethical conduct, including the ethical handling of actual or apparent conflicts; full, fair, accurate, timely and understandable disclosure in reports and documents that the Company files with, or submits to, the SEC and in other public communications made by the Company; compliance with applicable governmental laws, rules, and regulations; the prompt internal reporting of violations of the Code; and accountability for adherence to the Code, while deterring wrongdoing. A copy of the Code is available on LivaNova’s website at </w:t>
      </w:r>
    </w:p>
    <w:p>
      <w:pPr>
        <w:pStyle w:val="TextBody"/>
        <w:bidi w:val="0"/>
        <w:spacing w:lineRule="atLeast" w:line="230" w:before="38" w:after="283"/>
        <w:jc w:val="both"/>
        <w:rPr>
          <w:rFonts w:ascii="Arial Narrow;Arial;Tahoma;Geneva;sans-serif" w:hAnsi="Arial Narrow;Arial;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www.livanova.com/en-us/about-us/corporate-governance</w:t>
      </w:r>
      <w:r>
        <w:rPr>
          <w:rFonts w:ascii="Tahoma;Geneva;sans-serif" w:hAnsi="Tahoma;Geneva;sans-serif"/>
          <w:b w:val="false"/>
          <w:i w:val="false"/>
          <w:caps w:val="false"/>
          <w:smallCaps w:val="false"/>
          <w:color w:val="000000"/>
          <w:spacing w:val="2"/>
          <w:sz w:val="20"/>
        </w:rPr>
        <w:t>. Any change to, or waiver from, the Code will be disclosed as required by applicable securities laws, which disclosure may occur on the Company’s website or by filing a Form 8-K.</w:t>
      </w:r>
      <w:r>
        <w:rPr>
          <w:rFonts w:ascii="Arial Narrow;Arial;Tahoma;Geneva;sans-serif" w:hAnsi="Arial Narrow;Arial;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has a Compliance Program, which includes written policies and procedures, training/</w:t>
      </w:r>
      <w:r>
        <w:rPr>
          <w:rFonts w:ascii="Tahoma;Geneva;sans-serif" w:hAnsi="Tahoma;Geneva;sans-serif"/>
          <w:b w:val="false"/>
          <w:i w:val="false"/>
          <w:caps w:val="false"/>
          <w:smallCaps w:val="false"/>
          <w:color w:val="000000"/>
          <w:sz w:val="20"/>
        </w:rPr>
        <w:t>​</w:t>
      </w:r>
      <w:r>
        <w:rPr>
          <w:rFonts w:ascii="Tahoma;Geneva;sans-serif" w:hAnsi="Tahoma;Geneva;sans-serif"/>
          <w:b w:val="false"/>
          <w:i w:val="false"/>
          <w:caps w:val="false"/>
          <w:smallCaps w:val="false"/>
          <w:color w:val="000000"/>
          <w:spacing w:val="2"/>
          <w:sz w:val="20"/>
        </w:rPr>
        <w:t>education, and ongoing monitoring to ensure effective implementation and maintenance of the program across the Company. In addition, the Company has a Third-Party Code of Conduct that embraces the key principles of the International Labour Organization’s fundamental conventions, because the Company believes that its business can only succeed where the rights of all workers in the value chain of the business are protected and respected. The Company also has a Global Employee Privacy Notice with respect to the rights of an individual to protect their personal information and a Global Anti-Discrimination and Anti-Harassment Policy to ensure that all LivaNova colleagues can thrive in an inclusive workplace free from all forms of harassment.</w:t>
      </w:r>
      <w:r>
        <w:rPr>
          <w:rFonts w:ascii="Tahoma;Geneva;sans-serif" w:hAnsi="Tahoma;Geneva;sans-serif"/>
          <w:b w:val="false"/>
          <w:i w:val="false"/>
          <w:caps w:val="false"/>
          <w:smallCaps w:val="false"/>
          <w:color w:val="000000"/>
          <w:spacing w:val="4"/>
          <w:sz w:val="20"/>
        </w:rPr>
        <w:t xml:space="preserve"> </w:t>
      </w:r>
    </w:p>
    <w:tbl>
      <w:tblPr>
        <w:tblW w:w="3095" w:type="dxa"/>
        <w:jc w:val="left"/>
        <w:tblInd w:w="1173" w:type="dxa"/>
        <w:tblLayout w:type="fixed"/>
        <w:tblCellMar>
          <w:top w:w="0" w:type="dxa"/>
          <w:left w:w="0" w:type="dxa"/>
          <w:bottom w:w="0" w:type="dxa"/>
          <w:right w:w="0" w:type="dxa"/>
        </w:tblCellMar>
      </w:tblPr>
      <w:tblGrid>
        <w:gridCol w:w="124"/>
        <w:gridCol w:w="2817"/>
        <w:gridCol w:w="154"/>
      </w:tblGrid>
      <w:tr>
        <w:trPr/>
        <w:tc>
          <w:tcPr>
            <w:tcW w:w="124" w:type="dxa"/>
            <w:tcBorders/>
            <w:shd w:fill="702076" w:val="clear"/>
            <w:vAlign w:val="center"/>
          </w:tcPr>
          <w:p>
            <w:pPr>
              <w:pStyle w:val="TableContents"/>
              <w:bidi w:val="0"/>
              <w:spacing w:before="0" w:after="283"/>
              <w:jc w:val="left"/>
              <w:rPr/>
            </w:pPr>
            <w:r>
              <w:rPr/>
              <w:t>​</w:t>
            </w:r>
          </w:p>
        </w:tc>
        <w:tc>
          <w:tcPr>
            <w:tcW w:w="2817" w:type="dxa"/>
            <w:tcBorders/>
            <w:shd w:fill="702076" w:val="clear"/>
            <w:vAlign w:val="center"/>
          </w:tcPr>
          <w:p>
            <w:pPr>
              <w:pStyle w:val="TableContents"/>
              <w:bidi w:val="0"/>
              <w:spacing w:lineRule="atLeast" w:line="240" w:before="0" w:after="0"/>
              <w:jc w:val="center"/>
              <w:rPr/>
            </w:pPr>
            <w:r>
              <w:rPr>
                <w:spacing w:val="14"/>
              </w:rPr>
              <w:t>Shareholder Engagement</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3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committed to engagement with the Company’s shareholders on executive compensation and corporate governance matters. Since the past proxy season, LivaNova’s Investor Relations team has engaged with the majority of the Company’s top 30 shareholders, representing approximately 70% of the Company’s register as of December 31, 2024. Management, and at times, certain directors, also met with shareholders and potential shareholders during the year. Key topics discussed included human capital management, cybersecurity, company performance, existing and future products, clinical data and milestones, executive compensation, and ESG matters. Management also attended nine healthcare conferences, which included fireside chats, and participated in one-on-one and group investor meetings.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6" descr=""/>
                          <pic:cNvPicPr>
                            <a:picLocks noChangeAspect="1" noChangeArrowheads="1"/>
                          </pic:cNvPicPr>
                        </pic:nvPicPr>
                        <pic:blipFill>
                          <a:blip r:embed="rId5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23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CWD1"/>
      <w:bookmarkEnd w:id="15"/>
      <w:r>
        <w:rPr>
          <w:rFonts w:ascii="calibri;arial;sans-serif" w:hAnsi="calibri;arial;sans-serif"/>
          <w:b w:val="false"/>
          <w:i w:val="false"/>
          <w:caps w:val="false"/>
          <w:smallCaps w:val="false"/>
          <w:color w:val="000000"/>
          <w:sz w:val="16"/>
        </w:rPr>
        <w:t>​</w:t>
      </w:r>
      <w:bookmarkStart w:id="16" w:name="tBOD"/>
      <w:bookmarkEnd w:id="16"/>
      <w:r>
        <w:rPr>
          <w:rFonts w:ascii="calibri;arial;sans-serif" w:hAnsi="calibri;arial;sans-serif"/>
          <w:b w:val="false"/>
          <w:i w:val="false"/>
          <w:caps w:val="false"/>
          <w:smallCaps w:val="false"/>
          <w:color w:val="000000"/>
          <w:sz w:val="16"/>
        </w:rPr>
        <w:t>​</w:t>
      </w:r>
      <w:bookmarkStart w:id="17" w:name="tBQAR1"/>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57" descr=""/>
                    <pic:cNvPicPr>
                      <a:picLocks noChangeAspect="1" noChangeArrowheads="1"/>
                    </pic:cNvPicPr>
                  </pic:nvPicPr>
                  <pic:blipFill>
                    <a:blip r:embed="rId5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values the perspectives of its shareholders and works to frequently engage with them in meaningful dialogue. The Company values the insights gained from these interactions and finds them to be helpful even when points of view vary.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Communication with Directors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w:t>
      </w:r>
      <w:r>
        <w:rPr>
          <w:rFonts w:ascii="Arial Narrow;Arial;Tahoma;Geneva;sans-serif" w:hAnsi="Arial Narrow;Arial;Tahoma;Geneva;sans-serif"/>
          <w:b/>
          <w:i w:val="false"/>
          <w:caps w:val="false"/>
          <w:smallCaps w:val="false"/>
          <w:color w:val="000000"/>
          <w:spacing w:val="11"/>
          <w:sz w:val="20"/>
        </w:rPr>
        <w:t>company.secretariat@livanova.com</w:t>
      </w:r>
      <w:r>
        <w:rPr>
          <w:rFonts w:ascii="Tahoma;Geneva;sans-serif" w:hAnsi="Tahoma;Geneva;sans-serif"/>
          <w:b w:val="false"/>
          <w:i w:val="false"/>
          <w:caps w:val="false"/>
          <w:smallCaps w:val="false"/>
          <w:color w:val="000000"/>
          <w:spacing w:val="2"/>
          <w:sz w:val="20"/>
        </w:rPr>
        <w:t>. Any communications received in writing are forwarded to the Board, committee or to any individual director or directors to whom the communication is directed, unless the communication is unduly hostile, threatening, illegal, does not reasonably relate to the Company or its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or mailing address to send communications relating to the Company’s business to the Board and its members.</w:t>
      </w:r>
      <w:r>
        <w:rPr>
          <w:rFonts w:ascii="Tahoma;Geneva;sans-serif" w:hAnsi="Tahoma;Geneva;sans-serif"/>
          <w:b w:val="false"/>
          <w:i w:val="false"/>
          <w:caps w:val="false"/>
          <w:smallCaps w:val="false"/>
          <w:color w:val="000000"/>
          <w:sz w:val="20"/>
        </w:rPr>
        <w:t xml:space="preserve"> </w:t>
      </w:r>
    </w:p>
    <w:tbl>
      <w:tblPr>
        <w:tblW w:w="3296" w:type="dxa"/>
        <w:jc w:val="left"/>
        <w:tblInd w:w="1173" w:type="dxa"/>
        <w:tblLayout w:type="fixed"/>
        <w:tblCellMar>
          <w:top w:w="0" w:type="dxa"/>
          <w:left w:w="0" w:type="dxa"/>
          <w:bottom w:w="0" w:type="dxa"/>
          <w:right w:w="0" w:type="dxa"/>
        </w:tblCellMar>
      </w:tblPr>
      <w:tblGrid>
        <w:gridCol w:w="124"/>
        <w:gridCol w:w="3018"/>
        <w:gridCol w:w="154"/>
      </w:tblGrid>
      <w:tr>
        <w:trPr/>
        <w:tc>
          <w:tcPr>
            <w:tcW w:w="124" w:type="dxa"/>
            <w:tcBorders/>
            <w:shd w:fill="702076" w:val="clear"/>
            <w:vAlign w:val="center"/>
          </w:tcPr>
          <w:p>
            <w:pPr>
              <w:pStyle w:val="TableContents"/>
              <w:bidi w:val="0"/>
              <w:spacing w:before="0" w:after="283"/>
              <w:jc w:val="left"/>
              <w:rPr/>
            </w:pPr>
            <w:r>
              <w:rPr/>
              <w:t>​</w:t>
            </w:r>
          </w:p>
        </w:tc>
        <w:tc>
          <w:tcPr>
            <w:tcW w:w="3018" w:type="dxa"/>
            <w:tcBorders/>
            <w:shd w:fill="702076" w:val="clear"/>
            <w:vAlign w:val="center"/>
          </w:tcPr>
          <w:p>
            <w:pPr>
              <w:pStyle w:val="TableContents"/>
              <w:bidi w:val="0"/>
              <w:spacing w:lineRule="atLeast" w:line="240" w:before="0" w:after="0"/>
              <w:jc w:val="center"/>
              <w:rPr/>
            </w:pPr>
            <w:r>
              <w:rPr>
                <w:spacing w:val="14"/>
              </w:rPr>
              <w:t>BOARD OF DIRECTORS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Board Qualifications and Refreshment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selection process for directors is set out in LivaNova’s Corporate Governance Guidelines and in the charter of the NCG Committee. These documents are available at www.livanova.com/en-us/about-us/board-of-directors. The charter authorizes the NCG Committee to determine the qualifications, qualities, skills, and other expertise required to be a director but also sets out certain minimum qualification requirements: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high ethical behavior;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475">
                <wp:simplePos x="0" y="0"/>
                <wp:positionH relativeFrom="column">
                  <wp:align>left</wp:align>
                </wp:positionH>
                <wp:positionV relativeFrom="line">
                  <wp:align>top</wp:align>
                </wp:positionV>
                <wp:extent cx="228600" cy="350520"/>
                <wp:effectExtent l="0" t="0" r="0" b="0"/>
                <wp:wrapSquare wrapText="right"/>
                <wp:docPr id="180" name="Frame1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accomplishments within their respective fields;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476">
                <wp:simplePos x="0" y="0"/>
                <wp:positionH relativeFrom="column">
                  <wp:align>left</wp:align>
                </wp:positionH>
                <wp:positionV relativeFrom="line">
                  <wp:align>top</wp:align>
                </wp:positionV>
                <wp:extent cx="228600" cy="350520"/>
                <wp:effectExtent l="0" t="0" r="0" b="0"/>
                <wp:wrapSquare wrapText="right"/>
                <wp:docPr id="181" name="Frame1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relevant business and financial expertise and experience;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477">
                <wp:simplePos x="0" y="0"/>
                <wp:positionH relativeFrom="column">
                  <wp:align>left</wp:align>
                </wp:positionH>
                <wp:positionV relativeFrom="line">
                  <wp:align>top</wp:align>
                </wp:positionV>
                <wp:extent cx="228600" cy="350520"/>
                <wp:effectExtent l="0" t="0" r="0" b="0"/>
                <wp:wrapSquare wrapText="right"/>
                <wp:docPr id="182" name="Frame1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sound business judgment;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478">
                <wp:simplePos x="0" y="0"/>
                <wp:positionH relativeFrom="column">
                  <wp:align>left</wp:align>
                </wp:positionH>
                <wp:positionV relativeFrom="line">
                  <wp:align>top</wp:align>
                </wp:positionV>
                <wp:extent cx="228600" cy="350520"/>
                <wp:effectExtent l="0" t="0" r="0" b="0"/>
                <wp:wrapSquare wrapText="right"/>
                <wp:docPr id="183" name="Frame1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diversity, including with respect to gender, race/ethnicity, geography, professional experience, skills, and tenure, with the charter of the NCG Committee requiring that every slate of directors to be considered include at least one woman and at least one underrepresented minority.</w:t>
      </w:r>
      <w:r>
        <w:rPr>
          <w:rFonts w:ascii="Tahoma;Geneva;sans-serif" w:hAnsi="Tahoma;Geneva;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479">
                <wp:simplePos x="0" y="0"/>
                <wp:positionH relativeFrom="column">
                  <wp:align>left</wp:align>
                </wp:positionH>
                <wp:positionV relativeFrom="line">
                  <wp:align>top</wp:align>
                </wp:positionV>
                <wp:extent cx="228600" cy="350520"/>
                <wp:effectExtent l="0" t="0" r="0" b="0"/>
                <wp:wrapSquare wrapText="right"/>
                <wp:docPr id="184" name="Frame1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is responsible for recommending director nominees to the Board, including re- nomination of current directors. In forming their recommendations, the NCG Committee places particular emphasis on the necessary skills for the Board. To that end, the NCG Committee conducts an annual skills analysis and considers that exercise, as well as the results of the Board and its committees’ annual self-assessments, in the context of the Company’s strategic plan, in order to identify the skills and expertise required to lead the Company now and in the future. The combined skills analysis and self-assessments ultimately help to inform the NCG Committee of (1) the qualifications, qualities, skills, and other expertise (in addition to the minimum requirements set out above) desired at this juncture in the Company’s development and (2) the relevant considerations associated with Board succession planning, all of which help to drive the NCG Committee’s recommendations for director nominees.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does not have formal term or age limits. While term limits may foster fresh ideas and viewpoints, the Board believes that term limits fail to acknowledge the contribution of directors who have been able to develop, over time, increased insight into the Company and its operations and, therefore, provide significant contributions to the Board as a whole. As an alternative to term limits, the NCG Committee reviews each director’s continued tenure on the Board annually. The Company’s Corporate Governance Guidelines provide that the Board will consider rotation of the Chair of the Board and committee chairs periodically and when it deems appropriate. As part of its evaluation, the Board reviews all relevant circumstances, including expertise required for the role, qualifications of a successor, and applicable laws and listing standards, to balance the benefits of rotation against the benefits of continuity.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8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8" descr=""/>
                          <pic:cNvPicPr>
                            <a:picLocks noChangeAspect="1" noChangeArrowheads="1"/>
                          </pic:cNvPicPr>
                        </pic:nvPicPr>
                        <pic:blipFill>
                          <a:blip r:embed="rId5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N1"/>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8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9" descr=""/>
                    <pic:cNvPicPr>
                      <a:picLocks noChangeAspect="1" noChangeArrowheads="1"/>
                    </pic:cNvPicPr>
                  </pic:nvPicPr>
                  <pic:blipFill>
                    <a:blip r:embed="rId6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29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may consider candidates for LivaNova’s Board from any reasonable source, including from a search firm engaged by the NCG Committee and shareholder recommendations subject to the procedures set forth below and the full procedures identified in the Company’s Corporate Governance Guidelines. Any invitation to join the Company’s Board is extended by the Board and by the Chair of the NCG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Ms. Podlogar’s appointment to the Board in October 2024 was the result of a recommendation by Mr. Makatsaria, the CEO. Ms. Podlogar was subsequently vetted by a third-party executive search firm and interviewed by each member of the Board. After reviewing Ms. Podlogar’s qualifications and skills, discussing her potential nomination at several meetings, and meeting with her, the NCG Committee voted unanimously to recommend Ms. Podlogar as a director of the Board based on her extensive experience in key global leadership positions and leading business, talent, and cultural transformations.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Although LivaNova does not have a formal policy with regard to the consideration of any director nominees recommended by shareholders, a shareholder or group of shareholders may recommend potential candidates for consideration. The Company does not have such a policy because the NCG Committee believes that it can adequately evaluate any such nominees on a case-by-case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Nominees for consideration by the NCG Committee may be sent in writing to the Office of the Company Secretary, by mail at 20 Eastbourne Terrace, London W2 6LG, United Kingdom, not less than 90 nor more than 120 days prior to the first anniversary of the AGM in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 Exchange Act of 1934, as amended (the “Exchange Act”), including such person’s written consent to be named in the proxy statement as a nominee and to serve as a director if elected. In addition, the nomination must include: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nominating shareholder’s or shareholders’ name(s) and address(es) as they appear on the Company’s books;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480">
                <wp:simplePos x="0" y="0"/>
                <wp:positionH relativeFrom="column">
                  <wp:align>left</wp:align>
                </wp:positionH>
                <wp:positionV relativeFrom="line">
                  <wp:align>top</wp:align>
                </wp:positionV>
                <wp:extent cx="228600" cy="350520"/>
                <wp:effectExtent l="0" t="0" r="0" b="0"/>
                <wp:wrapSquare wrapText="right"/>
                <wp:docPr id="187" name="Frame1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class and number of shares beneficially owned by the nominating shareholder(s);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481">
                <wp:simplePos x="0" y="0"/>
                <wp:positionH relativeFrom="column">
                  <wp:align>left</wp:align>
                </wp:positionH>
                <wp:positionV relativeFrom="line">
                  <wp:align>top</wp:align>
                </wp:positionV>
                <wp:extent cx="228600" cy="350520"/>
                <wp:effectExtent l="0" t="0" r="0" b="0"/>
                <wp:wrapSquare wrapText="right"/>
                <wp:docPr id="188" name="Frame1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description of all agreements, arrangements and understandings between such shareholder(s), each proposed director nominee and any other person or persons (including their names) in connection with the nomination;</w:t>
      </w:r>
      <w:r>
        <w:rPr>
          <w:rFonts w:ascii="Tahoma;Geneva;sans-serif" w:hAnsi="Tahoma;Geneva;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482">
                <wp:simplePos x="0" y="0"/>
                <wp:positionH relativeFrom="column">
                  <wp:align>left</wp:align>
                </wp:positionH>
                <wp:positionV relativeFrom="line">
                  <wp:align>top</wp:align>
                </wp:positionV>
                <wp:extent cx="228600" cy="350520"/>
                <wp:effectExtent l="0" t="0" r="0" b="0"/>
                <wp:wrapSquare wrapText="right"/>
                <wp:docPr id="189" name="Frame1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other information relating to such shareholder(s) that would be required to be disclosed in a proxy statement or other filings required to be made in connection with solicitations of proxies pursuant to Regulation 14A under the Exchange Act; and</w:t>
      </w:r>
      <w:r>
        <w:rPr>
          <w:rFonts w:ascii="Tahoma;Geneva;sans-serif" w:hAnsi="Tahoma;Geneva;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483">
                <wp:simplePos x="0" y="0"/>
                <wp:positionH relativeFrom="column">
                  <wp:align>left</wp:align>
                </wp:positionH>
                <wp:positionV relativeFrom="line">
                  <wp:align>top</wp:align>
                </wp:positionV>
                <wp:extent cx="228600" cy="350520"/>
                <wp:effectExtent l="0" t="0" r="0" b="0"/>
                <wp:wrapSquare wrapText="right"/>
                <wp:docPr id="190" name="Frame1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the extent known by the shareholder(s) giving notice, the name and address of any other shareholder(s) supporting the election of the nominee.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484">
                <wp:simplePos x="0" y="0"/>
                <wp:positionH relativeFrom="column">
                  <wp:align>left</wp:align>
                </wp:positionH>
                <wp:positionV relativeFrom="line">
                  <wp:align>top</wp:align>
                </wp:positionV>
                <wp:extent cx="228600" cy="350520"/>
                <wp:effectExtent l="0" t="0" r="0" b="0"/>
                <wp:wrapSquare wrapText="right"/>
                <wp:docPr id="191" name="Frame1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From time to time, the NCG Committee may request additional information from the nominee or the nominating shareholder(s). Potential nominees suggested by shareholders are evaluated by the NCG Committee in the same manner as other potential candidates.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60" w:before="304" w:after="283"/>
        <w:jc w:val="left"/>
        <w:rPr>
          <w:rFonts w:ascii="Arial Narrow;Arial;Tahoma;Geneva;sans-serif" w:hAnsi="Arial Narrow;Arial;Tahoma;Geneva;sans-serif"/>
          <w:b/>
          <w:i w:val="false"/>
          <w:caps w:val="false"/>
          <w:smallCaps w:val="false"/>
          <w:color w:val="702076"/>
          <w:sz w:val="22"/>
        </w:rPr>
      </w:pPr>
      <w:r>
        <w:rPr>
          <w:rFonts w:ascii="Arial Narrow;Arial;Tahoma;Geneva;sans-serif" w:hAnsi="Arial Narrow;Arial;Tahoma;Geneva;sans-serif"/>
          <w:b/>
          <w:i w:val="false"/>
          <w:caps w:val="false"/>
          <w:smallCaps w:val="false"/>
          <w:color w:val="702076"/>
          <w:spacing w:val="13"/>
          <w:sz w:val="22"/>
        </w:rPr>
        <w:t>Director Nominees</w:t>
      </w:r>
      <w:r>
        <w:rPr>
          <w:rFonts w:ascii="Arial Narrow;Arial;Tahoma;Geneva;sans-serif" w:hAnsi="Arial Narrow;Arial;Tahoma;Geneva;sans-serif"/>
          <w:b/>
          <w:i w:val="false"/>
          <w:caps w:val="false"/>
          <w:smallCaps w:val="false"/>
          <w:color w:val="000000"/>
          <w:spacing w:val="4"/>
          <w:sz w:val="22"/>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Articles of Association provide that the number of directors shall be ten unless otherwise decided by the Board. Upon the recommendation of the Company’s NCG Committee, the Board has nominated the ten individuals named below to serve as directors until the 2026 AGM or their earlier resignation or removal. All directors are elected annually.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19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0" descr=""/>
                          <pic:cNvPicPr>
                            <a:picLocks noChangeAspect="1" noChangeArrowheads="1"/>
                          </pic:cNvPicPr>
                        </pic:nvPicPr>
                        <pic:blipFill>
                          <a:blip r:embed="rId6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25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9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1" descr=""/>
                    <pic:cNvPicPr>
                      <a:picLocks noChangeAspect="1" noChangeArrowheads="1"/>
                    </pic:cNvPicPr>
                  </pic:nvPicPr>
                  <pic:blipFill>
                    <a:blip r:embed="rId6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889"/>
        <w:gridCol w:w="109"/>
        <w:gridCol w:w="109"/>
        <w:gridCol w:w="642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J. CHRISTOPHER BARRY</w:t>
            </w:r>
            <w:r>
              <w:rPr>
                <w:spacing w:val="11"/>
              </w:rPr>
              <w:t>   </w:t>
            </w:r>
            <w:r>
              <w:rPr>
                <w:rFonts w:ascii="Tahoma;Geneva;sans-serif" w:hAnsi="Tahoma;Geneva;sans-serif"/>
                <w:b w:val="false"/>
                <w:i/>
              </w:rPr>
              <w:t>Independent | Age 53 | Director since 2023</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889"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43000" cy="1504950"/>
                  <wp:effectExtent l="0" t="0" r="0" b="0"/>
                  <wp:docPr id="19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2" descr=""/>
                          <pic:cNvPicPr>
                            <a:picLocks noChangeAspect="1" noChangeArrowheads="1"/>
                          </pic:cNvPicPr>
                        </pic:nvPicPr>
                        <pic:blipFill>
                          <a:blip r:embed="rId63"/>
                          <a:stretch>
                            <a:fillRect/>
                          </a:stretch>
                        </pic:blipFill>
                        <pic:spPr bwMode="auto">
                          <a:xfrm>
                            <a:off x="0" y="0"/>
                            <a:ext cx="1143000" cy="1504950"/>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8" w:type="dxa"/>
            <w:tcBorders/>
            <w:vAlign w:val="center"/>
          </w:tcPr>
          <w:p>
            <w:pPr>
              <w:pStyle w:val="TableContents"/>
              <w:bidi w:val="0"/>
              <w:spacing w:lineRule="atLeast" w:line="200" w:before="0" w:after="0"/>
              <w:jc w:val="both"/>
              <w:rPr/>
            </w:pPr>
            <w:r>
              <w:rPr>
                <w:spacing w:val="2"/>
              </w:rPr>
              <w:t>Chris Barry serves as Executive Vice President and Group President of the Medical Solutions Division at Solventum, formerly known as 3M, a position he assumed in March 2024. He previously served as CEO and a member of the board of NuVasive, Inc., a medical technology company focused on spine technology innovation, from 2018 to 2023, at which point, NuVasive Inc. was acquired by Globus Medical. From 2015 to 2018, Mr. Barry served as Senior Vice President and President of Surgical Innovations at Medtronic after Medtronic acquired Covidien, and, prior to Covidien’s acquisition, Mr. Barry spent more than 15 years in increasing commercial and executive leadership roles at Covidien, rising to vice president of sales for energy-based devices. Mr. Barry has a Bachelor of Science degree in Environmental Science from Texas Tech University.</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889"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28"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Nominating and Corporate Governance</w:t>
            </w:r>
            <w:r>
              <w:rPr/>
              <w:t xml:space="preserve"> </w:t>
              <w:br/>
            </w:r>
            <w:r>
              <w:rPr>
                <w:color w:val="FF5B34"/>
                <w:spacing w:val="2"/>
              </w:rPr>
              <w:t>Former Public Company Directorships During the Past Five Years:</w:t>
            </w:r>
            <w:r>
              <w:rPr>
                <w:spacing w:val="2"/>
              </w:rPr>
              <w:t xml:space="preserve"> NuVasive, Inc. (NUVA) </w:t>
              <w:br/>
              <w:t>   </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Mr. Barry is a senior executive in the medical device industry with substantial experience in medical device technologies, international business strategy, and mergers and acquisitions. He has robust general management experience and expertise in corporate governance matters. He is also an audit committee financial expert.</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FRANCESCO BIANCHI</w:t>
            </w:r>
            <w:r>
              <w:rPr>
                <w:spacing w:val="11"/>
              </w:rPr>
              <w:t>   </w:t>
            </w:r>
            <w:r>
              <w:rPr>
                <w:rFonts w:ascii="Tahoma;Geneva;sans-serif" w:hAnsi="Tahoma;Geneva;sans-serif"/>
                <w:b w:val="false"/>
                <w:i/>
              </w:rPr>
              <w:t>Independent | Age 68 | Director since 2015</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9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3" descr=""/>
                          <pic:cNvPicPr>
                            <a:picLocks noChangeAspect="1" noChangeArrowheads="1"/>
                          </pic:cNvPicPr>
                        </pic:nvPicPr>
                        <pic:blipFill>
                          <a:blip r:embed="rId64"/>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Francesco Bianchi serves as Chair of Seven Capital Partners S.r.l., a financial consulting firm, a position he assumed in June 2018. He previously served as the Chief Executive Officer of Seven Capital Partners and has been with the firm since 2013. Mr. Bianchi has over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Compensation and Human Capital Management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Bianchi has an extensive professional background working in strategy and mergers and acquisitions. As a former executive leader and current Chair of a financial consulting firm, Mr. Bianchi has vast expertise in global business strategy, compensation analysis, and corporate governance. He is also an audit committee financial expert.</w:t>
            </w:r>
            <w:r>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STACY ENXING SENG</w:t>
            </w:r>
            <w:r>
              <w:rPr>
                <w:spacing w:val="11"/>
              </w:rPr>
              <w:t>   </w:t>
            </w:r>
            <w:r>
              <w:rPr>
                <w:rFonts w:ascii="Tahoma;Geneva;sans-serif" w:hAnsi="Tahoma;Geneva;sans-serif"/>
                <w:b w:val="false"/>
                <w:i/>
              </w:rPr>
              <w:t>Independent | Age 60 | Director since 2019</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9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4" descr=""/>
                          <pic:cNvPicPr>
                            <a:picLocks noChangeAspect="1" noChangeArrowheads="1"/>
                          </pic:cNvPicPr>
                        </pic:nvPicPr>
                        <pic:blipFill>
                          <a:blip r:embed="rId65"/>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Stacy Enxing Seng has served as an Operating Partner with Lightstone Ventures, a venture capital group focused on medical technology and biotechnology-related investments, since 2016. Prior to joining Lightstone Ventures, Ms. Enxing Seng was with Covidien, a global healthcare products company, as its President, Vascular Therapies (2011 to 2014) and President, Peripheral Vascular (2010 to 2011). Ms. Enxing Seng joined Covidien in 2010 through the $2.6 billion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Compensation and Human Capital Management (Chair)</w:t>
            </w:r>
            <w:r>
              <w:rPr/>
              <w:t xml:space="preserve"> </w:t>
              <w:br/>
            </w:r>
            <w:r>
              <w:rPr>
                <w:color w:val="FF5B34"/>
                <w:spacing w:val="2"/>
              </w:rPr>
              <w:t>Other Current Public Company Directorships:</w:t>
            </w:r>
            <w:r>
              <w:rPr>
                <w:spacing w:val="2"/>
              </w:rPr>
              <w:t xml:space="preserve"> Sonova Holding AG (SONVY)</w:t>
            </w:r>
            <w:r>
              <w:rPr/>
              <w:t xml:space="preserve"> </w:t>
              <w:br/>
            </w:r>
            <w:r>
              <w:rPr>
                <w:color w:val="FF5B34"/>
                <w:spacing w:val="2"/>
              </w:rPr>
              <w:t>Former Public Company Directorships During the Past Five Years:</w:t>
            </w:r>
            <w:r>
              <w:rPr>
                <w:spacing w:val="2"/>
              </w:rPr>
              <w:t xml:space="preserve"> Hill-Rom Holdings, Inc. (HRC)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As a former senior executive responsible for a worldwide business unit of a major medical device company, Ms. Enxing Seng has extensive experience in strategy, marketing, sales, innovation, and mergers and acquisitions. She also has experience with human capital management matters and compensation analysis.</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19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5" descr=""/>
                          <pic:cNvPicPr>
                            <a:picLocks noChangeAspect="1" noChangeArrowheads="1"/>
                          </pic:cNvPicPr>
                        </pic:nvPicPr>
                        <pic:blipFill>
                          <a:blip r:embed="rId6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19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6" descr=""/>
                    <pic:cNvPicPr>
                      <a:picLocks noChangeAspect="1" noChangeArrowheads="1"/>
                    </pic:cNvPicPr>
                  </pic:nvPicPr>
                  <pic:blipFill>
                    <a:blip r:embed="rId6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WILLIAM KOZY</w:t>
            </w:r>
            <w:r>
              <w:rPr>
                <w:spacing w:val="11"/>
              </w:rPr>
              <w:t>   </w:t>
            </w:r>
            <w:r>
              <w:rPr>
                <w:rFonts w:ascii="Tahoma;Geneva;sans-serif" w:hAnsi="Tahoma;Geneva;sans-serif"/>
                <w:b w:val="false"/>
                <w:i/>
              </w:rPr>
              <w:t>Board Chair | Independent | Age 73 | Director since 2018</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9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7" descr=""/>
                          <pic:cNvPicPr>
                            <a:picLocks noChangeAspect="1" noChangeArrowheads="1"/>
                          </pic:cNvPicPr>
                        </pic:nvPicPr>
                        <pic:blipFill>
                          <a:blip r:embed="rId68"/>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186" w:before="0" w:after="0"/>
              <w:jc w:val="both"/>
              <w:rPr/>
            </w:pPr>
            <w:r>
              <w:rPr>
                <w:spacing w:val="2"/>
              </w:rPr>
              <w:t>William Kozy is the Chair of the Board of Directors of LivaNova. Mr. Kozy previously served as Interim Chief Executive Officer of LivaNova from April 2023 to February 2024. Mr. Kozy retired from Becton, Dickinson and Company, a global medical technology company, in 2016 where Mr. Kozy served as Executive Vice President and Chief Operating Officer from 2011 to 2016. During his time at Becton Dickinson, he was responsible for all worldwide businesses of the company with leadership emphasis on profitable revenue growth and talent development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None</w:t>
            </w:r>
            <w:r>
              <w:rPr/>
              <w:t xml:space="preserve"> </w:t>
              <w:br/>
            </w:r>
            <w:r>
              <w:rPr>
                <w:color w:val="FF5B34"/>
                <w:spacing w:val="2"/>
              </w:rPr>
              <w:t>Former Public Company Directorships During the Past Five Years:</w:t>
            </w:r>
            <w:r>
              <w:rPr>
                <w:spacing w:val="2"/>
              </w:rPr>
              <w:t xml:space="preserve"> Cooper Companies, Inc. (COO)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seasoned executive with more than 40 years of experience with global medical device companies, Mr. Kozy has extensive expertise in executive leadership, innovation, operations, manufacturing, and ERP implementation as well as relevant experience in global strategy, mergers and acquisitions, technology, and product development. Additionally, Mr. Kozy has in-depth experience in investor engagement and relations and corporate governance matters such as succession planning.</w:t>
            </w:r>
            <w:r>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3"/>
        <w:gridCol w:w="109"/>
        <w:gridCol w:w="109"/>
        <w:gridCol w:w="6414"/>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VLADIMIR MAKATSARIA</w:t>
            </w:r>
            <w:r>
              <w:rPr>
                <w:spacing w:val="11"/>
              </w:rPr>
              <w:t>   </w:t>
            </w:r>
            <w:r>
              <w:rPr>
                <w:rFonts w:ascii="Tahoma;Geneva;sans-serif" w:hAnsi="Tahoma;Geneva;sans-serif"/>
                <w:b w:val="false"/>
                <w:i/>
              </w:rPr>
              <w:t>Chief Executive Officer | Age 52 | Director since 2024</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3"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2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8" descr=""/>
                          <pic:cNvPicPr>
                            <a:picLocks noChangeAspect="1" noChangeArrowheads="1"/>
                          </pic:cNvPicPr>
                        </pic:nvPicPr>
                        <pic:blipFill>
                          <a:blip r:embed="rId69"/>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4" w:type="dxa"/>
            <w:tcBorders/>
            <w:vAlign w:val="center"/>
          </w:tcPr>
          <w:p>
            <w:pPr>
              <w:pStyle w:val="TableContents"/>
              <w:bidi w:val="0"/>
              <w:spacing w:lineRule="atLeast" w:line="186" w:before="0" w:after="0"/>
              <w:jc w:val="both"/>
              <w:rPr/>
            </w:pPr>
            <w:r>
              <w:rPr>
                <w:spacing w:val="2"/>
              </w:rPr>
              <w:t>Vladimir Makatsaria is Chief Executive Officer and a Board Member of LivaNova. Prior to LivaNova, he worked for 27 years at Johnson &amp; Johnson (J&amp;J), a multinational pharmaceutical and medical technologies corporation, in executive leadership roles, spanning various technologies and geographies. He most recently served as Company Group Chairman at J&amp;J MedTech where he led Ethicon, a global leader in the surgical technologies market. Other executive positions throughout his J&amp;J tenure include leading J&amp;J China, J&amp;J MedTech APAC, and Ethicon EMEA, among others. He also served on Ethicon, DePuy, and total MedTech global leadership teams. He served as Chairman of the Board of the Asia Pacific Medical Technology Association (“APACMed”) and as an Advisory Board Member to Singapore Management University. Mr. Makatsaria holds three degrees from the University of Minnesota: a bachelor’s degree in physiology, an MBA, and a master’s in healthcare administration.</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3"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4"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None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Makatsaria has extensive experience in executive leadership roles within global medical device companies. He is an inquisitive leader with a variety of leadership experience, ranging from startups to managing a global $10 billion business. Mr. Makatsaria has considerable international experience and is credited as being a key component in establishing culture, talent, and innovation transformations in his previous positions.</w:t>
            </w:r>
            <w:r>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3"/>
        <w:gridCol w:w="109"/>
        <w:gridCol w:w="109"/>
        <w:gridCol w:w="6414"/>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DR. SHARON O’KANE</w:t>
            </w:r>
            <w:r>
              <w:rPr>
                <w:spacing w:val="11"/>
              </w:rPr>
              <w:t>   </w:t>
            </w:r>
            <w:r>
              <w:rPr>
                <w:rFonts w:ascii="Tahoma;Geneva;sans-serif" w:hAnsi="Tahoma;Geneva;sans-serif"/>
                <w:b w:val="false"/>
                <w:i/>
              </w:rPr>
              <w:t>Independent | Age 57 | Director since 2015</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3" w:type="dxa"/>
            <w:vMerge w:val="restart"/>
            <w:tcBorders>
              <w:bottom w:val="single" w:sz="2" w:space="0" w:color="702076"/>
            </w:tcBorders>
            <w:tcMar>
              <w:bottom w:w="178" w:type="dxa"/>
            </w:tcMar>
            <w:vAlign w:val="center"/>
          </w:tcPr>
          <w:p>
            <w:pPr>
              <w:pStyle w:val="TableContents"/>
              <w:bidi w:val="0"/>
              <w:spacing w:before="0" w:after="0"/>
              <w:jc w:val="center"/>
              <w:rPr/>
            </w:pPr>
            <w:r>
              <w:rPr/>
              <w:drawing>
                <wp:inline distT="0" distB="0" distL="0" distR="0">
                  <wp:extent cx="1152525" cy="1514475"/>
                  <wp:effectExtent l="0" t="0" r="0" b="0"/>
                  <wp:docPr id="20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9" descr=""/>
                          <pic:cNvPicPr>
                            <a:picLocks noChangeAspect="1" noChangeArrowheads="1"/>
                          </pic:cNvPicPr>
                        </pic:nvPicPr>
                        <pic:blipFill>
                          <a:blip r:embed="rId70"/>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4" w:type="dxa"/>
            <w:tcBorders/>
            <w:vAlign w:val="center"/>
          </w:tcPr>
          <w:p>
            <w:pPr>
              <w:pStyle w:val="TableContents"/>
              <w:bidi w:val="0"/>
              <w:spacing w:lineRule="atLeast" w:line="186" w:before="0" w:after="0"/>
              <w:jc w:val="both"/>
              <w:rPr/>
            </w:pPr>
            <w:r>
              <w:rPr>
                <w:spacing w:val="2"/>
              </w:rPr>
              <w:t>Dr. Sharon O’Kane serves as a non-executive director and member of the Audit and Risk Committee of the Health Products Regulatory Authority Board in Ireland and has a Visiting Professorship at Ulster University where she advises the Faculty of Life and Health Sciences. She has also served as an Entrepreneur in Residence at University College Dublin since 2015. She was a non-executive director of Iomet Pharma Ltd (2010-2016), an expert advisor to the Stevenage Bioscience Catalyst Facility at GlaxoSmithKline, (2012 to 2019) and a Commercial Mentor to Queen’s University, Belfast (2016 to 2019). Previously, Dr. O’Kane served as Entrepreneur in Residence at the University of Manchester Intellectual Property Company UMIP (2009 to 2014) and was a non-executive director of the Manchester Inward development agency (2010-2012). Dr. O’Kane co-founded and, from 1998 to 2010, was the Chief Scientific Officer and a Director of Renovo Group Plc, a UK biotech company. Dr. O’Kane earned a Bachelor of Science (Honours) First Class in Biomedical Sciences from the University of Ulster from which she also earned a PhD in Biomedical Sciences. She earned a Diploma in Company Direction from the Institute of Directors (UK), where she was recently made a Chartered Director and Fellow of the Institute and received corporate governance training at Harvard Business School.</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3" w:type="dxa"/>
            <w:vMerge w:val="continue"/>
            <w:tcBorders>
              <w:bottom w:val="single" w:sz="2" w:space="0" w:color="702076"/>
            </w:tcBorders>
            <w:tcMar>
              <w:bottom w:w="17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4"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Nominating and Corporate Governance (Chair)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With extensive experience in healthcare, both in the academic and government realms, and in research and development capacities, Dr. O’Kane has a keen understanding of the medical device industry. She also has deep expertise in corporate governance, intellectual property and licensing, public policy and government, and regulatory affairs.</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0" descr=""/>
                          <pic:cNvPicPr>
                            <a:picLocks noChangeAspect="1" noChangeArrowheads="1"/>
                          </pic:cNvPicPr>
                        </pic:nvPicPr>
                        <pic:blipFill>
                          <a:blip r:embed="rId7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27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7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SUSAN PODLOGAR</w:t>
            </w:r>
            <w:r>
              <w:rPr>
                <w:spacing w:val="11"/>
              </w:rPr>
              <w:t>   </w:t>
            </w:r>
            <w:r>
              <w:rPr>
                <w:rFonts w:ascii="Tahoma;Geneva;sans-serif" w:hAnsi="Tahoma;Geneva;sans-serif"/>
                <w:b w:val="false"/>
                <w:i/>
              </w:rPr>
              <w:t>Independent | Age 61 | Director since 2024</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20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2" descr=""/>
                          <pic:cNvPicPr>
                            <a:picLocks noChangeAspect="1" noChangeArrowheads="1"/>
                          </pic:cNvPicPr>
                        </pic:nvPicPr>
                        <pic:blipFill>
                          <a:blip r:embed="rId73"/>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190" w:before="0" w:after="0"/>
              <w:jc w:val="both"/>
              <w:rPr/>
            </w:pPr>
            <w:r>
              <w:rPr>
                <w:spacing w:val="2"/>
              </w:rPr>
              <w:t>Susan Podlogar served as the Executive Vice President, Chief Human Resources Officer at MetLife from July 2017 until her retirement in June 2024. Prior to MetLife, Ms. Podlogar spent 16 years at Johnson &amp; Johnson in various leadership roles, including Global Head, Human Resources Medical Devices; Global Head of Total Rewards and Head Human Resources for Europe, the Middle East, and Africa; and Global Head, Human Resources and Communications Pharmaceutical R&amp;D. Early career highlights include positions with Bayer Pharmaceutical, Bristol-Myers Squibb, and William M. Mercer. She holds an MBA from the University of South Florida and a bachelor’s degree with a double major in Labor and Industrial Relations and Business Administration from the University of Wisconsin-Parkside.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Compensation and Human Capital Management</w:t>
            </w:r>
            <w:r>
              <w:rPr/>
              <w:t xml:space="preserve"> </w:t>
              <w:br/>
            </w:r>
            <w:r>
              <w:rPr>
                <w:color w:val="FF5B34"/>
                <w:spacing w:val="2"/>
              </w:rPr>
              <w:t>Other Current Public Company Directorships:</w:t>
            </w:r>
            <w:r>
              <w:rPr>
                <w:spacing w:val="2"/>
              </w:rPr>
              <w:t xml:space="preserve"> Tevogen Bio Holdings, Inc. (TVGN)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former Chief Human Resources Officer of a global organization, Ms. Podlogar has a keen understanding of the evolving dynamics of the global business landscape, with expertise in human capital management, innovative and strategic leadership, cultural transformation, and compensation analysis.</w:t>
            </w:r>
            <w:r>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6"/>
        <w:gridCol w:w="109"/>
        <w:gridCol w:w="109"/>
        <w:gridCol w:w="6411"/>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TODD SCHERMERHORN</w:t>
            </w:r>
            <w:r>
              <w:rPr>
                <w:spacing w:val="11"/>
              </w:rPr>
              <w:t>   </w:t>
            </w:r>
            <w:r>
              <w:rPr>
                <w:rFonts w:ascii="Tahoma;Geneva;sans-serif" w:hAnsi="Tahoma;Geneva;sans-serif"/>
                <w:b w:val="false"/>
                <w:i/>
              </w:rPr>
              <w:t>Independent | Age 64 | Director since 2020</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6"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2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3" descr=""/>
                          <pic:cNvPicPr>
                            <a:picLocks noChangeAspect="1" noChangeArrowheads="1"/>
                          </pic:cNvPicPr>
                        </pic:nvPicPr>
                        <pic:blipFill>
                          <a:blip r:embed="rId74"/>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1" w:type="dxa"/>
            <w:tcBorders/>
            <w:vAlign w:val="center"/>
          </w:tcPr>
          <w:p>
            <w:pPr>
              <w:pStyle w:val="TableContents"/>
              <w:bidi w:val="0"/>
              <w:spacing w:lineRule="atLeast" w:line="200" w:before="0" w:after="0"/>
              <w:jc w:val="both"/>
              <w:rPr/>
            </w:pPr>
            <w:r>
              <w:rPr>
                <w:spacing w:val="2"/>
              </w:rPr>
              <w:t>Todd Schermerhorn served as the Senior Vice President and Chief Financial Officer of C. R. Bard, Inc., a multinational developer, manufacturer, and marketer of life-enhancing medical technologies, from 2003 until his retirement in 2012. Prior to that, he had been Vice President and Treasurer of C. R. Bard (1998 – 2003). From 1985 to 1998, Mr. Schermerhorn held various other management positions with C. R. Bard. Mr. Schermerhorn received a BS from the University of Lowell and an MBA from Babson College.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6"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1"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(Chair)</w:t>
            </w:r>
            <w:r>
              <w:rPr/>
              <w:t xml:space="preserve"> </w:t>
              <w:br/>
            </w:r>
            <w:r>
              <w:rPr>
                <w:color w:val="FF5B34"/>
                <w:spacing w:val="2"/>
              </w:rPr>
              <w:t>Other Current Public Company Directorships:</w:t>
            </w:r>
            <w:r>
              <w:rPr>
                <w:spacing w:val="2"/>
              </w:rPr>
              <w:t xml:space="preserve"> The Travelers Companies, Inc. (TRV)</w:t>
            </w:r>
            <w:r>
              <w:rPr/>
              <w:t xml:space="preserve"> </w:t>
              <w:br/>
            </w:r>
            <w:r>
              <w:rPr>
                <w:color w:val="FF5B34"/>
                <w:spacing w:val="2"/>
              </w:rPr>
              <w:t>Former Public Company Directorships During the Past Five Years:</w:t>
            </w:r>
            <w:r>
              <w:rPr>
                <w:spacing w:val="2"/>
              </w:rPr>
              <w:t xml:space="preserve"> The Spectranetics Corporation (SPNC)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As a former Chief Financial Officer of a global medical technology company, Mr. Schermerhorn has significant public company and financial reporting and investor and public relations experience. Mr. Schermerhorn is also an audit committee financial expert.</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BROOKE STORY</w:t>
            </w:r>
            <w:r>
              <w:rPr>
                <w:spacing w:val="11"/>
              </w:rPr>
              <w:t>   </w:t>
            </w:r>
            <w:r>
              <w:rPr>
                <w:rFonts w:ascii="Tahoma;Geneva;sans-serif" w:hAnsi="Tahoma;Geneva;sans-serif"/>
                <w:b w:val="false"/>
                <w:i/>
              </w:rPr>
              <w:t>Independent | Age 53 | Director since 2022</w:t>
            </w:r>
            <w:r>
              <w:rPr/>
              <w:t xml:space="preserve"> </w:t>
            </w:r>
          </w:p>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20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4" descr=""/>
                          <pic:cNvPicPr>
                            <a:picLocks noChangeAspect="1" noChangeArrowheads="1"/>
                          </pic:cNvPicPr>
                        </pic:nvPicPr>
                        <pic:blipFill>
                          <a:blip r:embed="rId75"/>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Brooke Story serves as Integration Lead at Becton, Dickinson and Company, a position she assumed in June 2024. She previously served as the Worldwide President, Surgery at Becton, Dickinson and Company from July 2023 to March 2024 and Worldwide President, Integrated Diagnostics Solutions at Becton, Dickinson and Company from April 2021 to July 2023. Prior to that, Ms. Story spent 15 years at Medtronic, where she held a variety of roles in finance, sales, and business unit leadership, culminating in her tenure as President, Pelvic Health and Gastric Therapies. Ms. Story began her career in sales at Johnson &amp; Johnson and as a consultant for Accenture. Ms. Story holds a BS in industrial engineering from the University of Tennessee and an MBA from the University of Michigan.</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Nominating and Corporate Governance</w:t>
            </w:r>
            <w:r>
              <w:rPr/>
              <w:t xml:space="preserve"> </w:t>
              <w:br/>
            </w:r>
            <w:r>
              <w:rPr>
                <w:color w:val="FF5B34"/>
                <w:spacing w:val="2"/>
              </w:rPr>
              <w:t>Other Current Public Company Directorships:</w:t>
            </w:r>
            <w:r>
              <w:rPr>
                <w:spacing w:val="2"/>
              </w:rPr>
              <w:t xml:space="preserve"> Sigilon Therapeutics (SGTX)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Ms. Story is a seasoned senior executive with expertise in international business strategy and operations in the highly regulated medical technology industry. Throughout her career, she has excelled in helping large medical device corporations inspire teams, mentor and develop talent, and deliver economic value.</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28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0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5" descr=""/>
                          <pic:cNvPicPr>
                            <a:picLocks noChangeAspect="1" noChangeArrowheads="1"/>
                          </pic:cNvPicPr>
                        </pic:nvPicPr>
                        <pic:blipFill>
                          <a:blip r:embed="rId7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DICO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0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6" descr=""/>
                    <pic:cNvPicPr>
                      <a:picLocks noChangeAspect="1" noChangeArrowheads="1"/>
                    </pic:cNvPicPr>
                  </pic:nvPicPr>
                  <pic:blipFill>
                    <a:blip r:embed="rId7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5" w:type="dxa"/>
            <w:gridSpan w:val="4"/>
            <w:tcBorders/>
            <w:shd w:fill="702076" w:val="clear"/>
            <w:vAlign w:val="center"/>
          </w:tcPr>
          <w:p>
            <w:pPr>
              <w:pStyle w:val="TableContents"/>
              <w:bidi w:val="0"/>
              <w:spacing w:lineRule="atLeast" w:line="200" w:before="0" w:after="0"/>
              <w:jc w:val="left"/>
              <w:rPr/>
            </w:pPr>
            <w:r>
              <w:rPr>
                <w:spacing w:val="15"/>
                <w:sz w:val="26"/>
              </w:rPr>
              <w:t>PETER WILVER</w:t>
            </w:r>
            <w:r>
              <w:rPr>
                <w:spacing w:val="11"/>
              </w:rPr>
              <w:t>   </w:t>
            </w:r>
            <w:r>
              <w:rPr>
                <w:rFonts w:ascii="Tahoma;Geneva;sans-serif" w:hAnsi="Tahoma;Geneva;sans-serif"/>
                <w:b w:val="false"/>
                <w:i/>
              </w:rPr>
              <w:t>Independent | Age 65 | Director since 2022</w:t>
            </w:r>
            <w:r>
              <w:rPr/>
              <w:t xml:space="preserve"> </w:t>
            </w:r>
          </w:p>
          <w:p>
            <w:pPr>
              <w:pStyle w:val="TableContents"/>
              <w:bidi w:val="0"/>
              <w:spacing w:before="0" w:after="283"/>
              <w:jc w:val="left"/>
              <w:rPr>
                <w:spacing w:val="11"/>
              </w:rPr>
            </w:pPr>
            <w:r>
              <w:rPr>
                <w:spacing w:val="11"/>
              </w:rPr>
              <w:t xml:space="preserve">    </w:t>
            </w:r>
          </w:p>
        </w:tc>
        <w:tc>
          <w:tcPr>
            <w:tcW w:w="109" w:type="dxa"/>
            <w:tcBorders/>
            <w:shd w:fill="702076" w:val="cle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702076"/>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20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7" descr=""/>
                          <pic:cNvPicPr>
                            <a:picLocks noChangeAspect="1" noChangeArrowheads="1"/>
                          </pic:cNvPicPr>
                        </pic:nvPicPr>
                        <pic:blipFill>
                          <a:blip r:embed="rId78"/>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70207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Peter Wilver served as Senior Vice President and Chief Financial Officer of Thermo Fisher Scientific Inc., a leading provider of laboratory products and services, from November 2006 to July 2015 and as Executive Vice President and Chief Administrative Officer from August 2015 until his retirement in March 2017. He served as Vice President and Chief Financial Officer of Thermo Electron from 2004 to 2006 and as Thermo Electron’s Vice President, Financial Operations from 2000 to 2004. Before joining Thermo Electron, Mr. Wilver held financial leadership roles at Honeywell International, Grimes Aerospace Company and General Electric Company. Mr. Wilver holds a BS in Business Administration in Accounting from The Ohio State University and is a certified public accountant.</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904" w:type="dxa"/>
            <w:vMerge w:val="continue"/>
            <w:tcBorders>
              <w:bottom w:val="single" w:sz="2" w:space="0" w:color="702076"/>
            </w:tcBorders>
            <w:tcMar>
              <w:bottom w:w="28" w:type="dxa"/>
            </w:tcMar>
            <w:vAlign w:val="center"/>
          </w:tcPr>
          <w:p>
            <w:pPr>
              <w:pStyle w:val="Normal"/>
              <w:bidi w:val="0"/>
              <w:jc w:val="left"/>
              <w:rPr/>
            </w:pPr>
            <w:r>
              <w:rPr/>
            </w:r>
          </w:p>
        </w:tc>
        <w:tc>
          <w:tcPr>
            <w:tcW w:w="109" w:type="dxa"/>
            <w:vMerge w:val="continue"/>
            <w:tcBorders>
              <w:bottom w:val="single" w:sz="2" w:space="0" w:color="702076"/>
            </w:tcBorders>
            <w:tcMar>
              <w:bottom w:w="28" w:type="dxa"/>
            </w:tcMar>
            <w:vAlign w:val="center"/>
          </w:tcPr>
          <w:p>
            <w:pPr>
              <w:pStyle w:val="Normal"/>
              <w:bidi w:val="0"/>
              <w:jc w:val="left"/>
              <w:rPr/>
            </w:pPr>
            <w:r>
              <w:rPr/>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413" w:type="dxa"/>
            <w:tcBorders>
              <w:bottom w:val="single" w:sz="6" w:space="0" w:color="702076"/>
            </w:tcBorders>
            <w:tcMar>
              <w:bottom w:w="32" w:type="dxa"/>
            </w:tcMar>
            <w:vAlign w:val="center"/>
          </w:tcPr>
          <w:p>
            <w:pPr>
              <w:pStyle w:val="TableContents"/>
              <w:bidi w:val="0"/>
              <w:spacing w:before="0" w:after="0"/>
              <w:jc w:val="left"/>
              <w:rPr/>
            </w:pPr>
            <w:r>
              <w:rPr>
                <w:color w:val="FF5B34"/>
                <w:spacing w:val="2"/>
              </w:rPr>
              <w:t>Committees:</w:t>
            </w:r>
            <w:r>
              <w:rPr>
                <w:spacing w:val="2"/>
              </w:rPr>
              <w:t xml:space="preserve"> Audit and Compliance; Compensation and Human Capital Management</w:t>
            </w:r>
            <w:r>
              <w:rPr/>
              <w:t xml:space="preserve"> </w:t>
              <w:br/>
            </w:r>
            <w:r>
              <w:rPr>
                <w:color w:val="FF5B34"/>
                <w:spacing w:val="2"/>
              </w:rPr>
              <w:t>Former Public Company Directorships During the Past Five Years:</w:t>
            </w:r>
            <w:r>
              <w:rPr>
                <w:spacing w:val="2"/>
              </w:rPr>
              <w:t xml:space="preserve"> Baxter International Inc. (BAX), CIRCOR International, Inc. (CIR), Evoqua Water Technologies Corp. (AQUA); and Shoals Technologies Group, Inc. (SHLS) </w:t>
              <w:b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702076"/>
            </w:tcBorders>
            <w:shd w:fill="CCCCCC" w:val="clear"/>
            <w:tcMar>
              <w:bottom w:w="120" w:type="dxa"/>
            </w:tcMar>
            <w:vAlign w:val="center"/>
          </w:tcPr>
          <w:p>
            <w:pPr>
              <w:pStyle w:val="TableContents"/>
              <w:bidi w:val="0"/>
              <w:spacing w:before="0" w:after="0"/>
              <w:jc w:val="both"/>
              <w:rPr>
                <w:rFonts w:ascii="Tahoma;Geneva;sans-serif" w:hAnsi="Tahoma;Geneva;sans-serif"/>
                <w:b w:val="false"/>
              </w:rPr>
            </w:pPr>
            <w:r>
              <w:rPr>
                <w:rFonts w:ascii="Arial Narrow;Arial;Tahoma;Geneva;sans-serif" w:hAnsi="Arial Narrow;Arial;Tahoma;Geneva;sans-serif"/>
                <w:b/>
                <w:spacing w:val="9"/>
              </w:rPr>
              <w:t>Director Skills:</w:t>
            </w:r>
            <w:r>
              <w:rPr>
                <w:rFonts w:ascii="Tahoma;Geneva;sans-serif" w:hAnsi="Tahoma;Geneva;sans-serif"/>
                <w:b w:val="false"/>
                <w:spacing w:val="2"/>
              </w:rPr>
              <w:t xml:space="preserve"> As a former Chief Financial Officer of a publicly traded multinational company, Mr. Wilver has significant public company experience in financial reporting, investor relations, strategic planning, business development, compensation planning, and strategy formation and execution. Mr. Wilver is also an audit committee financial expert.</w:t>
            </w:r>
            <w:r>
              <w:rPr>
                <w:rFonts w:ascii="Tahoma;Geneva;sans-serif" w:hAnsi="Tahoma;Geneva;sans-serif"/>
                <w:b w:val="false"/>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36"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Director Compensation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caps w:val="false"/>
          <w:smallCaps w:val="false"/>
          <w:color w:val="000000"/>
          <w:sz w:val="20"/>
        </w:rPr>
        <w:t>Overview</w:t>
      </w:r>
      <w:r>
        <w:rPr>
          <w:rFonts w:ascii="Tahoma;Geneva;sans-serif" w:hAnsi="Tahoma;Geneva;sans-serif"/>
          <w:b w:val="false"/>
          <w:i w:val="false"/>
          <w:caps w:val="false"/>
          <w:smallCaps w:val="false"/>
          <w:color w:val="000000"/>
          <w:spacing w:val="2"/>
          <w:sz w:val="20"/>
        </w:rPr>
        <w:t>. The CHCM Committee reviews the total compensation paid to the Company’s non-executive directors on an annual basis. The purpose of the review is to ensure that the level of compensation is appropriate to attract, motivate, develop, and retain a diverse group of directors with the breadth of experience necessary to perform the Board’s duties and to compensate LivaNova’s directors fairly for their services. The review includes the consideration of qualitative and comparative factors. To ensure directors are compensated relative to the scope of their responsibilities, the CHCM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the Chair of the Board (if a non-executive director) and the Lead Director (if the Chair of the Board is an executive director); the level of continuing education required to remain informed of broad corporate governance trends and material developments relevant to strategic initiatives within the Company; and the compensation paid to directors at a peer group of companies as determined by the CHCM Committee with advice from its independent compensation consultant.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Tahoma;Geneva;sans-serif" w:hAnsi="Tahoma;Geneva;sans-serif"/>
          <w:b w:val="false"/>
          <w:i/>
          <w:caps w:val="false"/>
          <w:smallCaps w:val="false"/>
          <w:color w:val="000000"/>
          <w:sz w:val="20"/>
        </w:rPr>
      </w:pPr>
      <w:r>
        <w:rPr>
          <w:rFonts w:ascii="Tahoma;Geneva;sans-serif" w:hAnsi="Tahoma;Geneva;sans-serif"/>
          <w:b w:val="false"/>
          <w:i/>
          <w:caps w:val="false"/>
          <w:smallCaps w:val="false"/>
          <w:color w:val="000000"/>
          <w:sz w:val="20"/>
        </w:rPr>
        <w:t>2024 Director Compensation.</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Non-executive directors who served on the Company’s Board received the following fees paid in cash for their service on the Board in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From January 2024 until the 2024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Board retainer fee of $110,000 ($185,000 for the Board Chair)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485">
                <wp:simplePos x="0" y="0"/>
                <wp:positionH relativeFrom="column">
                  <wp:align>left</wp:align>
                </wp:positionH>
                <wp:positionV relativeFrom="line">
                  <wp:align>top</wp:align>
                </wp:positionV>
                <wp:extent cx="228600" cy="350520"/>
                <wp:effectExtent l="0" t="0" r="0" b="0"/>
                <wp:wrapSquare wrapText="right"/>
                <wp:docPr id="210" name="Frame1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committee Chair fees: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486">
                <wp:simplePos x="0" y="0"/>
                <wp:positionH relativeFrom="column">
                  <wp:align>left</wp:align>
                </wp:positionH>
                <wp:positionV relativeFrom="line">
                  <wp:align>top</wp:align>
                </wp:positionV>
                <wp:extent cx="228600" cy="350520"/>
                <wp:effectExtent l="0" t="0" r="0" b="0"/>
                <wp:wrapSquare wrapText="right"/>
                <wp:docPr id="211" name="Frame1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$20,000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87">
                <wp:simplePos x="0" y="0"/>
                <wp:positionH relativeFrom="column">
                  <wp:align>left</wp:align>
                </wp:positionH>
                <wp:positionV relativeFrom="line">
                  <wp:posOffset>635</wp:posOffset>
                </wp:positionV>
                <wp:extent cx="228600" cy="350520"/>
                <wp:effectExtent l="0" t="0" r="0" b="0"/>
                <wp:wrapSquare wrapText="right"/>
                <wp:docPr id="212" name="Frame1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$20,000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88">
                <wp:simplePos x="0" y="0"/>
                <wp:positionH relativeFrom="column">
                  <wp:align>left</wp:align>
                </wp:positionH>
                <wp:positionV relativeFrom="line">
                  <wp:posOffset>635</wp:posOffset>
                </wp:positionV>
                <wp:extent cx="228600" cy="350520"/>
                <wp:effectExtent l="0" t="0" r="0" b="0"/>
                <wp:wrapSquare wrapText="right"/>
                <wp:docPr id="213" name="Frame1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$30,000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89">
                <wp:simplePos x="0" y="0"/>
                <wp:positionH relativeFrom="column">
                  <wp:align>left</wp:align>
                </wp:positionH>
                <wp:positionV relativeFrom="line">
                  <wp:posOffset>635</wp:posOffset>
                </wp:positionV>
                <wp:extent cx="228600" cy="350520"/>
                <wp:effectExtent l="0" t="0" r="0" b="0"/>
                <wp:wrapSquare wrapText="right"/>
                <wp:docPr id="214" name="Frame1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committee member fees (for members other than the committee chairs):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490">
                <wp:simplePos x="0" y="0"/>
                <wp:positionH relativeFrom="column">
                  <wp:align>left</wp:align>
                </wp:positionH>
                <wp:positionV relativeFrom="line">
                  <wp:align>top</wp:align>
                </wp:positionV>
                <wp:extent cx="228600" cy="350520"/>
                <wp:effectExtent l="0" t="0" r="0" b="0"/>
                <wp:wrapSquare wrapText="right"/>
                <wp:docPr id="215" name="Frame1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91">
                <wp:simplePos x="0" y="0"/>
                <wp:positionH relativeFrom="column">
                  <wp:align>left</wp:align>
                </wp:positionH>
                <wp:positionV relativeFrom="line">
                  <wp:posOffset>635</wp:posOffset>
                </wp:positionV>
                <wp:extent cx="228600" cy="350520"/>
                <wp:effectExtent l="0" t="0" r="0" b="0"/>
                <wp:wrapSquare wrapText="right"/>
                <wp:docPr id="216" name="Frame1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92">
                <wp:simplePos x="0" y="0"/>
                <wp:positionH relativeFrom="column">
                  <wp:align>left</wp:align>
                </wp:positionH>
                <wp:positionV relativeFrom="line">
                  <wp:posOffset>635</wp:posOffset>
                </wp:positionV>
                <wp:extent cx="228600" cy="350520"/>
                <wp:effectExtent l="0" t="0" r="0" b="0"/>
                <wp:wrapSquare wrapText="right"/>
                <wp:docPr id="217" name="Frame1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$15,000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493">
                <wp:simplePos x="0" y="0"/>
                <wp:positionH relativeFrom="column">
                  <wp:align>left</wp:align>
                </wp:positionH>
                <wp:positionV relativeFrom="line">
                  <wp:posOffset>635</wp:posOffset>
                </wp:positionV>
                <wp:extent cx="228600" cy="350520"/>
                <wp:effectExtent l="0" t="0" r="0" b="0"/>
                <wp:wrapSquare wrapText="right"/>
                <wp:docPr id="218" name="Frame1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9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Effective at the time of the 2024 AGM, the annual Board retainer for the Company’s non-executive directors was decreased by $50,000 to $60,000 ($135,000 for the Board Chair) to reflect a more appropriate mix of cash and equity per benchmarking data and the advice of the Company’s independent compensation consultant, Pearl Meyer. No other changes were made to the committee chair and member fees.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1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78" descr=""/>
                          <pic:cNvPicPr>
                            <a:picLocks noChangeAspect="1" noChangeArrowheads="1"/>
                          </pic:cNvPicPr>
                        </pic:nvPicPr>
                        <pic:blipFill>
                          <a:blip r:embed="rId7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29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2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9" descr=""/>
                    <pic:cNvPicPr>
                      <a:picLocks noChangeAspect="1" noChangeArrowheads="1"/>
                    </pic:cNvPicPr>
                  </pic:nvPicPr>
                  <pic:blipFill>
                    <a:blip r:embed="rId8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720"/>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Corresponding to the change in the annual retainer, in 2024, each of the Company’s non-executive directors received an increase of $50,000 to the grant value of their annual service-based share awards from what they had received in 2023 (to $180,000 for non-executive directors other than the Chair of the Board, and to $255,000 for the Board Chair). These are service-based awards that vest after one year, subject to prorated vesting in the event of separation prior to the end of a director’s term.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sets forth a summary of the compensation due to the non-executive directors in the year ended December 31, 2024:</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077"/>
        <w:gridCol w:w="137"/>
        <w:gridCol w:w="137"/>
        <w:gridCol w:w="137"/>
        <w:gridCol w:w="171"/>
        <w:gridCol w:w="171"/>
        <w:gridCol w:w="1392"/>
        <w:gridCol w:w="171"/>
        <w:gridCol w:w="137"/>
        <w:gridCol w:w="137"/>
        <w:gridCol w:w="137"/>
        <w:gridCol w:w="159"/>
        <w:gridCol w:w="159"/>
        <w:gridCol w:w="1297"/>
        <w:gridCol w:w="159"/>
        <w:gridCol w:w="137"/>
        <w:gridCol w:w="137"/>
        <w:gridCol w:w="137"/>
        <w:gridCol w:w="137"/>
        <w:gridCol w:w="137"/>
        <w:gridCol w:w="1121"/>
        <w:gridCol w:w="137"/>
        <w:gridCol w:w="109"/>
        <w:gridCol w:w="169"/>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77" w:type="dxa"/>
            <w:tcBorders/>
            <w:shd w:fill="702076" w:val="clear"/>
            <w:vAlign w:val="center"/>
          </w:tcPr>
          <w:p>
            <w:pPr>
              <w:pStyle w:val="TableContents"/>
              <w:bidi w:val="0"/>
              <w:spacing w:lineRule="atLeast" w:line="142" w:before="0" w:after="0"/>
              <w:jc w:val="left"/>
              <w:rPr/>
            </w:pPr>
            <w:r>
              <w:rPr>
                <w:spacing w:val="2"/>
              </w:rPr>
              <w:t>Name</w:t>
            </w:r>
            <w:r>
              <w:rPr>
                <w:spacing w:val="2"/>
                <w:sz w:val="13"/>
              </w:rPr>
              <w:t>(1)</w:t>
            </w:r>
            <w:r>
              <w:rPr/>
              <w:t xml:space="preserve"> </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905" w:type="dxa"/>
            <w:gridSpan w:val="4"/>
            <w:tcBorders/>
            <w:shd w:fill="702076" w:val="clear"/>
            <w:vAlign w:val="center"/>
          </w:tcPr>
          <w:p>
            <w:pPr>
              <w:pStyle w:val="TableContents"/>
              <w:bidi w:val="0"/>
              <w:spacing w:before="0" w:after="0"/>
              <w:jc w:val="center"/>
              <w:rPr>
                <w:spacing w:val="2"/>
              </w:rPr>
            </w:pPr>
            <w:r>
              <w:rPr>
                <w:spacing w:val="2"/>
              </w:rPr>
              <w:t xml:space="preserve">Fees Earned in Cash ($) </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774" w:type="dxa"/>
            <w:gridSpan w:val="4"/>
            <w:tcBorders/>
            <w:shd w:fill="702076" w:val="clear"/>
            <w:vAlign w:val="center"/>
          </w:tcPr>
          <w:p>
            <w:pPr>
              <w:pStyle w:val="TableContents"/>
              <w:bidi w:val="0"/>
              <w:spacing w:lineRule="atLeast" w:line="142" w:before="0" w:after="0"/>
              <w:jc w:val="center"/>
              <w:rPr/>
            </w:pPr>
            <w:r>
              <w:rPr>
                <w:spacing w:val="2"/>
              </w:rPr>
              <w:t>Stock Awards ($)</w:t>
            </w:r>
            <w:r>
              <w:rPr>
                <w:spacing w:val="2"/>
                <w:sz w:val="13"/>
              </w:rPr>
              <w:t>(2)</w:t>
            </w:r>
            <w:r>
              <w:rPr/>
              <w:t xml:space="preserve"> </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37" w:type="dxa"/>
            <w:tcBorders/>
            <w:shd w:fill="702076" w:val="clear"/>
            <w:vAlign w:val="center"/>
          </w:tcPr>
          <w:p>
            <w:pPr>
              <w:pStyle w:val="TableContents"/>
              <w:bidi w:val="0"/>
              <w:spacing w:before="0" w:after="283"/>
              <w:jc w:val="left"/>
              <w:rPr/>
            </w:pPr>
            <w:r>
              <w:rPr/>
              <w:t>​</w:t>
            </w:r>
          </w:p>
        </w:tc>
        <w:tc>
          <w:tcPr>
            <w:tcW w:w="1532" w:type="dxa"/>
            <w:gridSpan w:val="4"/>
            <w:tcBorders/>
            <w:shd w:fill="702076" w:val="clear"/>
            <w:vAlign w:val="center"/>
          </w:tcPr>
          <w:p>
            <w:pPr>
              <w:pStyle w:val="TableContents"/>
              <w:bidi w:val="0"/>
              <w:spacing w:before="0" w:after="0"/>
              <w:jc w:val="center"/>
              <w:rPr>
                <w:spacing w:val="2"/>
              </w:rPr>
            </w:pPr>
            <w:r>
              <w:rPr>
                <w:spacing w:val="2"/>
              </w:rPr>
              <w:t xml:space="preserve">Total ($) </w:t>
            </w:r>
          </w:p>
        </w:tc>
        <w:tc>
          <w:tcPr>
            <w:tcW w:w="109" w:type="dxa"/>
            <w:tcBorders/>
            <w:shd w:fill="702076" w:val="clear"/>
            <w:vAlign w:val="center"/>
          </w:tcPr>
          <w:p>
            <w:pPr>
              <w:pStyle w:val="TableContents"/>
              <w:bidi w:val="0"/>
              <w:spacing w:before="0" w:after="283"/>
              <w:jc w:val="left"/>
              <w:rPr/>
            </w:pPr>
            <w:r>
              <w:rPr/>
              <w:t>​</w:t>
            </w:r>
          </w:p>
        </w:tc>
        <w:tc>
          <w:tcPr>
            <w:tcW w:w="169"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J. Christopher Barry </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tcMar>
              <w:bottom w:w="45" w:type="dxa"/>
            </w:tcMar>
            <w:vAlign w:val="center"/>
          </w:tcPr>
          <w:p>
            <w:pPr>
              <w:pStyle w:val="TableContents"/>
              <w:bidi w:val="0"/>
              <w:spacing w:before="0" w:after="283"/>
              <w:jc w:val="right"/>
              <w:rPr/>
            </w:pPr>
            <w:r>
              <w:rPr/>
              <w:t>101,808</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tcMar>
              <w:bottom w:w="45" w:type="dxa"/>
            </w:tcMar>
            <w:vAlign w:val="center"/>
          </w:tcPr>
          <w:p>
            <w:pPr>
              <w:pStyle w:val="TableContents"/>
              <w:bidi w:val="0"/>
              <w:spacing w:before="0" w:after="283"/>
              <w:jc w:val="right"/>
              <w:rPr/>
            </w:pPr>
            <w:r>
              <w:rPr/>
              <w:t>281,808</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shd w:fill="CCCCCC" w:val="clear"/>
            <w:tcMar>
              <w:bottom w:w="45" w:type="dxa"/>
            </w:tcMar>
            <w:vAlign w:val="center"/>
          </w:tcPr>
          <w:p>
            <w:pPr>
              <w:pStyle w:val="TableContents"/>
              <w:bidi w:val="0"/>
              <w:spacing w:before="0" w:after="0"/>
              <w:jc w:val="left"/>
              <w:rPr>
                <w:spacing w:val="2"/>
              </w:rPr>
            </w:pPr>
            <w:r>
              <w:rPr>
                <w:spacing w:val="2"/>
              </w:rPr>
              <w:t xml:space="preserve">Francesco Bianchi </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shd w:fill="CCCCCC" w:val="clear"/>
            <w:tcMar>
              <w:bottom w:w="45" w:type="dxa"/>
            </w:tcMar>
            <w:vAlign w:val="center"/>
          </w:tcPr>
          <w:p>
            <w:pPr>
              <w:pStyle w:val="TableContents"/>
              <w:bidi w:val="0"/>
              <w:spacing w:before="0" w:after="283"/>
              <w:jc w:val="right"/>
              <w:rPr/>
            </w:pPr>
            <w:r>
              <w:rPr/>
              <w:t>105,390</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shd w:fill="CCCCCC" w:val="clear"/>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shd w:fill="CCCCCC" w:val="clear"/>
            <w:tcMar>
              <w:bottom w:w="45" w:type="dxa"/>
            </w:tcMar>
            <w:vAlign w:val="center"/>
          </w:tcPr>
          <w:p>
            <w:pPr>
              <w:pStyle w:val="TableContents"/>
              <w:bidi w:val="0"/>
              <w:spacing w:before="0" w:after="283"/>
              <w:jc w:val="right"/>
              <w:rPr/>
            </w:pPr>
            <w:r>
              <w:rPr/>
              <w:t>285,390</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69"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Stacy Enxing Seng </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tcMar>
              <w:bottom w:w="45" w:type="dxa"/>
            </w:tcMar>
            <w:vAlign w:val="center"/>
          </w:tcPr>
          <w:p>
            <w:pPr>
              <w:pStyle w:val="TableContents"/>
              <w:bidi w:val="0"/>
              <w:spacing w:before="0" w:after="283"/>
              <w:jc w:val="right"/>
              <w:rPr/>
            </w:pPr>
            <w:r>
              <w:rPr/>
              <w:t>102,390</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tcMar>
              <w:bottom w:w="45" w:type="dxa"/>
            </w:tcMar>
            <w:vAlign w:val="center"/>
          </w:tcPr>
          <w:p>
            <w:pPr>
              <w:pStyle w:val="TableContents"/>
              <w:bidi w:val="0"/>
              <w:spacing w:before="0" w:after="283"/>
              <w:jc w:val="right"/>
              <w:rPr/>
            </w:pPr>
            <w:r>
              <w:rPr/>
              <w:t>282,390</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shd w:fill="CCCCCC" w:val="clear"/>
            <w:tcMar>
              <w:bottom w:w="45" w:type="dxa"/>
            </w:tcMar>
            <w:vAlign w:val="center"/>
          </w:tcPr>
          <w:p>
            <w:pPr>
              <w:pStyle w:val="TableContents"/>
              <w:bidi w:val="0"/>
              <w:spacing w:lineRule="atLeast" w:line="142" w:before="0" w:after="0"/>
              <w:jc w:val="left"/>
              <w:rPr/>
            </w:pPr>
            <w:r>
              <w:rPr>
                <w:spacing w:val="2"/>
              </w:rPr>
              <w:t>Dr. Sharon O’Kane</w:t>
            </w:r>
            <w:r>
              <w:rPr>
                <w:spacing w:val="2"/>
                <w:sz w:val="13"/>
              </w:rPr>
              <w:t>(3)</w:t>
            </w:r>
            <w:r>
              <w:rPr/>
              <w:t xml:space="preserve"> </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shd w:fill="CCCCCC" w:val="clear"/>
            <w:tcMar>
              <w:bottom w:w="45" w:type="dxa"/>
            </w:tcMar>
            <w:vAlign w:val="center"/>
          </w:tcPr>
          <w:p>
            <w:pPr>
              <w:pStyle w:val="TableContents"/>
              <w:bidi w:val="0"/>
              <w:spacing w:before="0" w:after="283"/>
              <w:jc w:val="right"/>
              <w:rPr/>
            </w:pPr>
            <w:r>
              <w:rPr/>
              <w:t>107,335</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shd w:fill="CCCCCC" w:val="clear"/>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shd w:fill="CCCCCC" w:val="clear"/>
            <w:tcMar>
              <w:bottom w:w="45" w:type="dxa"/>
            </w:tcMar>
            <w:vAlign w:val="center"/>
          </w:tcPr>
          <w:p>
            <w:pPr>
              <w:pStyle w:val="TableContents"/>
              <w:bidi w:val="0"/>
              <w:spacing w:before="0" w:after="283"/>
              <w:jc w:val="right"/>
              <w:rPr/>
            </w:pPr>
            <w:r>
              <w:rPr/>
              <w:t>287,335</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69"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tcMar>
              <w:bottom w:w="45" w:type="dxa"/>
            </w:tcMar>
            <w:vAlign w:val="center"/>
          </w:tcPr>
          <w:p>
            <w:pPr>
              <w:pStyle w:val="TableContents"/>
              <w:bidi w:val="0"/>
              <w:spacing w:lineRule="atLeast" w:line="142" w:before="0" w:after="0"/>
              <w:jc w:val="left"/>
              <w:rPr/>
            </w:pPr>
            <w:r>
              <w:rPr>
                <w:spacing w:val="2"/>
              </w:rPr>
              <w:t>Susan Podlogar</w:t>
            </w:r>
            <w:r>
              <w:rPr>
                <w:spacing w:val="2"/>
                <w:sz w:val="13"/>
              </w:rPr>
              <w:t>(4)</w:t>
            </w:r>
            <w:r>
              <w:rPr/>
              <w:t xml:space="preserve"> </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tcMar>
              <w:bottom w:w="45" w:type="dxa"/>
            </w:tcMar>
            <w:vAlign w:val="center"/>
          </w:tcPr>
          <w:p>
            <w:pPr>
              <w:pStyle w:val="TableContents"/>
              <w:bidi w:val="0"/>
              <w:spacing w:before="0" w:after="283"/>
              <w:jc w:val="right"/>
              <w:rPr/>
            </w:pPr>
            <w:r>
              <w:rPr/>
              <w:t>15,707</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tcMar>
              <w:bottom w:w="45" w:type="dxa"/>
            </w:tcMar>
            <w:vAlign w:val="center"/>
          </w:tcPr>
          <w:p>
            <w:pPr>
              <w:pStyle w:val="TableContents"/>
              <w:bidi w:val="0"/>
              <w:spacing w:before="0" w:after="283"/>
              <w:jc w:val="right"/>
              <w:rPr/>
            </w:pPr>
            <w:r>
              <w:rPr/>
              <w:t>121,315</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tcMar>
              <w:bottom w:w="45" w:type="dxa"/>
            </w:tcMar>
            <w:vAlign w:val="center"/>
          </w:tcPr>
          <w:p>
            <w:pPr>
              <w:pStyle w:val="TableContents"/>
              <w:bidi w:val="0"/>
              <w:spacing w:before="0" w:after="283"/>
              <w:jc w:val="right"/>
              <w:rPr/>
            </w:pPr>
            <w:r>
              <w:rPr/>
              <w:t>137,022</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shd w:fill="CCCCCC" w:val="clear"/>
            <w:tcMar>
              <w:bottom w:w="45" w:type="dxa"/>
            </w:tcMar>
            <w:vAlign w:val="center"/>
          </w:tcPr>
          <w:p>
            <w:pPr>
              <w:pStyle w:val="TableContents"/>
              <w:bidi w:val="0"/>
              <w:spacing w:before="0" w:after="0"/>
              <w:jc w:val="left"/>
              <w:rPr>
                <w:spacing w:val="2"/>
              </w:rPr>
            </w:pPr>
            <w:r>
              <w:rPr>
                <w:spacing w:val="2"/>
              </w:rPr>
              <w:t xml:space="preserve">Todd Schermerhorn </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shd w:fill="CCCCCC" w:val="clear"/>
            <w:tcMar>
              <w:bottom w:w="45" w:type="dxa"/>
            </w:tcMar>
            <w:vAlign w:val="center"/>
          </w:tcPr>
          <w:p>
            <w:pPr>
              <w:pStyle w:val="TableContents"/>
              <w:bidi w:val="0"/>
              <w:spacing w:before="0" w:after="283"/>
              <w:jc w:val="right"/>
              <w:rPr/>
            </w:pPr>
            <w:r>
              <w:rPr/>
              <w:t>112,390</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shd w:fill="CCCCCC" w:val="clear"/>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shd w:fill="CCCCCC" w:val="clear"/>
            <w:tcMar>
              <w:bottom w:w="45" w:type="dxa"/>
            </w:tcMar>
            <w:vAlign w:val="center"/>
          </w:tcPr>
          <w:p>
            <w:pPr>
              <w:pStyle w:val="TableContents"/>
              <w:bidi w:val="0"/>
              <w:spacing w:before="0" w:after="283"/>
              <w:jc w:val="right"/>
              <w:rPr/>
            </w:pPr>
            <w:r>
              <w:rPr/>
              <w:t>292,390</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69"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Brooke Story </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tcMar>
              <w:bottom w:w="45" w:type="dxa"/>
            </w:tcMar>
            <w:vAlign w:val="center"/>
          </w:tcPr>
          <w:p>
            <w:pPr>
              <w:pStyle w:val="TableContents"/>
              <w:bidi w:val="0"/>
              <w:spacing w:before="0" w:after="283"/>
              <w:jc w:val="right"/>
              <w:rPr/>
            </w:pPr>
            <w:r>
              <w:rPr/>
              <w:t>90,390</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tcMar>
              <w:bottom w:w="45" w:type="dxa"/>
            </w:tcMar>
            <w:vAlign w:val="center"/>
          </w:tcPr>
          <w:p>
            <w:pPr>
              <w:pStyle w:val="TableContents"/>
              <w:bidi w:val="0"/>
              <w:spacing w:before="0" w:after="283"/>
              <w:jc w:val="right"/>
              <w:rPr/>
            </w:pPr>
            <w:r>
              <w:rPr/>
              <w:t>270,390</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shd w:fill="CCCCCC" w:val="clear"/>
            <w:tcMar>
              <w:bottom w:w="45" w:type="dxa"/>
            </w:tcMar>
            <w:vAlign w:val="center"/>
          </w:tcPr>
          <w:p>
            <w:pPr>
              <w:pStyle w:val="TableContents"/>
              <w:bidi w:val="0"/>
              <w:spacing w:before="0" w:after="0"/>
              <w:jc w:val="left"/>
              <w:rPr>
                <w:spacing w:val="2"/>
              </w:rPr>
            </w:pPr>
            <w:r>
              <w:rPr>
                <w:spacing w:val="2"/>
              </w:rPr>
              <w:t xml:space="preserve">Peter Wilver </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shd w:fill="CCCCCC" w:val="clear"/>
            <w:tcMar>
              <w:bottom w:w="45" w:type="dxa"/>
            </w:tcMar>
            <w:vAlign w:val="center"/>
          </w:tcPr>
          <w:p>
            <w:pPr>
              <w:pStyle w:val="TableContents"/>
              <w:bidi w:val="0"/>
              <w:spacing w:before="0" w:after="283"/>
              <w:jc w:val="right"/>
              <w:rPr/>
            </w:pPr>
            <w:r>
              <w:rPr/>
              <w:t>105,390</w:t>
            </w:r>
          </w:p>
        </w:tc>
        <w:tc>
          <w:tcPr>
            <w:tcW w:w="171"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shd w:fill="CCCCCC" w:val="clear"/>
            <w:tcMar>
              <w:bottom w:w="45" w:type="dxa"/>
            </w:tcMar>
            <w:vAlign w:val="center"/>
          </w:tcPr>
          <w:p>
            <w:pPr>
              <w:pStyle w:val="TableContents"/>
              <w:bidi w:val="0"/>
              <w:spacing w:before="0" w:after="283"/>
              <w:jc w:val="right"/>
              <w:rPr/>
            </w:pPr>
            <w:r>
              <w:rPr/>
              <w:t>180,000</w:t>
            </w:r>
          </w:p>
        </w:tc>
        <w:tc>
          <w:tcPr>
            <w:tcW w:w="15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shd w:fill="CCCCCC" w:val="clear"/>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shd w:fill="CCCCCC" w:val="clear"/>
            <w:tcMar>
              <w:bottom w:w="45" w:type="dxa"/>
            </w:tcMar>
            <w:vAlign w:val="center"/>
          </w:tcPr>
          <w:p>
            <w:pPr>
              <w:pStyle w:val="TableContents"/>
              <w:bidi w:val="0"/>
              <w:spacing w:before="0" w:after="283"/>
              <w:jc w:val="right"/>
              <w:rPr/>
            </w:pPr>
            <w:r>
              <w:rPr/>
              <w:t>285,390</w:t>
            </w:r>
          </w:p>
        </w:tc>
        <w:tc>
          <w:tcPr>
            <w:tcW w:w="137"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69"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7" w:type="dxa"/>
            <w:tcBorders>
              <w:bottom w:val="single" w:sz="6" w:space="0" w:color="702076"/>
            </w:tcBorders>
            <w:tcMar>
              <w:bottom w:w="45" w:type="dxa"/>
            </w:tcMar>
            <w:vAlign w:val="center"/>
          </w:tcPr>
          <w:p>
            <w:pPr>
              <w:pStyle w:val="TableContents"/>
              <w:bidi w:val="0"/>
              <w:spacing w:lineRule="atLeast" w:line="142" w:before="0" w:after="0"/>
              <w:jc w:val="left"/>
              <w:rPr/>
            </w:pPr>
            <w:r>
              <w:rPr>
                <w:spacing w:val="2"/>
              </w:rPr>
              <w:t>Daniel Moore</w:t>
            </w:r>
            <w:r>
              <w:rPr>
                <w:spacing w:val="2"/>
                <w:sz w:val="13"/>
              </w:rPr>
              <w:t>(5)</w:t>
            </w:r>
            <w:r>
              <w:rPr/>
              <w:t xml:space="preserve"> </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71" w:type="dxa"/>
            <w:tcBorders>
              <w:bottom w:val="single" w:sz="6" w:space="0" w:color="702076"/>
            </w:tcBorders>
            <w:tcMar>
              <w:bottom w:w="45" w:type="dxa"/>
            </w:tcMar>
            <w:vAlign w:val="center"/>
          </w:tcPr>
          <w:p>
            <w:pPr>
              <w:pStyle w:val="TableContents"/>
              <w:bidi w:val="0"/>
              <w:spacing w:before="0" w:after="283"/>
              <w:jc w:val="right"/>
              <w:rPr/>
            </w:pPr>
            <w:r>
              <w:rPr/>
              <w:t>​</w:t>
            </w:r>
          </w:p>
        </w:tc>
        <w:tc>
          <w:tcPr>
            <w:tcW w:w="1392" w:type="dxa"/>
            <w:tcBorders>
              <w:bottom w:val="single" w:sz="6" w:space="0" w:color="702076"/>
            </w:tcBorders>
            <w:tcMar>
              <w:bottom w:w="45" w:type="dxa"/>
            </w:tcMar>
            <w:vAlign w:val="center"/>
          </w:tcPr>
          <w:p>
            <w:pPr>
              <w:pStyle w:val="TableContents"/>
              <w:bidi w:val="0"/>
              <w:spacing w:before="0" w:after="283"/>
              <w:jc w:val="right"/>
              <w:rPr/>
            </w:pPr>
            <w:r>
              <w:rPr/>
              <w:t>52,841</w:t>
            </w:r>
          </w:p>
        </w:tc>
        <w:tc>
          <w:tcPr>
            <w:tcW w:w="171"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59" w:type="dxa"/>
            <w:tcBorders>
              <w:bottom w:val="single" w:sz="6" w:space="0" w:color="702076"/>
            </w:tcBorders>
            <w:tcMar>
              <w:bottom w:w="45" w:type="dxa"/>
            </w:tcMar>
            <w:vAlign w:val="center"/>
          </w:tcPr>
          <w:p>
            <w:pPr>
              <w:pStyle w:val="TableContents"/>
              <w:bidi w:val="0"/>
              <w:spacing w:before="0" w:after="283"/>
              <w:jc w:val="right"/>
              <w:rPr/>
            </w:pPr>
            <w:r>
              <w:rPr/>
              <w:t>​</w:t>
            </w:r>
          </w:p>
        </w:tc>
        <w:tc>
          <w:tcPr>
            <w:tcW w:w="1297" w:type="dxa"/>
            <w:tcBorders>
              <w:bottom w:val="single" w:sz="6" w:space="0" w:color="702076"/>
            </w:tcBorders>
            <w:tcMar>
              <w:bottom w:w="45" w:type="dxa"/>
            </w:tcMar>
            <w:vAlign w:val="center"/>
          </w:tcPr>
          <w:p>
            <w:pPr>
              <w:pStyle w:val="TableContents"/>
              <w:bidi w:val="0"/>
              <w:spacing w:before="0" w:after="283"/>
              <w:jc w:val="right"/>
              <w:rPr/>
            </w:pPr>
            <w:r>
              <w:rPr/>
              <w:t>—</w:t>
            </w:r>
          </w:p>
        </w:tc>
        <w:tc>
          <w:tcPr>
            <w:tcW w:w="15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45" w:type="dxa"/>
            </w:tcMar>
            <w:vAlign w:val="center"/>
          </w:tcPr>
          <w:p>
            <w:pPr>
              <w:pStyle w:val="TableContents"/>
              <w:bidi w:val="0"/>
              <w:spacing w:before="0" w:after="283"/>
              <w:jc w:val="right"/>
              <w:rPr/>
            </w:pPr>
            <w:r>
              <w:rPr/>
              <w:t>​</w:t>
            </w:r>
          </w:p>
        </w:tc>
        <w:tc>
          <w:tcPr>
            <w:tcW w:w="1121" w:type="dxa"/>
            <w:tcBorders>
              <w:bottom w:val="single" w:sz="6" w:space="0" w:color="702076"/>
            </w:tcBorders>
            <w:tcMar>
              <w:bottom w:w="45" w:type="dxa"/>
            </w:tcMar>
            <w:vAlign w:val="center"/>
          </w:tcPr>
          <w:p>
            <w:pPr>
              <w:pStyle w:val="TableContents"/>
              <w:bidi w:val="0"/>
              <w:spacing w:before="0" w:after="283"/>
              <w:jc w:val="right"/>
              <w:rPr/>
            </w:pPr>
            <w:r>
              <w:rPr/>
              <w:t>52,841</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8521" w:type="dxa"/>
            <w:gridSpan w:val="22"/>
            <w:tcBorders>
              <w:bottom w:val="single" w:sz="6" w:space="0" w:color="702076"/>
            </w:tcBorders>
            <w:shd w:fill="CCCCCC" w:val="clear"/>
            <w:tcMar>
              <w:bottom w:w="45" w:type="dxa"/>
            </w:tcMar>
            <w:vAlign w:val="center"/>
          </w:tcPr>
          <w:p>
            <w:pPr>
              <w:pStyle w:val="TableContents"/>
              <w:bidi w:val="0"/>
              <w:spacing w:lineRule="atLeast" w:line="200" w:before="0" w:after="0"/>
              <w:ind w:left="400" w:right="0" w:hanging="0"/>
              <w:jc w:val="both"/>
              <w:rPr>
                <w:spacing w:val="2"/>
              </w:rPr>
            </w:pPr>
            <w:r>
              <w:rPr>
                <w:spacing w:val="2"/>
              </w:rPr>
              <w:t xml:space="preserve">Mr. Kozy is not included in this table as he was an employee of the company for a portion of fiscal 2024. See “Compensation Discussion &amp; Analysis — Compensation Tables — Summary Compensation Table” for information about the compensation earned by Mr. Kozy in fiscal 2024 in his capacity as both a non-executive director and Interim Chief Executive Officer of the Company. </w:t>
            </w:r>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254000" cy="350520"/>
                      <wp:effectExtent l="0" t="0" r="0" b="0"/>
                      <wp:wrapSquare wrapText="right"/>
                      <wp:docPr id="221"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400" w:right="0" w:hanging="0"/>
              <w:jc w:val="both"/>
              <w:rPr>
                <w:spacing w:val="2"/>
              </w:rPr>
            </w:pPr>
            <w:r>
              <w:rPr>
                <w:spacing w:val="2"/>
              </w:rPr>
              <w:t xml:space="preserve">Amounts reflect the full grant date fair value of RSUs granted in 2024 computed in accordance with FASB ASC Topic 718, rather than the amounts paid to or realized by the named individual. The Company provides information regarding the assumptions used to calculate the value of all stock awards and option awards made to its directors in “Note 13. Stock-Based Incentive Plans” in the Company’s U.S. Annual Report on Form 10-K for the year ended December 31, 2024. The RSUs shown in the table will generally vest on the earlier of (i) the anniversary of the grant date and (ii) the date of a Change in Control (as defined in the relevant RSU agreement). As of December 31, 2024, all RSU awards reflected in the column were unvested. The stock award values shown above correspond to 3,416 RSUs, except for Ms. Podlogar, who received a pro-rated grant award of 2,355 RSUs in connection with her appointment to the Board on October 8, 2024. </w:t>
            </w:r>
            <w:r>
              <mc:AlternateContent>
                <mc:Choice Requires="wps">
                  <w:drawing>
                    <wp:anchor behindDoc="0" distT="25400" distB="0" distL="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222"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0"/>
              <w:ind w:left="400" w:right="0" w:hanging="0"/>
              <w:jc w:val="left"/>
              <w:rPr>
                <w:spacing w:val="2"/>
              </w:rPr>
            </w:pPr>
            <w:r>
              <w:rPr>
                <w:spacing w:val="2"/>
              </w:rPr>
              <w:t xml:space="preserve">Dr. O’Kane served for a portion of fiscal 2024 as Lead Director. </w:t>
            </w:r>
            <w:r>
              <mc:AlternateContent>
                <mc:Choice Requires="wps">
                  <w:drawing>
                    <wp:anchor behindDoc="0" distT="25400" distB="0" distL="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223"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0"/>
              <w:ind w:left="400" w:right="0" w:hanging="0"/>
              <w:jc w:val="left"/>
              <w:rPr>
                <w:spacing w:val="2"/>
              </w:rPr>
            </w:pPr>
            <w:r>
              <w:rPr>
                <w:spacing w:val="2"/>
              </w:rPr>
              <w:t xml:space="preserve">Ms. Podlogar was appointed on October 8, 2024. Accordingly, her director’s fees and stock awards for 2024 are pro-rated. </w:t>
            </w:r>
            <w:r>
              <mc:AlternateContent>
                <mc:Choice Requires="wps">
                  <w:drawing>
                    <wp:anchor behindDoc="0" distT="25400" distB="0" distL="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224"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0"/>
              <w:ind w:left="400" w:right="0" w:hanging="0"/>
              <w:jc w:val="left"/>
              <w:rPr/>
            </w:pPr>
            <w:r>
              <w:rPr>
                <w:spacing w:val="2"/>
              </w:rPr>
              <w:t>Mr. Moore was not renominated for election to the Board at the 2024 AGM. His term expired on June 12, 2024.</w:t>
            </w:r>
            <w:r>
              <w:rPr/>
              <w:t xml:space="preserve"> </w:t>
            </w:r>
            <w:r>
              <mc:AlternateContent>
                <mc:Choice Requires="wps">
                  <w:drawing>
                    <wp:anchor behindDoc="0" distT="25400" distB="0" distL="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225"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69"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30" w:after="283"/>
        <w:ind w:left="1173" w:right="0" w:hanging="0"/>
        <w:jc w:val="left"/>
        <w:rPr>
          <w:rFonts w:ascii="Tahoma;Geneva;sans-serif" w:hAnsi="Tahoma;Geneva;sans-serif"/>
          <w:b w:val="false"/>
          <w:i/>
          <w:caps w:val="false"/>
          <w:smallCaps w:val="false"/>
          <w:color w:val="000000"/>
          <w:sz w:val="20"/>
        </w:rPr>
      </w:pPr>
      <w:r>
        <w:rPr>
          <w:rFonts w:ascii="Tahoma;Geneva;sans-serif" w:hAnsi="Tahoma;Geneva;sans-serif"/>
          <w:b w:val="false"/>
          <w:i/>
          <w:caps w:val="false"/>
          <w:smallCaps w:val="false"/>
          <w:color w:val="000000"/>
          <w:sz w:val="20"/>
        </w:rPr>
        <w:t>2025 Director Compensation.</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benchmarking data and upon the advice of its independent compensation consultant, Pearl Meyer, the CHCM Committee recommended to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 increase of $10,000 to the non-executive director cash retainer (to $70,000 for non-executive directors other than the Chair of the Board, and to $145,000 for the Chair of the Board);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499">
                <wp:simplePos x="0" y="0"/>
                <wp:positionH relativeFrom="column">
                  <wp:align>left</wp:align>
                </wp:positionH>
                <wp:positionV relativeFrom="line">
                  <wp:posOffset>635</wp:posOffset>
                </wp:positionV>
                <wp:extent cx="228600" cy="350520"/>
                <wp:effectExtent l="0" t="0" r="0" b="0"/>
                <wp:wrapSquare wrapText="right"/>
                <wp:docPr id="226" name="Frame1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 increase of $2,000 to the annual NCG and CHCM committee member fees (for members other than the committee chairs) to $10,000;</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00">
                <wp:simplePos x="0" y="0"/>
                <wp:positionH relativeFrom="column">
                  <wp:align>left</wp:align>
                </wp:positionH>
                <wp:positionV relativeFrom="line">
                  <wp:posOffset>635</wp:posOffset>
                </wp:positionV>
                <wp:extent cx="228600" cy="350520"/>
                <wp:effectExtent l="0" t="0" r="0" b="0"/>
                <wp:wrapSquare wrapText="right"/>
                <wp:docPr id="227" name="Frame1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 increase of $5,000 to the non-executive director stock award grant date fair market (to $185,000 for non-executive directors other than the Chair of the Board, and to $260,000 for the Chair of the Board);</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01">
                <wp:simplePos x="0" y="0"/>
                <wp:positionH relativeFrom="column">
                  <wp:align>left</wp:align>
                </wp:positionH>
                <wp:positionV relativeFrom="line">
                  <wp:posOffset>635</wp:posOffset>
                </wp:positionV>
                <wp:extent cx="228600" cy="350520"/>
                <wp:effectExtent l="0" t="0" r="0" b="0"/>
                <wp:wrapSquare wrapText="right"/>
                <wp:docPr id="228" name="Frame1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April 2025, the Board approved these changes, to take effect at the 2025 AGM. No other changes were made to director compensation in 2025.</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30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8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XOF1"/>
      <w:bookmarkEnd w:id="20"/>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1" descr=""/>
                    <pic:cNvPicPr>
                      <a:picLocks noChangeAspect="1" noChangeArrowheads="1"/>
                    </pic:cNvPicPr>
                  </pic:nvPicPr>
                  <pic:blipFill>
                    <a:blip r:embed="rId8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234" w:type="dxa"/>
        <w:jc w:val="left"/>
        <w:tblInd w:w="1173" w:type="dxa"/>
        <w:tblLayout w:type="fixed"/>
        <w:tblCellMar>
          <w:top w:w="0" w:type="dxa"/>
          <w:left w:w="0" w:type="dxa"/>
          <w:bottom w:w="0" w:type="dxa"/>
          <w:right w:w="0" w:type="dxa"/>
        </w:tblCellMar>
      </w:tblPr>
      <w:tblGrid>
        <w:gridCol w:w="124"/>
        <w:gridCol w:w="2956"/>
        <w:gridCol w:w="154"/>
      </w:tblGrid>
      <w:tr>
        <w:trPr/>
        <w:tc>
          <w:tcPr>
            <w:tcW w:w="124" w:type="dxa"/>
            <w:tcBorders/>
            <w:shd w:fill="702076" w:val="clear"/>
            <w:vAlign w:val="center"/>
          </w:tcPr>
          <w:p>
            <w:pPr>
              <w:pStyle w:val="TableContents"/>
              <w:bidi w:val="0"/>
              <w:spacing w:before="0" w:after="283"/>
              <w:jc w:val="left"/>
              <w:rPr/>
            </w:pPr>
            <w:r>
              <w:rPr/>
              <w:t>​</w:t>
            </w:r>
          </w:p>
        </w:tc>
        <w:tc>
          <w:tcPr>
            <w:tcW w:w="2956" w:type="dxa"/>
            <w:tcBorders/>
            <w:shd w:fill="702076" w:val="clear"/>
            <w:vAlign w:val="center"/>
          </w:tcPr>
          <w:p>
            <w:pPr>
              <w:pStyle w:val="TableContents"/>
              <w:bidi w:val="0"/>
              <w:spacing w:lineRule="atLeast" w:line="240" w:before="0" w:after="0"/>
              <w:jc w:val="center"/>
              <w:rPr/>
            </w:pPr>
            <w:r>
              <w:rPr>
                <w:spacing w:val="14"/>
              </w:rPr>
              <w:t>EXECUTIVE OFFICERS</w:t>
            </w:r>
            <w:r>
              <w:rPr/>
              <w:t xml:space="preserve">​ </w:t>
            </w:r>
          </w:p>
        </w:tc>
        <w:tc>
          <w:tcPr>
            <w:tcW w:w="154" w:type="dxa"/>
            <w:tcBorders/>
            <w:shd w:fill="702076" w:val="clear"/>
            <w:vAlign w:val="center"/>
          </w:tcPr>
          <w:p>
            <w:pPr>
              <w:pStyle w:val="TableContents"/>
              <w:bidi w:val="0"/>
              <w:spacing w:before="0" w:after="283"/>
              <w:jc w:val="left"/>
              <w:rPr/>
            </w:pPr>
            <w:r>
              <w:rPr/>
              <w:t>​</w:t>
            </w:r>
          </w:p>
        </w:tc>
      </w:tr>
    </w:tbl>
    <w:tbl>
      <w:tblPr>
        <w:tblW w:w="6725" w:type="dxa"/>
        <w:jc w:val="left"/>
        <w:tblInd w:w="1173" w:type="dxa"/>
        <w:tblLayout w:type="fixed"/>
        <w:tblCellMar>
          <w:top w:w="0" w:type="dxa"/>
          <w:left w:w="0" w:type="dxa"/>
          <w:bottom w:w="0" w:type="dxa"/>
          <w:right w:w="0" w:type="dxa"/>
        </w:tblCellMar>
      </w:tblPr>
      <w:tblGrid>
        <w:gridCol w:w="124"/>
        <w:gridCol w:w="109"/>
        <w:gridCol w:w="2133"/>
        <w:gridCol w:w="109"/>
        <w:gridCol w:w="109"/>
        <w:gridCol w:w="109"/>
        <w:gridCol w:w="575"/>
        <w:gridCol w:w="109"/>
        <w:gridCol w:w="109"/>
        <w:gridCol w:w="109"/>
        <w:gridCol w:w="2867"/>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133" w:type="dxa"/>
            <w:tcBorders/>
            <w:shd w:fill="702076" w:val="clear"/>
            <w:vAlign w:val="center"/>
          </w:tcPr>
          <w:p>
            <w:pPr>
              <w:pStyle w:val="TableContents"/>
              <w:bidi w:val="0"/>
              <w:spacing w:lineRule="atLeast" w:line="225" w:before="0" w:after="0"/>
              <w:jc w:val="center"/>
              <w:rPr>
                <w:spacing w:val="2"/>
              </w:rPr>
            </w:pPr>
            <w:r>
              <w:rPr>
                <w:spacing w:val="2"/>
              </w:rPr>
              <w:t xml:space="preserve">Name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75" w:type="dxa"/>
            <w:tcBorders/>
            <w:shd w:fill="702076" w:val="clear"/>
            <w:vAlign w:val="center"/>
          </w:tcPr>
          <w:p>
            <w:pPr>
              <w:pStyle w:val="TableContents"/>
              <w:bidi w:val="0"/>
              <w:spacing w:lineRule="atLeast" w:line="225" w:before="0" w:after="0"/>
              <w:jc w:val="center"/>
              <w:rPr>
                <w:spacing w:val="2"/>
              </w:rPr>
            </w:pPr>
            <w:r>
              <w:rPr>
                <w:spacing w:val="2"/>
              </w:rPr>
              <w:t xml:space="preserve">Age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867" w:type="dxa"/>
            <w:tcBorders/>
            <w:shd w:fill="702076" w:val="clear"/>
            <w:vAlign w:val="center"/>
          </w:tcPr>
          <w:p>
            <w:pPr>
              <w:pStyle w:val="TableContents"/>
              <w:bidi w:val="0"/>
              <w:spacing w:lineRule="atLeast" w:line="225" w:before="0" w:after="0"/>
              <w:jc w:val="center"/>
              <w:rPr/>
            </w:pPr>
            <w:r>
              <w:rPr>
                <w:spacing w:val="2"/>
              </w:rPr>
              <w:t>Position</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Vladimir Makatsaria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52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Chief Executive Officer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Alex Shvartsburg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55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Chief Financial Officer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Michael Hutchinson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54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Chief Legal Officer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Stephanie Bolton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43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President, Global Epilepsy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Franco Poletti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63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President, Cardiopulmonary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133"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Ahmet Tezel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75" w:type="dxa"/>
            <w:tcBorders>
              <w:bottom w:val="single" w:sz="8" w:space="0" w:color="702076"/>
            </w:tcBorders>
            <w:tcMar>
              <w:bottom w:w="120"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67" w:type="dxa"/>
            <w:tcBorders>
              <w:bottom w:val="single" w:sz="8" w:space="0" w:color="702076"/>
            </w:tcBorders>
            <w:tcMar>
              <w:bottom w:w="120" w:type="dxa"/>
            </w:tcMar>
            <w:vAlign w:val="center"/>
          </w:tcPr>
          <w:p>
            <w:pPr>
              <w:pStyle w:val="TableContents"/>
              <w:bidi w:val="0"/>
              <w:spacing w:before="0" w:after="0"/>
              <w:jc w:val="center"/>
              <w:rPr/>
            </w:pPr>
            <w:r>
              <w:rPr>
                <w:spacing w:val="2"/>
              </w:rPr>
              <w:t>Chief Innovation Officer</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6" w:after="283"/>
        <w:ind w:left="1173" w:right="0" w:hanging="0"/>
        <w:jc w:val="both"/>
        <w:rPr>
          <w:rFonts w:ascii="Arial Narrow;Arial;Tahoma;Geneva;sans-serif" w:hAnsi="Arial Narrow;Arial;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Vladimir Makatsaria’s</w:t>
      </w:r>
      <w:r>
        <w:rPr>
          <w:rFonts w:ascii="Arial Narrow;Arial;Tahoma;Geneva;sans-serif" w:hAnsi="Arial Narrow;Arial;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biographical information is set forth under “Director Nominees.”</w:t>
      </w:r>
      <w:r>
        <w:rPr>
          <w:rFonts w:ascii="Arial Narrow;Arial;Tahoma;Geneva;sans-serif" w:hAnsi="Arial Narrow;Arial;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Alex Shvartsburg</w:t>
      </w:r>
      <w:r>
        <w:rPr>
          <w:rFonts w:ascii="Tahoma;Geneva;sans-serif" w:hAnsi="Tahoma;Geneva;sans-serif"/>
          <w:b w:val="false"/>
          <w:i w:val="false"/>
          <w:caps w:val="false"/>
          <w:smallCaps w:val="false"/>
          <w:color w:val="000000"/>
          <w:spacing w:val="2"/>
          <w:sz w:val="20"/>
        </w:rPr>
        <w:t xml:space="preserve"> joined LivaNova in September 2017 as Vice President, Finance, Strategy &amp; Innovation (September 2017 to January 2020) and then became Vice President, Corporate Finance &amp; Chief Financial Officer, International Markets (January 2020 to November 2020). He assumed the role of Interim Chief Financial Officer in November 2020 and became CFO in July 2021. Prior to joining the Company, Mr. Shvartsburg was Chief Financial Officer/Chief Operating Officer of Caligor Coghlan Pharma Services (f/k/a CaligorRx), a global provider of clinical supply services (June 2016 to September 2017); Vice President, Finance Genetic Science Division at Thermo Fisher Scientific (January 2014 to June 2016); and Sr. Finance Director, Mergers &amp; Acquisitions with Life Technologies (June 2012 to January 2014). Over the course of twenty years, Mr. Shvartsburg held positions of increasing responsibility in finance with Johnson &amp; Johnson. Mr. Shvartsburg holds a BS in Accounting from Drexel University — College of Business and Administration and an MBA from La Salle University.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Michael Hutchinson</w:t>
      </w:r>
      <w:r>
        <w:rPr>
          <w:rFonts w:ascii="Tahoma;Geneva;sans-serif" w:hAnsi="Tahoma;Geneva;sans-serif"/>
          <w:b w:val="false"/>
          <w:i w:val="false"/>
          <w:caps w:val="false"/>
          <w:smallCaps w:val="false"/>
          <w:color w:val="000000"/>
          <w:spacing w:val="2"/>
          <w:sz w:val="20"/>
        </w:rPr>
        <w:t xml:space="preserve"> joined LivaNova in November 2022 as Senior Vice President, Chief Legal Officer and Company Secretary. He is responsible for the global legal, compliance, and corporate governance functions of the Company. Mr. Hutchinson has more than 20 years of experience as an attorney, advisor, and business leader, including more than a decade of leadership and management experience with life science companies such as Stryker Corporation and Varian Medical Solutions. He has successfully and efficiently managed a broad range of legal and business issues, including complex litigation, ESG matters, and government investigations. Mr. Hutchinson’s experience also includes leading and advising on more than 80 acquisitions and integrations. Prior to his role at LivaNova, from March 2022 to November 2022, Mr. Hutchinson served as Senior Vice President, Chief Legal Officer and Corporate Secretary at ByHeart, Inc., a clinical research-based infant nutrition company. Mr. Hutchinson served as Senior Vice President, General Counsel at Varian Medical Systems, a Siemens Healthineers Company, from April 2021 to March 2022 and from June 2020 to April 2021, Senior Vice President, Chief Legal Officer and Corporate Secretary, at Varian Medical Systems, a publicly traded medical technology company that was acquired by Siemens Healthineers in April 2021. Prior to joining Varian Medical Systems, Inc., Mr. Hutchinson spent 12 years with Stryker Corporation, a multinational medical technologies company, where he served as Vice President and Advisor to the Chairman and CEO from March 2019 to May 2020 and Vice President, Chief Legal Officer, Corporate Secretary and General Counsel, from September 2013 to March 2019 and other roles of increasing responsibility, including Deputy General Counsel and Chief Legal Counsel at Orthopaedics Group between 2008 and 2013. Mr. Hutchinson holds a J.D. degree from The George Washington University Law School and a B.A. degree from Clark University.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Stephanie Bolton</w:t>
      </w:r>
      <w:r>
        <w:rPr>
          <w:rFonts w:ascii="Tahoma;Geneva;sans-serif" w:hAnsi="Tahoma;Geneva;sans-serif"/>
          <w:b w:val="false"/>
          <w:i w:val="false"/>
          <w:caps w:val="false"/>
          <w:smallCaps w:val="false"/>
          <w:color w:val="000000"/>
          <w:spacing w:val="2"/>
          <w:sz w:val="20"/>
        </w:rPr>
        <w:t xml:space="preserve"> is the President, Global Epilepsy at LivaNova, a position she assumed in May 2023. She joined Cyberonics, Inc., one of LivaNova’s two legacy companies, in April 2011 as a Senior Territory Manager, Epilepsy (March 2011 to April 2014) and over her tenure at LivaNova, assumed several senior, sales leadership positions. After serving as a Senior Territory Manager, she took on the role of Country Manager, UK and Ireland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3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2" descr=""/>
                          <pic:cNvPicPr>
                            <a:picLocks noChangeAspect="1" noChangeArrowheads="1"/>
                          </pic:cNvPicPr>
                        </pic:nvPicPr>
                        <pic:blipFill>
                          <a:blip r:embed="rId8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31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EXCO"/>
      <w:bookmarkEnd w:id="21"/>
      <w:r>
        <w:rPr>
          <w:rFonts w:ascii="calibri;arial;sans-serif" w:hAnsi="calibri;arial;sans-serif"/>
          <w:b w:val="false"/>
          <w:i w:val="false"/>
          <w:caps w:val="false"/>
          <w:smallCaps w:val="false"/>
          <w:color w:val="000000"/>
          <w:sz w:val="16"/>
        </w:rPr>
        <w:t>​</w:t>
      </w:r>
      <w:bookmarkStart w:id="22" w:name="tCDAA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3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3" descr=""/>
                    <pic:cNvPicPr>
                      <a:picLocks noChangeAspect="1" noChangeArrowheads="1"/>
                    </pic:cNvPicPr>
                  </pic:nvPicPr>
                  <pic:blipFill>
                    <a:blip r:embed="rId8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(April 2014 to September 2016), UKI Vice President (September 2016 to February 2018) and North Europe Vice President (February 2018 to October 2019). In October 2019, Ms. Bolton was appointed President, Europe (October 2019 to February 2021) and later became the President of LivaNova’s International Region (February 2021 to May 2023) before she assumed her current role as President, Global Epilepsy, pursuant to which she is responsible for creating, communicating, and implementing the organization’s vision, mission, and overall direction by leading all business operational functions as it relates to the global epilepsy business. Prior to joining LivaNova, Ms. Bolton spent over a decade working at various pharmaceutical companies including Sankyo Pharma, Otsuka Pharmaceuticals, and UCB Pharma, holding positions of increasing responsibility in the sales and product space. Ms. Bolton currently serves as the Vice Chair for the Association of British HealthTech Industries. Ms. Bolton graduated with Honors from Coventry University with a Bachelor of Science degree in physiology.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Franco Poletti</w:t>
      </w:r>
      <w:r>
        <w:rPr>
          <w:rFonts w:ascii="Tahoma;Geneva;sans-serif" w:hAnsi="Tahoma;Geneva;sans-serif"/>
          <w:b w:val="false"/>
          <w:i w:val="false"/>
          <w:caps w:val="false"/>
          <w:smallCaps w:val="false"/>
          <w:color w:val="000000"/>
          <w:spacing w:val="2"/>
          <w:sz w:val="20"/>
        </w:rPr>
        <w:t xml:space="preserve"> is the President, Cardiopulmonary at LivaNova, a position he assumed in July 2024. Mr. Poletti joined Sorin Group, one of LivaNova’s two legacy companies, more than 30 years ago. Over the last 20 years, Mr. Poletti has held several senior leadership positions within the Company, including Global Product Manager (January 1991 to March 2004), Vice President, Sales, Europe and Japan (January 2008 to December 2012), Vice President, Sales, Europe (January 2013 to September 2016), Vice President, Sales, Cardiopulmonary Europe (February 2018 to August 2023), and Interim President, Cardiopulmonary (August 2023 to July 2024). Mr. Poletti also managed other company franchises including Heart Valves (January 2013 to March 2022), Cardiac Rhythm Management (October 2016 to January 2018) and Neuromodulation (October 2016 to March 2022). Throughout his career, Mr. Poletti has developed core competencies in product development, product positioning and launch, and sales execution. Mr. Poletti graduated from Istituto Tecnico Industriale G. Galilei in Mirandola, Italy.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702076"/>
          <w:spacing w:val="11"/>
          <w:sz w:val="20"/>
        </w:rPr>
        <w:t>Ahmet Tezel</w:t>
      </w:r>
      <w:r>
        <w:rPr>
          <w:rFonts w:ascii="Tahoma;Geneva;sans-serif" w:hAnsi="Tahoma;Geneva;sans-serif"/>
          <w:b w:val="false"/>
          <w:i w:val="false"/>
          <w:caps w:val="false"/>
          <w:smallCaps w:val="false"/>
          <w:color w:val="000000"/>
          <w:spacing w:val="2"/>
          <w:sz w:val="20"/>
        </w:rPr>
        <w:t xml:space="preserve"> joined LivaNova in May 2024 as Chief Innovation Officer. Dr. Tezel has a 20-year track record, guiding teams that have developed market-leading technologies across diverse medical domains from bariatric surgery to surgical ophthalmology. Prior to joining LivaNova, he served as Company Group Chairman at Johnson &amp; Johnson MedTech, Johnson &amp; Johnson’s medical technology businesses (November 2022 to March 2024), leading its Global R&amp;D and Innovation teams. Other R&amp;D career experience includes executive-level positions such as Worldwide Vice President Research and Development at Johnson &amp; Johnson (June 2020 to November 2022), Surgical Franchise Head, Research and Development at Alcon, Inc. (February 2017 to June 2020), Vice-President of Research and Development, Intraocular Lenses (April 2014 to January 2018), and Vice President, Research &amp; Product Development- Medical Device at Allergan Inc. (February 2011 to March 2013), where Tezel developed Class III implantables and complex medical capital equipment. He has an established track record of innovation turnarounds across diverse medical technology platforms. He began his career as an R&amp;D scientist in 2004 at Inamed Corp. in Santa Barbara, California. Dr. Tezel earned bachelor’s and master’s degrees in chemical engineering from Bogazici University in Türkiye and a doctorate in chemical engineering from the University of California-Santa Barbara in the field of transdermal drug delivery and vaccination.</w:t>
      </w:r>
      <w:r>
        <w:rPr>
          <w:rFonts w:ascii="Tahoma;Geneva;sans-serif" w:hAnsi="Tahoma;Geneva;sans-serif"/>
          <w:b w:val="false"/>
          <w:i w:val="false"/>
          <w:caps w:val="false"/>
          <w:smallCaps w:val="false"/>
          <w:color w:val="000000"/>
          <w:spacing w:val="4"/>
          <w:sz w:val="20"/>
        </w:rPr>
        <w:t xml:space="preserve"> </w:t>
      </w:r>
    </w:p>
    <w:tbl>
      <w:tblPr>
        <w:tblW w:w="4070" w:type="dxa"/>
        <w:jc w:val="left"/>
        <w:tblInd w:w="1173" w:type="dxa"/>
        <w:tblLayout w:type="fixed"/>
        <w:tblCellMar>
          <w:top w:w="0" w:type="dxa"/>
          <w:left w:w="0" w:type="dxa"/>
          <w:bottom w:w="0" w:type="dxa"/>
          <w:right w:w="0" w:type="dxa"/>
        </w:tblCellMar>
      </w:tblPr>
      <w:tblGrid>
        <w:gridCol w:w="124"/>
        <w:gridCol w:w="3792"/>
        <w:gridCol w:w="154"/>
      </w:tblGrid>
      <w:tr>
        <w:trPr/>
        <w:tc>
          <w:tcPr>
            <w:tcW w:w="124" w:type="dxa"/>
            <w:tcBorders/>
            <w:shd w:fill="702076" w:val="clear"/>
            <w:vAlign w:val="center"/>
          </w:tcPr>
          <w:p>
            <w:pPr>
              <w:pStyle w:val="TableContents"/>
              <w:bidi w:val="0"/>
              <w:spacing w:before="0" w:after="283"/>
              <w:jc w:val="left"/>
              <w:rPr/>
            </w:pPr>
            <w:r>
              <w:rPr/>
              <w:t>​</w:t>
            </w:r>
          </w:p>
        </w:tc>
        <w:tc>
          <w:tcPr>
            <w:tcW w:w="3792" w:type="dxa"/>
            <w:tcBorders/>
            <w:shd w:fill="702076" w:val="clear"/>
            <w:vAlign w:val="center"/>
          </w:tcPr>
          <w:p>
            <w:pPr>
              <w:pStyle w:val="TableContents"/>
              <w:bidi w:val="0"/>
              <w:spacing w:lineRule="atLeast" w:line="240" w:before="0" w:after="0"/>
              <w:jc w:val="center"/>
              <w:rPr/>
            </w:pPr>
            <w:r>
              <w:rPr>
                <w:spacing w:val="14"/>
              </w:rPr>
              <w:t>EXECUTIVE COMPENSATION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Compensation Discussion &amp; Analysis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Compensation Discussion and Analysis (“CD&amp;A”) describes LivaNova’s executive compensation programs for the Company’s Named Executive Officers (“NEOs”) and the oversight exercised by the CHCM Committee in setting executive compensation for the year ended December 31, 2024. This CD&amp;A supplements and should be read together with the compensation tables and related disclosure following this CD&amp;A.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4"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Named Executive Officers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NEOs for the year ended December 31, 2024 are: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Vladimir Makatsaria, Chief Executive Officer;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502">
                <wp:simplePos x="0" y="0"/>
                <wp:positionH relativeFrom="column">
                  <wp:align>left</wp:align>
                </wp:positionH>
                <wp:positionV relativeFrom="line">
                  <wp:align>top</wp:align>
                </wp:positionV>
                <wp:extent cx="228600" cy="350520"/>
                <wp:effectExtent l="0" t="0" r="0" b="0"/>
                <wp:wrapSquare wrapText="right"/>
                <wp:docPr id="233" name="Frame1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32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3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4" descr=""/>
                          <pic:cNvPicPr>
                            <a:picLocks noChangeAspect="1" noChangeArrowheads="1"/>
                          </pic:cNvPicPr>
                        </pic:nvPicPr>
                        <pic:blipFill>
                          <a:blip r:embed="rId8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3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5" descr=""/>
                    <pic:cNvPicPr>
                      <a:picLocks noChangeAspect="1" noChangeArrowheads="1"/>
                    </pic:cNvPicPr>
                  </pic:nvPicPr>
                  <pic:blipFill>
                    <a:blip r:embed="rId8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12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William Kozy, Former Interim Chief Executive Officer</w:t>
      </w:r>
      <w:r>
        <w:rPr>
          <w:rFonts w:ascii="Tahoma;Geneva;sans-serif" w:hAnsi="Tahoma;Geneva;sans-serif"/>
          <w:b w:val="false"/>
          <w:i w:val="false"/>
          <w:caps w:val="false"/>
          <w:smallCaps w:val="false"/>
          <w:color w:val="000000"/>
          <w:spacing w:val="2"/>
          <w:sz w:val="15"/>
        </w:rPr>
        <w:t>(1)</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03">
                <wp:simplePos x="0" y="0"/>
                <wp:positionH relativeFrom="column">
                  <wp:align>left</wp:align>
                </wp:positionH>
                <wp:positionV relativeFrom="line">
                  <wp:posOffset>635</wp:posOffset>
                </wp:positionV>
                <wp:extent cx="228600" cy="350520"/>
                <wp:effectExtent l="0" t="0" r="0" b="0"/>
                <wp:wrapSquare wrapText="right"/>
                <wp:docPr id="236" name="Frame1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Alex Shvartsburg, Chief Financial Officer;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4">
                <wp:simplePos x="0" y="0"/>
                <wp:positionH relativeFrom="column">
                  <wp:align>left</wp:align>
                </wp:positionH>
                <wp:positionV relativeFrom="line">
                  <wp:align>top</wp:align>
                </wp:positionV>
                <wp:extent cx="228600" cy="350520"/>
                <wp:effectExtent l="0" t="0" r="0" b="0"/>
                <wp:wrapSquare wrapText="right"/>
                <wp:docPr id="237" name="Frame1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Ahmet Tezel, Senior Vice President, Chief Innovation Officer</w:t>
      </w:r>
      <w:r>
        <w:rPr>
          <w:rFonts w:ascii="Tahoma;Geneva;sans-serif" w:hAnsi="Tahoma;Geneva;sans-serif"/>
          <w:b w:val="false"/>
          <w:i w:val="false"/>
          <w:caps w:val="false"/>
          <w:smallCaps w:val="false"/>
          <w:color w:val="000000"/>
          <w:spacing w:val="2"/>
          <w:sz w:val="15"/>
        </w:rPr>
        <w:t>(2)</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5">
                <wp:simplePos x="0" y="0"/>
                <wp:positionH relativeFrom="column">
                  <wp:align>left</wp:align>
                </wp:positionH>
                <wp:positionV relativeFrom="line">
                  <wp:align>top</wp:align>
                </wp:positionV>
                <wp:extent cx="228600" cy="350520"/>
                <wp:effectExtent l="0" t="0" r="0" b="0"/>
                <wp:wrapSquare wrapText="right"/>
                <wp:docPr id="238" name="Frame1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Michael Hutchinson, Senior Vice President, Chief Legal Officer and Company Secretary;</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6">
                <wp:simplePos x="0" y="0"/>
                <wp:positionH relativeFrom="column">
                  <wp:align>left</wp:align>
                </wp:positionH>
                <wp:positionV relativeFrom="line">
                  <wp:align>top</wp:align>
                </wp:positionV>
                <wp:extent cx="228600" cy="350520"/>
                <wp:effectExtent l="0" t="0" r="0" b="0"/>
                <wp:wrapSquare wrapText="right"/>
                <wp:docPr id="239" name="Frame1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Franco Poletti, President, Cardiopulmonary Business Unit</w:t>
      </w:r>
      <w:r>
        <w:rPr>
          <w:rFonts w:ascii="Tahoma;Geneva;sans-serif" w:hAnsi="Tahoma;Geneva;sans-serif"/>
          <w:b w:val="false"/>
          <w:i w:val="false"/>
          <w:caps w:val="false"/>
          <w:smallCaps w:val="false"/>
          <w:color w:val="000000"/>
          <w:spacing w:val="2"/>
          <w:sz w:val="15"/>
        </w:rPr>
        <w:t>(3)</w:t>
      </w:r>
      <w:r>
        <w:rPr>
          <w:rFonts w:ascii="Tahoma;Geneva;sans-serif" w:hAnsi="Tahoma;Geneva;sans-serif"/>
          <w:b w:val="false"/>
          <w:i w:val="false"/>
          <w:caps w:val="false"/>
          <w:smallCaps w:val="false"/>
          <w:color w:val="000000"/>
          <w:spacing w:val="2"/>
          <w:sz w:val="20"/>
        </w:rPr>
        <w:t>; and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7">
                <wp:simplePos x="0" y="0"/>
                <wp:positionH relativeFrom="column">
                  <wp:align>left</wp:align>
                </wp:positionH>
                <wp:positionV relativeFrom="line">
                  <wp:align>top</wp:align>
                </wp:positionV>
                <wp:extent cx="228600" cy="350520"/>
                <wp:effectExtent l="0" t="0" r="0" b="0"/>
                <wp:wrapSquare wrapText="right"/>
                <wp:docPr id="240" name="Frame1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Trui Hebbelinck, Former Chief Human Resources Officer</w:t>
      </w:r>
      <w:r>
        <w:rPr>
          <w:rFonts w:ascii="Tahoma;Geneva;sans-serif" w:hAnsi="Tahoma;Geneva;sans-serif"/>
          <w:b w:val="false"/>
          <w:i w:val="false"/>
          <w:caps w:val="false"/>
          <w:smallCaps w:val="false"/>
          <w:color w:val="000000"/>
          <w:spacing w:val="2"/>
          <w:sz w:val="15"/>
        </w:rPr>
        <w:t>(4)</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8">
                <wp:simplePos x="0" y="0"/>
                <wp:positionH relativeFrom="column">
                  <wp:align>left</wp:align>
                </wp:positionH>
                <wp:positionV relativeFrom="line">
                  <wp:align>top</wp:align>
                </wp:positionV>
                <wp:extent cx="228600" cy="350520"/>
                <wp:effectExtent l="0" t="0" r="0" b="0"/>
                <wp:wrapSquare wrapText="right"/>
                <wp:docPr id="241" name="Frame1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54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4119" w:type="dxa"/>
        <w:jc w:val="left"/>
        <w:tblInd w:w="1173" w:type="dxa"/>
        <w:tblLayout w:type="fixed"/>
        <w:tblCellMar>
          <w:top w:w="0" w:type="dxa"/>
          <w:left w:w="0" w:type="dxa"/>
          <w:bottom w:w="0" w:type="dxa"/>
          <w:right w:w="0" w:type="dxa"/>
        </w:tblCellMar>
      </w:tblPr>
      <w:tblGrid>
        <w:gridCol w:w="124"/>
        <w:gridCol w:w="3841"/>
        <w:gridCol w:w="154"/>
      </w:tblGrid>
      <w:tr>
        <w:trPr/>
        <w:tc>
          <w:tcPr>
            <w:tcW w:w="124" w:type="dxa"/>
            <w:tcBorders/>
            <w:shd w:fill="702076" w:val="clear"/>
            <w:vAlign w:val="center"/>
          </w:tcPr>
          <w:p>
            <w:pPr>
              <w:pStyle w:val="TableContents"/>
              <w:bidi w:val="0"/>
              <w:spacing w:before="0" w:after="283"/>
              <w:jc w:val="left"/>
              <w:rPr/>
            </w:pPr>
            <w:r>
              <w:rPr/>
              <w:t>​</w:t>
            </w:r>
          </w:p>
        </w:tc>
        <w:tc>
          <w:tcPr>
            <w:tcW w:w="3841" w:type="dxa"/>
            <w:tcBorders/>
            <w:shd w:fill="702076" w:val="clear"/>
            <w:vAlign w:val="center"/>
          </w:tcPr>
          <w:p>
            <w:pPr>
              <w:pStyle w:val="TableContents"/>
              <w:bidi w:val="0"/>
              <w:spacing w:lineRule="atLeast" w:line="240" w:before="0" w:after="0"/>
              <w:jc w:val="center"/>
              <w:rPr/>
            </w:pPr>
            <w:r>
              <w:rPr>
                <w:spacing w:val="14"/>
              </w:rPr>
              <w:t>CD&amp;A EXECUTIVE SUMMARY</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Review of 2024 Performance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Full-year 2024 revenue was $1.25 billion, an increase of 8.7% on a reported basis, 9.3% on a constant-currency basis, and 10.7% on an organic basis as compared to full-year 2023.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Full-year 2024 cardiopulmonary revenue increased 13.1% on a reported basis and 14.1% on a constant-currency basis versus full-year 2023 with growth across all regions, driven by increased Essenz Perfusion System sales and strong consumables demand.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Full-year 2024 neuromodulation revenue increased 6.6% on a reported basis and 7.0% on a constant-currency basis versus full-year 2023 with growth in the Rest of World and U.S. regions, partially offset by a decline in Europe.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the full year, on a U.S. GAAP basis, operating income was $129.1 million, as compared to an operating loss of $68.5 million for full-year 2023. Adjusted operating income for full-year 2024 was $239.2 million, as compared to adjusted operating income of $169.3 million for full-year 2023.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to the above financial results, management achieved a number of strategic milestones over the past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January 2024, the Company announced the wind down of its Advanced Circulatory Support (“ACS”) Business Unit in order to increase the Company’s strategic focus on its core Cardiopulmonary and Neuromodulation Business Units. The Company retained all ACS standalone cannulae products and related accessories, including ProtekDuo™, transseptal (TandemHeart™), arterial and venous cannulae, along with corresponding insertion kits, which were all transitioned into the Cardiopulmonary Business Unit product portfolio during the first quarter of 2024. Operations and service for other ACS product lines, including LifeSPARC™ and Hemolung™ Systems, were discontinued as anticipated by the end of 2024.</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09">
                <wp:simplePos x="0" y="0"/>
                <wp:positionH relativeFrom="column">
                  <wp:align>left</wp:align>
                </wp:positionH>
                <wp:positionV relativeFrom="line">
                  <wp:align>top</wp:align>
                </wp:positionV>
                <wp:extent cx="228600" cy="350520"/>
                <wp:effectExtent l="0" t="0" r="0" b="0"/>
                <wp:wrapSquare wrapText="right"/>
                <wp:docPr id="242" name="Frame1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March 2024, the Company announced a milestone for its OSPREY clinical study. The study, a prospective, multi-center, randomized controlled open-label trial, successfully concluded enrollment earlier than anticipated and achieved a positive predictive outcome, indicating a greater than 97.5% probability of meeting its primary endpoint (“PE”). In November 2024, the Company confirmed that the OSPREY clinical study for patients with moderate to severe obstructive sleep apnea (“OSA”) had met its primary safety and efficacy endpoints, achieving statistical significance in responder rates between the treatment arm and the sham arm for the LivaNova aura6000™ System. In addition, OSPREY demonstrated a significant reduction of apnea-hypopnea index and oxygenation desaturation index against baseline values through six months of therapy.</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10">
                <wp:simplePos x="0" y="0"/>
                <wp:positionH relativeFrom="column">
                  <wp:align>left</wp:align>
                </wp:positionH>
                <wp:positionV relativeFrom="line">
                  <wp:align>top</wp:align>
                </wp:positionV>
                <wp:extent cx="228600" cy="350520"/>
                <wp:effectExtent l="0" t="0" r="0" b="0"/>
                <wp:wrapSquare wrapText="right"/>
                <wp:docPr id="243" name="Frame1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before="0" w:after="283"/>
        <w:ind w:left="11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533" w:right="0" w:hanging="0"/>
        <w:jc w:val="left"/>
        <w:rPr>
          <w:rFonts w:ascii="Tahoma;Geneva;sans-serif" w:hAnsi="Tahoma;Geneva;sans-serif"/>
          <w:b w:val="false"/>
          <w:i w:val="false"/>
          <w:caps w:val="false"/>
          <w:smallCaps w:val="false"/>
          <w:color w:val="000000"/>
          <w:sz w:val="16"/>
        </w:rPr>
      </w:pPr>
      <w:r>
        <w:rPr>
          <w:rFonts w:ascii="Tahoma;Geneva;sans-serif" w:hAnsi="Tahoma;Geneva;sans-serif"/>
          <w:b w:val="false"/>
          <w:i w:val="false"/>
          <w:caps w:val="false"/>
          <w:smallCaps w:val="false"/>
          <w:color w:val="000000"/>
          <w:spacing w:val="2"/>
          <w:sz w:val="16"/>
        </w:rPr>
        <w:t>Mr. Kozy served as Interim Chief Executive Officer from April 14, 2023 until February 29, 2024.</w:t>
      </w:r>
      <w:r>
        <w:rPr>
          <w:rFonts w:ascii="Tahoma;Geneva;sans-serif" w:hAnsi="Tahoma;Geneva;sans-serif"/>
          <w:b w:val="false"/>
          <w:i w:val="false"/>
          <w:caps w:val="false"/>
          <w:smallCaps w:val="false"/>
          <w:color w:val="000000"/>
          <w:sz w:val="16"/>
        </w:rPr>
        <w:t xml:space="preserve"> </w:t>
      </w:r>
      <w:r>
        <mc:AlternateContent>
          <mc:Choice Requires="wps">
            <w:drawing>
              <wp:anchor behindDoc="0" distT="101600" distB="0" distL="0" distR="0" simplePos="0" locked="0" layoutInCell="1" allowOverlap="1" relativeHeight="511">
                <wp:simplePos x="0" y="0"/>
                <wp:positionH relativeFrom="column">
                  <wp:align>left</wp:align>
                </wp:positionH>
                <wp:positionV relativeFrom="line">
                  <wp:align>top</wp:align>
                </wp:positionV>
                <wp:extent cx="228600" cy="233680"/>
                <wp:effectExtent l="0" t="0" r="0" b="0"/>
                <wp:wrapSquare wrapText="right"/>
                <wp:docPr id="244" name="Frame159"/>
                <a:graphic xmlns:a="http://schemas.openxmlformats.org/drawingml/2006/main">
                  <a:graphicData uri="http://schemas.microsoft.com/office/word/2010/wordprocessingShape">
                    <wps:wsp>
                      <wps:cNvSpPr txBox="1"/>
                      <wps:spPr>
                        <a:xfrm>
                          <a:off x="0" y="0"/>
                          <a:ext cx="2286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33" w:right="0" w:hanging="0"/>
        <w:jc w:val="left"/>
        <w:rPr>
          <w:rFonts w:ascii="Tahoma;Geneva;sans-serif" w:hAnsi="Tahoma;Geneva;sans-serif"/>
          <w:b w:val="false"/>
          <w:i w:val="false"/>
          <w:caps w:val="false"/>
          <w:smallCaps w:val="false"/>
          <w:color w:val="000000"/>
          <w:sz w:val="16"/>
        </w:rPr>
      </w:pPr>
      <w:r>
        <w:rPr>
          <w:rFonts w:ascii="Tahoma;Geneva;sans-serif" w:hAnsi="Tahoma;Geneva;sans-serif"/>
          <w:b w:val="false"/>
          <w:i w:val="false"/>
          <w:caps w:val="false"/>
          <w:smallCaps w:val="false"/>
          <w:color w:val="000000"/>
          <w:spacing w:val="2"/>
          <w:sz w:val="16"/>
        </w:rPr>
        <w:t>On May 13, 2024, Mr. Tezel joined the Company as Chief Innovation Officer.</w:t>
      </w:r>
      <w:r>
        <w:rPr>
          <w:rFonts w:ascii="Tahoma;Geneva;sans-serif" w:hAnsi="Tahoma;Geneva;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12">
                <wp:simplePos x="0" y="0"/>
                <wp:positionH relativeFrom="column">
                  <wp:align>left</wp:align>
                </wp:positionH>
                <wp:positionV relativeFrom="line">
                  <wp:align>top</wp:align>
                </wp:positionV>
                <wp:extent cx="228600" cy="254000"/>
                <wp:effectExtent l="0" t="0" r="0" b="0"/>
                <wp:wrapSquare wrapText="right"/>
                <wp:docPr id="245" name="Frame16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33" w:right="0" w:hanging="0"/>
        <w:jc w:val="both"/>
        <w:rPr>
          <w:rFonts w:ascii="Tahoma;Geneva;sans-serif" w:hAnsi="Tahoma;Geneva;sans-serif"/>
          <w:b w:val="false"/>
          <w:i w:val="false"/>
          <w:caps w:val="false"/>
          <w:smallCaps w:val="false"/>
          <w:color w:val="000000"/>
          <w:sz w:val="16"/>
        </w:rPr>
      </w:pPr>
      <w:r>
        <w:rPr>
          <w:rFonts w:ascii="Tahoma;Geneva;sans-serif" w:hAnsi="Tahoma;Geneva;sans-serif"/>
          <w:b w:val="false"/>
          <w:i w:val="false"/>
          <w:caps w:val="false"/>
          <w:smallCaps w:val="false"/>
          <w:color w:val="000000"/>
          <w:spacing w:val="2"/>
          <w:sz w:val="16"/>
        </w:rPr>
        <w:t>On August 1, 2024, Mr. Poletti, the Company’s then VP, CP Europe, and CP, General Manager ad interim, was confirmed as President, Cardiopulmonary Business Unit.</w:t>
      </w:r>
      <w:r>
        <w:rPr>
          <w:rFonts w:ascii="Tahoma;Geneva;sans-serif" w:hAnsi="Tahoma;Geneva;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13">
                <wp:simplePos x="0" y="0"/>
                <wp:positionH relativeFrom="column">
                  <wp:align>left</wp:align>
                </wp:positionH>
                <wp:positionV relativeFrom="line">
                  <wp:align>top</wp:align>
                </wp:positionV>
                <wp:extent cx="228600" cy="254000"/>
                <wp:effectExtent l="0" t="0" r="0" b="0"/>
                <wp:wrapSquare wrapText="right"/>
                <wp:docPr id="246" name="Frame161"/>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both"/>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33" w:right="0" w:hanging="0"/>
        <w:jc w:val="left"/>
        <w:rPr>
          <w:rFonts w:ascii="Tahoma;Geneva;sans-serif" w:hAnsi="Tahoma;Geneva;sans-serif"/>
          <w:b w:val="false"/>
          <w:i w:val="false"/>
          <w:caps w:val="false"/>
          <w:smallCaps w:val="false"/>
          <w:color w:val="000000"/>
          <w:sz w:val="16"/>
        </w:rPr>
      </w:pPr>
      <w:r>
        <w:rPr>
          <w:rFonts w:ascii="Tahoma;Geneva;sans-serif" w:hAnsi="Tahoma;Geneva;sans-serif"/>
          <w:b w:val="false"/>
          <w:i w:val="false"/>
          <w:caps w:val="false"/>
          <w:smallCaps w:val="false"/>
          <w:color w:val="000000"/>
          <w:spacing w:val="2"/>
          <w:sz w:val="16"/>
        </w:rPr>
        <w:t>Ms. Hebbelinck served as Chief Human Resources Officer until September 30, 2024.</w:t>
      </w:r>
      <w:r>
        <w:rPr>
          <w:rFonts w:ascii="Tahoma;Geneva;sans-serif" w:hAnsi="Tahoma;Geneva;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14">
                <wp:simplePos x="0" y="0"/>
                <wp:positionH relativeFrom="column">
                  <wp:align>left</wp:align>
                </wp:positionH>
                <wp:positionV relativeFrom="line">
                  <wp:align>top</wp:align>
                </wp:positionV>
                <wp:extent cx="228600" cy="254000"/>
                <wp:effectExtent l="0" t="0" r="0" b="0"/>
                <wp:wrapSquare wrapText="right"/>
                <wp:docPr id="247" name="Frame162"/>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8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33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4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7" descr=""/>
                    <pic:cNvPicPr>
                      <a:picLocks noChangeAspect="1" noChangeArrowheads="1"/>
                    </pic:cNvPicPr>
                  </pic:nvPicPr>
                  <pic:blipFill>
                    <a:blip r:embed="rId8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646"/>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In June 2024, the Company announced the preliminary results for the unipolar patient cohort of the RECOVER clinical study, assessing the use of VNS Therapy™ in difficult-to-treat depression. The study did not meet its PE for the unipolar cohort; however, statistical significance was achieved in select secondary endpoints. These secondary endpoints demonstrated meaningful clinical benefits, as detailed in two articles published in the journal, </w:t>
      </w:r>
      <w:r>
        <w:rPr>
          <w:rFonts w:ascii="Tahoma;Geneva;sans-serif" w:hAnsi="Tahoma;Geneva;sans-serif"/>
          <w:b w:val="false"/>
          <w:i/>
          <w:caps w:val="false"/>
          <w:smallCaps w:val="false"/>
          <w:color w:val="000000"/>
          <w:sz w:val="20"/>
        </w:rPr>
        <w:t>Brain Stimulation</w:t>
      </w:r>
      <w:r>
        <w:rPr>
          <w:rFonts w:ascii="Tahoma;Geneva;sans-serif" w:hAnsi="Tahoma;Geneva;sans-serif"/>
          <w:b w:val="false"/>
          <w:i w:val="false"/>
          <w:caps w:val="false"/>
          <w:smallCaps w:val="false"/>
          <w:color w:val="000000"/>
          <w:spacing w:val="2"/>
          <w:sz w:val="20"/>
        </w:rPr>
        <w:t>, on December 18, 2024, further reinforcing the potential of VNS Therapy™ to improve outcomes for patients with treatment-resistant depression.</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15">
                <wp:simplePos x="0" y="0"/>
                <wp:positionH relativeFrom="column">
                  <wp:align>left</wp:align>
                </wp:positionH>
                <wp:positionV relativeFrom="line">
                  <wp:posOffset>635</wp:posOffset>
                </wp:positionV>
                <wp:extent cx="228600" cy="350520"/>
                <wp:effectExtent l="0" t="0" r="0" b="0"/>
                <wp:wrapSquare wrapText="right"/>
                <wp:docPr id="250" name="Frame1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Appointment of New CEO During Fiscal 2024</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Following an extensive candidate search and interview process, LivaNova’s Board appointed Vladimir Makatsaria as the Company’s Chief Executive Officer, effective March 1,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February 2, 2024, the Company entered into an employment letter agreement (the “Employment Agreement”) with Mr. Makatsaria. The Employment Agreement, which was reviewed and approved by the CHCM Committee, as advised by its independent compensation consultant, Pearl Meyer, provides for an initial annualized base salary of $930,000 with a target annual bonus equal to 110% of base salary (pro-rated for 2024). In addition, Mr. Makatsaria received (1) long-term equity incentive awards as part of the Company’s regular 2024 annual grant cycle with a target grant-date value of $5,350,000, of which 50% of the total was in the form of PSUs with a three-year cliff vesting (of which 50% is subject to relative TSR target achievement, 25% is subject to adjusted free cash-flow target achievement and 25% is subject to ROIC target achievement), and 25% each in RSUs and SARs, both vesting in equal installments over a four-year period, (2) special inducement equity grants with an aggregate grant-date value of $1,500,000, vesting in equal annual installments over four years, (3) a cash sign-on bonus of $200,000 and (4) certain relocation benefits. The Employment Agreement also provides for certain severance benefits in the event of Mr. Makatsaria’s involuntary termination without cause or termination for good reason.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2024 — Compensation at Risk</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Company’s focus on pay for performance is embedded in its compensation programs described more fully in this CD&amp;A. A majority of the compensation paid to the Company’s NEOs is at risk, as reflected in the following graphs, which show the relative weighting of target pay for the Company’s CEO and the average for the other NEOs, excluding Mr. Kozy, given the interim nature of his role as CEO and his specific compensation arrangement, and Ms. Hebbelinck, given the specific compensation arrangement associated with her departure.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572125" cy="2009775"/>
            <wp:effectExtent l="0" t="0" r="0" b="0"/>
            <wp:docPr id="25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8" descr=""/>
                    <pic:cNvPicPr>
                      <a:picLocks noChangeAspect="1" noChangeArrowheads="1"/>
                    </pic:cNvPicPr>
                  </pic:nvPicPr>
                  <pic:blipFill>
                    <a:blip r:embed="rId89"/>
                    <a:stretch>
                      <a:fillRect/>
                    </a:stretch>
                  </pic:blipFill>
                  <pic:spPr bwMode="auto">
                    <a:xfrm>
                      <a:off x="0" y="0"/>
                      <a:ext cx="5572125" cy="2009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34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5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89" descr=""/>
                          <pic:cNvPicPr>
                            <a:picLocks noChangeAspect="1" noChangeArrowheads="1"/>
                          </pic:cNvPicPr>
                        </pic:nvPicPr>
                        <pic:blipFill>
                          <a:blip r:embed="rId90"/>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5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90" descr=""/>
                    <pic:cNvPicPr>
                      <a:picLocks noChangeAspect="1" noChangeArrowheads="1"/>
                    </pic:cNvPicPr>
                  </pic:nvPicPr>
                  <pic:blipFill>
                    <a:blip r:embed="rId9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6178"/>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2024 Short-Term and Long-Term Incentive Payouts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628"/>
        <w:gridCol w:w="109"/>
        <w:gridCol w:w="109"/>
        <w:gridCol w:w="109"/>
        <w:gridCol w:w="1441"/>
        <w:gridCol w:w="109"/>
        <w:gridCol w:w="109"/>
        <w:gridCol w:w="109"/>
        <w:gridCol w:w="1823"/>
        <w:gridCol w:w="109"/>
        <w:gridCol w:w="109"/>
        <w:gridCol w:w="109"/>
        <w:gridCol w:w="166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FF5B34" w:val="clear"/>
            <w:tcMar>
              <w:bottom w:w="28" w:type="dxa"/>
            </w:tcMar>
            <w:vAlign w:val="center"/>
          </w:tcPr>
          <w:p>
            <w:pPr>
              <w:pStyle w:val="TableContents"/>
              <w:bidi w:val="0"/>
              <w:spacing w:before="0" w:after="283"/>
              <w:jc w:val="left"/>
              <w:rPr/>
            </w:pPr>
            <w:r>
              <w:rPr/>
              <w:t>​</w:t>
            </w:r>
          </w:p>
        </w:tc>
        <w:tc>
          <w:tcPr>
            <w:tcW w:w="2628" w:type="dxa"/>
            <w:tcBorders>
              <w:bottom w:val="single" w:sz="2" w:space="0" w:color="000000"/>
            </w:tcBorders>
            <w:shd w:fill="FF5B34" w:val="clear"/>
            <w:tcMar>
              <w:bottom w:w="60" w:type="dxa"/>
            </w:tcMar>
            <w:vAlign w:val="center"/>
          </w:tcPr>
          <w:p>
            <w:pPr>
              <w:pStyle w:val="TableContents"/>
              <w:bidi w:val="0"/>
              <w:spacing w:lineRule="atLeast" w:line="225" w:before="0" w:after="0"/>
              <w:jc w:val="center"/>
              <w:rPr>
                <w:spacing w:val="11"/>
              </w:rPr>
            </w:pPr>
            <w:r>
              <w:rPr>
                <w:spacing w:val="11"/>
              </w:rPr>
              <w:t xml:space="preserve">2024 Short-Term </w:t>
              <w:br/>
              <w:t xml:space="preserve">Incentive Plan </w:t>
            </w:r>
          </w:p>
        </w:tc>
        <w:tc>
          <w:tcPr>
            <w:tcW w:w="109" w:type="dxa"/>
            <w:tcBorders>
              <w:bottom w:val="single" w:sz="2" w:space="0" w:color="000000"/>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702076" w:val="clear"/>
            <w:tcMar>
              <w:bottom w:w="28" w:type="dxa"/>
            </w:tcMar>
            <w:vAlign w:val="center"/>
          </w:tcPr>
          <w:p>
            <w:pPr>
              <w:pStyle w:val="TableContents"/>
              <w:bidi w:val="0"/>
              <w:spacing w:before="0" w:after="283"/>
              <w:jc w:val="left"/>
              <w:rPr/>
            </w:pPr>
            <w:r>
              <w:rPr/>
              <w:t>​</w:t>
            </w:r>
          </w:p>
        </w:tc>
        <w:tc>
          <w:tcPr>
            <w:tcW w:w="5580" w:type="dxa"/>
            <w:gridSpan w:val="9"/>
            <w:tcBorders>
              <w:bottom w:val="single" w:sz="2" w:space="0" w:color="000000"/>
            </w:tcBorders>
            <w:shd w:fill="702076" w:val="clear"/>
            <w:tcMar>
              <w:bottom w:w="28" w:type="dxa"/>
            </w:tcMar>
            <w:vAlign w:val="center"/>
          </w:tcPr>
          <w:p>
            <w:pPr>
              <w:pStyle w:val="TableContents"/>
              <w:bidi w:val="0"/>
              <w:spacing w:before="0" w:after="0"/>
              <w:jc w:val="center"/>
              <w:rPr/>
            </w:pPr>
            <w:r>
              <w:rPr>
                <w:spacing w:val="11"/>
              </w:rPr>
              <w:t>2022-2024 PSUs</w:t>
            </w:r>
            <w:r>
              <w:rPr/>
              <w:t xml:space="preserve"> </w:t>
            </w:r>
          </w:p>
        </w:tc>
        <w:tc>
          <w:tcPr>
            <w:tcW w:w="109" w:type="dxa"/>
            <w:tcBorders>
              <w:bottom w:val="single" w:sz="2" w:space="0" w:color="000000"/>
            </w:tcBorders>
            <w:shd w:fill="702076" w:val="clear"/>
            <w:tcMar>
              <w:bottom w:w="28" w:type="dxa"/>
            </w:tcM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2628" w:type="dxa"/>
            <w:vMerge w:val="restart"/>
            <w:tcBorders>
              <w:bottom w:val="single" w:sz="6" w:space="0" w:color="000000"/>
            </w:tcBorders>
            <w:tcMar>
              <w:bottom w:w="28" w:type="dxa"/>
            </w:tcMar>
            <w:vAlign w:val="center"/>
          </w:tcPr>
          <w:p>
            <w:pPr>
              <w:pStyle w:val="TableContents"/>
              <w:bidi w:val="0"/>
              <w:spacing w:lineRule="atLeast" w:line="240" w:before="0" w:after="0"/>
              <w:jc w:val="center"/>
              <w:rPr>
                <w:color w:val="000000"/>
                <w:spacing w:val="2"/>
              </w:rPr>
            </w:pPr>
            <w:r>
              <w:rPr>
                <w:color w:val="000000"/>
                <w:spacing w:val="2"/>
              </w:rPr>
              <w:t xml:space="preserve">125.4% of target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441"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spacing w:val="2"/>
              </w:rPr>
            </w:pPr>
            <w:r>
              <w:rPr>
                <w:spacing w:val="2"/>
              </w:rPr>
              <w:t xml:space="preserve">rTSR PSUs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823"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spacing w:val="2"/>
              </w:rPr>
            </w:pPr>
            <w:r>
              <w:rPr>
                <w:spacing w:val="2"/>
              </w:rPr>
              <w:t xml:space="preserve">ROIC PSUs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662"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pPr>
            <w:r>
              <w:rPr>
                <w:spacing w:val="2"/>
              </w:rPr>
              <w:t>FCF PSUs</w:t>
            </w:r>
            <w:r>
              <w:rPr/>
              <w:t xml:space="preserve">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55" w:type="dxa"/>
            <w:tcBorders/>
            <w:shd w:fill="666666"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2628"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1"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58.0% of the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23"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78.5% of the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62"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88.1% of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628" w:type="dxa"/>
            <w:tcBorders>
              <w:bottom w:val="single" w:sz="6" w:space="0" w:color="000000"/>
            </w:tcBorders>
            <w:tcMar>
              <w:bottom w:w="40" w:type="dxa"/>
            </w:tcMar>
            <w:vAlign w:val="center"/>
          </w:tcPr>
          <w:p>
            <w:pPr>
              <w:pStyle w:val="TableContents"/>
              <w:bidi w:val="0"/>
              <w:spacing w:before="0" w:after="0"/>
              <w:jc w:val="center"/>
              <w:rPr>
                <w:spacing w:val="2"/>
              </w:rPr>
            </w:pPr>
            <w:r>
              <w:rPr>
                <w:spacing w:val="2"/>
              </w:rPr>
              <w:t xml:space="preserve">Reflects performance against a set of financial and non-financial objectives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1" w:type="dxa"/>
            <w:tcBorders>
              <w:bottom w:val="single" w:sz="6" w:space="0" w:color="000000"/>
            </w:tcBorders>
            <w:tcMar>
              <w:bottom w:w="28" w:type="dxa"/>
            </w:tcMar>
            <w:vAlign w:val="center"/>
          </w:tcPr>
          <w:p>
            <w:pPr>
              <w:pStyle w:val="TableContents"/>
              <w:bidi w:val="0"/>
              <w:spacing w:before="0" w:after="0"/>
              <w:jc w:val="center"/>
              <w:rPr/>
            </w:pPr>
            <w:r>
              <w:rPr>
                <w:spacing w:val="2"/>
              </w:rPr>
              <w:t>Reflects 36</w:t>
            </w:r>
            <w:r>
              <w:rPr>
                <w:spacing w:val="2"/>
                <w:sz w:val="13"/>
              </w:rPr>
              <w:t>th</w:t>
            </w:r>
            <w:r>
              <w:rPr>
                <w:spacing w:val="2"/>
              </w:rPr>
              <w:t xml:space="preserve"> rTSR percentile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2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Reflects an average three-year ROIC of 5.77%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62" w:type="dxa"/>
            <w:tcBorders>
              <w:bottom w:val="single" w:sz="6" w:space="0" w:color="000000"/>
            </w:tcBorders>
            <w:tcMar>
              <w:bottom w:w="28" w:type="dxa"/>
            </w:tcMar>
            <w:vAlign w:val="center"/>
          </w:tcPr>
          <w:p>
            <w:pPr>
              <w:pStyle w:val="TableContents"/>
              <w:bidi w:val="0"/>
              <w:spacing w:before="0" w:after="0"/>
              <w:jc w:val="center"/>
              <w:rPr/>
            </w:pPr>
            <w:r>
              <w:rPr>
                <w:spacing w:val="2"/>
              </w:rPr>
              <w:t>Reflects 94.0% achievement to the FCF target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50" w:before="174"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Further details regarding these plans, the bonuses paid to LivaNova’s NEOs, and the elements of the Company’s pay-for-performance compensation program are described more fully in section titled “Elements of Compensation” in this CD&amp;A.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Executive Compensation Pay Practices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market-competitive executive compensation program is designed to attract, motivate, develop, and retain executives who perform at a high level and contribute to the success of the Company. It also provides strong financial incentives for the NEOs to increase shareholder value. To accomplish these objectives, the Company typically provides its NEOs: a base salary in cash; a bonus in cash based on relevant achievement of the Short-Term Incentive Plan (“STIP”) metrics; equity grants in the form of performance-based and service-based awards; and other employment benefits. All of these items are more fully described in this CD&amp;A and in the narrative and tables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5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1" descr=""/>
                          <pic:cNvPicPr>
                            <a:picLocks noChangeAspect="1" noChangeArrowheads="1"/>
                          </pic:cNvPicPr>
                        </pic:nvPicPr>
                        <pic:blipFill>
                          <a:blip r:embed="rId92"/>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35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5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92" descr=""/>
                    <pic:cNvPicPr>
                      <a:picLocks noChangeAspect="1" noChangeArrowheads="1"/>
                    </pic:cNvPicPr>
                  </pic:nvPicPr>
                  <pic:blipFill>
                    <a:blip r:embed="rId9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233"/>
        <w:gridCol w:w="109"/>
        <w:gridCol w:w="109"/>
        <w:gridCol w:w="109"/>
        <w:gridCol w:w="397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shd w:fill="F1E9F1" w:val="clear"/>
            <w:tcMar>
              <w:bottom w:w="28" w:type="dxa"/>
            </w:tcMar>
            <w:vAlign w:val="center"/>
          </w:tcPr>
          <w:p>
            <w:pPr>
              <w:pStyle w:val="TableContents"/>
              <w:bidi w:val="0"/>
              <w:spacing w:before="0" w:after="283"/>
              <w:jc w:val="left"/>
              <w:rPr/>
            </w:pPr>
            <w:r>
              <w:rPr/>
              <w:t>​</w:t>
            </w:r>
          </w:p>
        </w:tc>
        <w:tc>
          <w:tcPr>
            <w:tcW w:w="8535" w:type="dxa"/>
            <w:gridSpan w:val="5"/>
            <w:tcBorders>
              <w:bottom w:val="single" w:sz="8" w:space="0" w:color="702076"/>
            </w:tcBorders>
            <w:shd w:fill="F1E9F1" w:val="clear"/>
            <w:tcMar>
              <w:bottom w:w="107" w:type="dxa"/>
            </w:tcMar>
            <w:vAlign w:val="center"/>
          </w:tcPr>
          <w:p>
            <w:pPr>
              <w:pStyle w:val="TableContents"/>
              <w:bidi w:val="0"/>
              <w:spacing w:before="0" w:after="0"/>
              <w:jc w:val="center"/>
              <w:rPr>
                <w:spacing w:val="2"/>
              </w:rPr>
            </w:pPr>
            <w:r>
              <w:rPr>
                <w:spacing w:val="2"/>
              </w:rPr>
              <w:t xml:space="preserve">The following table sets out what LivaNova does and what LivaNova does not do in its executive compensation program to drive results for its shareholders: </w:t>
            </w:r>
          </w:p>
        </w:tc>
        <w:tc>
          <w:tcPr>
            <w:tcW w:w="109" w:type="dxa"/>
            <w:tcBorders>
              <w:bottom w:val="single" w:sz="8" w:space="0" w:color="702076"/>
            </w:tcBorders>
            <w:shd w:fill="F1E9F1" w:val="clear"/>
            <w:tcMar>
              <w:bottom w:w="28" w:type="dxa"/>
            </w:tcMar>
            <w:vAlign w:val="center"/>
          </w:tcPr>
          <w:p>
            <w:pPr>
              <w:pStyle w:val="TableContents"/>
              <w:bidi w:val="0"/>
              <w:spacing w:before="0" w:after="283"/>
              <w:jc w:val="left"/>
              <w:rPr/>
            </w:pPr>
            <w:r>
              <w:rPr/>
              <w:t>​</w:t>
            </w:r>
          </w:p>
        </w:tc>
        <w:tc>
          <w:tcPr>
            <w:tcW w:w="155" w:type="dxa"/>
            <w:tcBorders/>
            <w:shd w:fill="F1E9F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4233" w:type="dxa"/>
            <w:tcBorders>
              <w:bottom w:val="single" w:sz="8" w:space="0" w:color="702076"/>
            </w:tcBorders>
            <w:shd w:fill="702076" w:val="clear"/>
            <w:tcMar>
              <w:bottom w:w="120" w:type="dxa"/>
            </w:tcMar>
            <w:vAlign w:val="center"/>
          </w:tcPr>
          <w:p>
            <w:pPr>
              <w:pStyle w:val="TableContents"/>
              <w:bidi w:val="0"/>
              <w:spacing w:before="0" w:after="0"/>
              <w:jc w:val="center"/>
              <w:rPr>
                <w:spacing w:val="2"/>
              </w:rPr>
            </w:pPr>
            <w:r>
              <w:rPr>
                <w:spacing w:val="2"/>
              </w:rPr>
              <w:t xml:space="preserve">What LivaNova DOES: </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3975" w:type="dxa"/>
            <w:tcBorders>
              <w:bottom w:val="single" w:sz="8" w:space="0" w:color="702076"/>
            </w:tcBorders>
            <w:shd w:fill="702076" w:val="clear"/>
            <w:tcMar>
              <w:bottom w:w="120" w:type="dxa"/>
            </w:tcMar>
            <w:vAlign w:val="center"/>
          </w:tcPr>
          <w:p>
            <w:pPr>
              <w:pStyle w:val="TableContents"/>
              <w:bidi w:val="0"/>
              <w:spacing w:before="0" w:after="0"/>
              <w:jc w:val="center"/>
              <w:rPr/>
            </w:pPr>
            <w:r>
              <w:rPr>
                <w:spacing w:val="2"/>
              </w:rPr>
              <w:t>What LivaNova DOES NOT DO:</w:t>
            </w:r>
            <w:r>
              <w:rPr/>
              <w:t xml:space="preserve"> </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5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233" w:type="dxa"/>
            <w:tcBorders>
              <w:bottom w:val="single" w:sz="8" w:space="0" w:color="702076"/>
            </w:tcBorders>
            <w:tcMar>
              <w:bottom w:w="120" w:type="dxa"/>
            </w:tcMar>
            <w:vAlign w:val="center"/>
          </w:tcPr>
          <w:p>
            <w:pPr>
              <w:pStyle w:val="TableContents"/>
              <w:bidi w:val="0"/>
              <w:spacing w:lineRule="atLeast" w:line="260" w:before="0" w:after="0"/>
              <w:ind w:left="200" w:right="0" w:hanging="0"/>
              <w:jc w:val="both"/>
              <w:rPr/>
            </w:pPr>
            <w:r>
              <w:rPr>
                <w:color w:val="FF5B34"/>
                <w:spacing w:val="2"/>
              </w:rPr>
              <w:t>☑</w:t>
            </w:r>
            <w:r>
              <w:rPr>
                <w:spacing w:val="2"/>
              </w:rPr>
              <w:t xml:space="preserve"> </w:t>
            </w:r>
            <w:r>
              <w:rPr>
                <w:spacing w:val="2"/>
              </w:rPr>
              <w:t>Target NEO pay within a competitive range of the market median to attract, motivate, develop, and retain talented executive officers with the skills and experience to ensure its long-term success</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Use multiple pay elements that work together to reward performance and retain talent, while driving shareholder value</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Use a diverse set of complimentary performance measures to determine compensation awards</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Balance the components of compensation so that both short-term (annual) and long-term (multi-year) performance objectives are measured to keep its executive officers focused on critical strategic and operational objectives, both in the short- and long-term</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Pay a substantial portion of each NEO’s compensation as variable pay contingent upon the achievement of its business objectives</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Require NEOs to have a meaningful ownership interest in the Company with share ownership requirements</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Vest equity awards over time to promote retention and mitigate risk</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Retain the ability to recoup awards in specified situations through its LivaNova Compensation Recoupment Policy and Incentive Clawback Policy</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Engage an independent Compensation Consultant to advise the CHCM Committee</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Include maximum payout caps on LivaNova’s Short-Term Incentive and Performance Stock Unit payouts</w:t>
            </w:r>
            <w:r>
              <w:rPr/>
              <w:t xml:space="preserve"> </w:t>
            </w:r>
          </w:p>
          <w:p>
            <w:pPr>
              <w:pStyle w:val="TableContents"/>
              <w:bidi w:val="0"/>
              <w:spacing w:lineRule="atLeast" w:line="260" w:before="280" w:after="283"/>
              <w:ind w:left="200" w:right="0" w:hanging="0"/>
              <w:jc w:val="both"/>
              <w:rPr/>
            </w:pPr>
            <w:r>
              <w:rPr>
                <w:color w:val="FF5B34"/>
                <w:spacing w:val="2"/>
              </w:rPr>
              <w:t>☑</w:t>
            </w:r>
            <w:r>
              <w:rPr>
                <w:spacing w:val="2"/>
              </w:rPr>
              <w:t xml:space="preserve"> </w:t>
            </w:r>
            <w:r>
              <w:rPr>
                <w:spacing w:val="2"/>
              </w:rPr>
              <w:t xml:space="preserve">Grant equity awards requiring a “double trigger” acceleration feature upon a Change in Control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975" w:type="dxa"/>
            <w:tcBorders>
              <w:bottom w:val="single" w:sz="8" w:space="0" w:color="702076"/>
            </w:tcBorders>
            <w:tcMar>
              <w:bottom w:w="120" w:type="dxa"/>
            </w:tcMar>
            <w:vAlign w:val="center"/>
          </w:tcPr>
          <w:p>
            <w:pPr>
              <w:pStyle w:val="TableContents"/>
              <w:bidi w:val="0"/>
              <w:spacing w:before="0" w:after="0"/>
              <w:jc w:val="left"/>
              <w:rPr>
                <w:rFonts w:ascii="Arial Narrow;Arial;Tahoma;Geneva;sans-serif" w:hAnsi="Arial Narrow;Arial;Tahoma;Geneva;sans-serif"/>
                <w:b/>
              </w:rPr>
            </w:pPr>
            <w:r>
              <w:rPr>
                <w:rFonts w:ascii="Arial Narrow;Arial;Tahoma;Geneva;sans-serif" w:hAnsi="Arial Narrow;Arial;Tahoma;Geneva;sans-serif"/>
                <w:b/>
                <w:color w:val="FF5B34"/>
                <w:spacing w:val="11"/>
              </w:rPr>
              <w:t>X</w:t>
            </w:r>
            <w:r>
              <w:rPr>
                <w:rFonts w:ascii="Arial Narrow;Arial;Tahoma;Geneva;sans-serif" w:hAnsi="Arial Narrow;Arial;Tahoma;Geneva;sans-serif"/>
                <w:b/>
                <w:spacing w:val="2"/>
              </w:rPr>
              <w:t xml:space="preserve"> </w:t>
            </w:r>
            <w:r>
              <w:rPr>
                <w:rFonts w:ascii="Tahoma;Geneva;sans-serif" w:hAnsi="Tahoma;Geneva;sans-serif"/>
                <w:b w:val="false"/>
                <w:spacing w:val="2"/>
              </w:rPr>
              <w:t>Pay excise tax gross-ups</w:t>
            </w:r>
            <w:r>
              <w:rPr>
                <w:rFonts w:ascii="Arial Narrow;Arial;Tahoma;Geneva;sans-serif" w:hAnsi="Arial Narrow;Arial;Tahoma;Geneva;sans-serif"/>
                <w:b/>
              </w:rPr>
              <w:t xml:space="preserve"> </w:t>
            </w:r>
          </w:p>
          <w:p>
            <w:pPr>
              <w:pStyle w:val="TableContents"/>
              <w:bidi w:val="0"/>
              <w:spacing w:lineRule="atLeast" w:line="240" w:before="280" w:after="283"/>
              <w:jc w:val="both"/>
              <w:rPr/>
            </w:pPr>
            <w:r>
              <w:rPr>
                <w:rFonts w:ascii="Arial Narrow;Arial;Tahoma;Geneva;sans-serif" w:hAnsi="Arial Narrow;Arial;Tahoma;Geneva;sans-serif"/>
                <w:b/>
                <w:color w:val="FF5B34"/>
                <w:spacing w:val="11"/>
              </w:rPr>
              <w:t>X</w:t>
            </w:r>
            <w:r>
              <w:rPr>
                <w:spacing w:val="2"/>
              </w:rPr>
              <w:t xml:space="preserve"> Reprice stock options or award discounted stock option grants</w:t>
            </w:r>
            <w:r>
              <w:rPr/>
              <w:t xml:space="preserve"> </w:t>
            </w:r>
          </w:p>
          <w:p>
            <w:pPr>
              <w:pStyle w:val="TableContents"/>
              <w:bidi w:val="0"/>
              <w:spacing w:lineRule="atLeast" w:line="240" w:before="280" w:after="283"/>
              <w:jc w:val="both"/>
              <w:rPr/>
            </w:pPr>
            <w:r>
              <w:rPr>
                <w:rFonts w:ascii="Arial Narrow;Arial;Tahoma;Geneva;sans-serif" w:hAnsi="Arial Narrow;Arial;Tahoma;Geneva;sans-serif"/>
                <w:b/>
                <w:color w:val="FF5B34"/>
                <w:spacing w:val="11"/>
              </w:rPr>
              <w:t>X</w:t>
            </w:r>
            <w:r>
              <w:rPr>
                <w:spacing w:val="2"/>
              </w:rPr>
              <w:t xml:space="preserve"> Allow its officers or directors to pledge Company securities</w:t>
            </w:r>
            <w:r>
              <w:rPr/>
              <w:t xml:space="preserve"> </w:t>
            </w:r>
          </w:p>
          <w:p>
            <w:pPr>
              <w:pStyle w:val="TableContents"/>
              <w:bidi w:val="0"/>
              <w:spacing w:lineRule="atLeast" w:line="240" w:before="280" w:after="283"/>
              <w:jc w:val="both"/>
              <w:rPr/>
            </w:pPr>
            <w:r>
              <w:rPr>
                <w:rFonts w:ascii="Arial Narrow;Arial;Tahoma;Geneva;sans-serif" w:hAnsi="Arial Narrow;Arial;Tahoma;Geneva;sans-serif"/>
                <w:b/>
                <w:color w:val="FF5B34"/>
                <w:spacing w:val="11"/>
              </w:rPr>
              <w:t>X</w:t>
            </w:r>
            <w:r>
              <w:rPr>
                <w:spacing w:val="2"/>
              </w:rPr>
              <w:t xml:space="preserve"> Allow its officers or directors to engage in hedging transactions for any type of Company security, including without limitation, puts, calls, equity swaps, collars, exchange funds, prepaid variable forwards or other financial instruments or derivative securities</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8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Executive Compensation Philosophy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has structured the Company’s executive compensation program to incentivize the Company’s NEOs to perform at the highest level, take appropriate risks, and drive shareholder value in the short- and long-term. The CHCM Committee determines the compensation strategy for the Company’s NEOs and oversees its operation to ensure the following goals are achieved: shareholder value, pay for performance, and competitive pay.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36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5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93" descr=""/>
                          <pic:cNvPicPr>
                            <a:picLocks noChangeAspect="1" noChangeArrowheads="1"/>
                          </pic:cNvPicPr>
                        </pic:nvPicPr>
                        <pic:blipFill>
                          <a:blip r:embed="rId9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5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4" descr=""/>
                    <pic:cNvPicPr>
                      <a:picLocks noChangeAspect="1" noChangeArrowheads="1"/>
                    </pic:cNvPicPr>
                  </pic:nvPicPr>
                  <pic:blipFill>
                    <a:blip r:embed="rId9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executive compensation program aims to (1) ensure that the Company recruits and retains the key executive officers responsible for its success and (2) align the interests of its executive officers, including the Company’s NEOs, with those of shareholders. To achieve these ends, the CHCM Committee’s executive compensation decisions are based on the following principal objectives: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Providing a competitive compensation package that attracts, motivates, develops, and retains talented executive officers with the skills and experience to ensure the Company’s long-term success and enhance shareholder value</w:t>
      </w:r>
      <w:r>
        <w:rPr>
          <w:rFonts w:ascii="Tahoma;Geneva;sans-serif" w:hAnsi="Tahoma;Geneva;sans-serif"/>
          <w:b w:val="false"/>
          <w:i w:val="false"/>
          <w:caps w:val="false"/>
          <w:smallCaps w:val="false"/>
          <w:color w:val="000000"/>
          <w:spacing w:val="2"/>
          <w:sz w:val="20"/>
        </w:rPr>
        <w:t>. LivaNova utilizes multiple pay and reward vehicles that work together to achieve the Company’s overall compensation objectives. These vehicles are intended to deliver a competitive package to each of LivaNova’s executive officers that is focused on rewarding performance and retaining talent, while maintaining alignment with shareholder interests.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516">
                <wp:simplePos x="0" y="0"/>
                <wp:positionH relativeFrom="column">
                  <wp:align>left</wp:align>
                </wp:positionH>
                <wp:positionV relativeFrom="line">
                  <wp:align>top</wp:align>
                </wp:positionV>
                <wp:extent cx="228600" cy="350520"/>
                <wp:effectExtent l="0" t="0" r="0" b="0"/>
                <wp:wrapSquare wrapText="right"/>
                <wp:docPr id="258" name="Frame1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Ensuring a meaningful link between LivaNova’s operational performance, shareholder interests, and corporate governance, and the total compensation received by the Company’s executive officers</w:t>
      </w:r>
      <w:r>
        <w:rPr>
          <w:rFonts w:ascii="Tahoma;Geneva;sans-serif" w:hAnsi="Tahoma;Geneva;sans-serif"/>
          <w:b w:val="false"/>
          <w:i w:val="false"/>
          <w:caps w:val="false"/>
          <w:smallCaps w:val="false"/>
          <w:color w:val="000000"/>
          <w:spacing w:val="2"/>
          <w:sz w:val="20"/>
        </w:rPr>
        <w:t>. A substantial portion of each executive officer’s compensation is based on the collective performance of LivaNova’s management team, as measured by the achievement of specific, key Company objectives. The emphasis on overall performance is designed to focus its executive officers, working as a team, on a common purpose, using shared performance standards aligned with shareholder interests and the highest levels of integrity, teamwork, and ethical standards within the Company.</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517">
                <wp:simplePos x="0" y="0"/>
                <wp:positionH relativeFrom="column">
                  <wp:align>left</wp:align>
                </wp:positionH>
                <wp:positionV relativeFrom="line">
                  <wp:align>top</wp:align>
                </wp:positionV>
                <wp:extent cx="228600" cy="350520"/>
                <wp:effectExtent l="0" t="0" r="0" b="0"/>
                <wp:wrapSquare wrapText="right"/>
                <wp:docPr id="259" name="Frame1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Balancing the components of compensation so that both short-term (annual) and long-term (multi-year) performance objectives are recognized</w:t>
      </w:r>
      <w:r>
        <w:rPr>
          <w:rFonts w:ascii="Tahoma;Geneva;sans-serif" w:hAnsi="Tahoma;Geneva;sans-serif"/>
          <w:b w:val="false"/>
          <w:i w:val="false"/>
          <w:caps w:val="false"/>
          <w:smallCaps w:val="false"/>
          <w:color w:val="000000"/>
          <w:spacing w:val="2"/>
          <w:sz w:val="20"/>
        </w:rPr>
        <w:t xml:space="preserve">. LivaNova’s success depends on the Company’s executive officers being focused on the critical strategic and tactical objectives, both short-term and long-term, that lead to the Company’s success. The components of LivaNova’s compensation package, coupled with the performance objectives, align the Company’s executive compensation with its business objectives. The design of the program, the selected performance objectives, and the timing of awards and payouts are all intended to drive business performance and increase shareholder returns. </w:t>
      </w:r>
      <w:r>
        <mc:AlternateContent>
          <mc:Choice Requires="wps">
            <w:drawing>
              <wp:anchor behindDoc="0" distT="73660" distB="0" distL="228600" distR="0" simplePos="0" locked="0" layoutInCell="1" allowOverlap="1" relativeHeight="518">
                <wp:simplePos x="0" y="0"/>
                <wp:positionH relativeFrom="column">
                  <wp:align>left</wp:align>
                </wp:positionH>
                <wp:positionV relativeFrom="line">
                  <wp:align>top</wp:align>
                </wp:positionV>
                <wp:extent cx="228600" cy="350520"/>
                <wp:effectExtent l="0" t="0" r="0" b="0"/>
                <wp:wrapSquare wrapText="right"/>
                <wp:docPr id="260" name="Frame1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Considering the U.S. pay level and structure as the core reference for LivaNova’s compensation programs</w:t>
      </w:r>
      <w:r>
        <w:rPr>
          <w:rFonts w:ascii="Tahoma;Geneva;sans-serif" w:hAnsi="Tahoma;Geneva;sans-serif"/>
          <w:b w:val="false"/>
          <w:i w:val="false"/>
          <w:caps w:val="false"/>
          <w:smallCaps w:val="false"/>
          <w:color w:val="000000"/>
          <w:spacing w:val="2"/>
          <w:sz w:val="20"/>
        </w:rPr>
        <w:t>. Given the talent market in which LivaNova competes and consistent with the Company’s compensation peer group, LivaNova uses U.S. pay levels and structures as its core reference to establish competitive compensation levels for the Company’s executive officers. Due to the multinational nature of the Company and its operations, LivaNova also considers compensation and benefit trends and practices of the countries where the Company hires its executive officers.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519">
                <wp:simplePos x="0" y="0"/>
                <wp:positionH relativeFrom="column">
                  <wp:align>left</wp:align>
                </wp:positionH>
                <wp:positionV relativeFrom="line">
                  <wp:align>top</wp:align>
                </wp:positionV>
                <wp:extent cx="228600" cy="350520"/>
                <wp:effectExtent l="0" t="0" r="0" b="0"/>
                <wp:wrapSquare wrapText="right"/>
                <wp:docPr id="261" name="Frame1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Role of the Compensation and Human Capital Management Committee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determines LivaNova’s compensation philosophy and program design and is the decision-making body on all matters relating to the compensation paid to the Company’s NEOs. The CHCM Committee has the sole authority to retain and terminate a compensation consultant to assist with its responsibilities as well as the sole authority to approve the compensation consultant’s fees, which the Company pays. For more information about the CHCM Committee, its members, and its duties as set forth in its charter, please refer to the section entitled “Corporate Governance” in this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Consideration of Prior Year’s Say on Pay Vote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the 2024 AGM, LivaNova’s “Say on Pay” proposal regarding NEO compensation garnered shareholder support of 95% of the votes cast. As a UK Public Limited Company, LivaNova includes a directors’ remuneration report in the Company’s UK Annual Report, which is subject to a shareholder advisory vote. In 2024, the advisory vote on the UK directors’ remuneration report regarding executive and non-executive director remuneration also showed strong support with 95% approval of the votes cast. Each of these proposals is voted on annually. As a result of the positive say-on-pay vote and support for the UK directors’ remuneration report, the CHCM Committee concluded that the Company’s executive compensation programs are performing as intended and therefore determined not to make any significant changes to the core structure of the programs.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addition, LivaNova has a remuneration policy that, as required by the Companies Act, is approved by the Company shareholders. LivaNova’s CHCM Committee considers its remuneration policy annually to ensure that it remains aligned with business needs and is appropriately positioned relative to the market. LivaNova has not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6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5" descr=""/>
                          <pic:cNvPicPr>
                            <a:picLocks noChangeAspect="1" noChangeArrowheads="1"/>
                          </pic:cNvPicPr>
                        </pic:nvPicPr>
                        <pic:blipFill>
                          <a:blip r:embed="rId96"/>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37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6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6" descr=""/>
                    <pic:cNvPicPr>
                      <a:picLocks noChangeAspect="1" noChangeArrowheads="1"/>
                    </pic:cNvPicPr>
                  </pic:nvPicPr>
                  <pic:blipFill>
                    <a:blip r:embed="rId9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revised the policy more frequently than every three years as required by the Companies Act, and in the absence of exceptional unexpected circumstances requiring a change to the policy, there is no intent to do so outside of the normal cycle. The remuneration policy applies to LivaNova’s directors, including the Company’s CEO, who is also the Company’s sole executive director. In 2022, the remuneration policy received the support of more than 98% of the votes cast. A new remuneration policy is being presented to shareholders for approval at the 2025 AGM under Proposal 9.</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Role of the Compensation Consultant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2024, the CHCM Committee directly engaged an independent compensation consultant, Pearl Meyer, to advise on competitive pay practices, recommend a peer group for compensation purposes, provide market data, and assist the CHCM Committee in the analysis of that data and attend all regular meetings of the CHCM Committee. During 2024, Pearl Meyer did not perform any services for the Company or any of its executive officers or other employees. Based on these factors, the CHCM Committee’s evaluation of Pearl Meyer’s independence pursuant to the requirements approved and adopted by the SEC and Nasdaq, and information provided by Pearl Meyer, the CHCM Committee determined that the work performed by Pearl Meyer did not raise any conflicts of interest.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Role of the CEO</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CHCM Committee works with the Company’s executive management, including its CEO, to oversee its executive compensation program. LivaNova’s CEO plays a key role in the process as it relates to executive officers other than himself. For the NEOs other than himself, the Company’s CEO: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performance objectives for LivaNova’s annual STIP;</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80010" distB="0" distL="228600" distR="0" simplePos="0" locked="0" layoutInCell="1" allowOverlap="1" relativeHeight="520">
                <wp:simplePos x="0" y="0"/>
                <wp:positionH relativeFrom="column">
                  <wp:align>left</wp:align>
                </wp:positionH>
                <wp:positionV relativeFrom="line">
                  <wp:align>top</wp:align>
                </wp:positionV>
                <wp:extent cx="228600" cy="350520"/>
                <wp:effectExtent l="0" t="0" r="0" b="0"/>
                <wp:wrapSquare wrapText="right"/>
                <wp:docPr id="264" name="Frame1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adjustments to annual base salaries and target amounts under LivaNova’s STIP;</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3810" distB="0" distL="228600" distR="0" simplePos="0" locked="0" layoutInCell="1" allowOverlap="1" relativeHeight="521">
                <wp:simplePos x="0" y="0"/>
                <wp:positionH relativeFrom="column">
                  <wp:align>left</wp:align>
                </wp:positionH>
                <wp:positionV relativeFrom="line">
                  <wp:align>top</wp:align>
                </wp:positionV>
                <wp:extent cx="228600" cy="350520"/>
                <wp:effectExtent l="0" t="0" r="0" b="0"/>
                <wp:wrapSquare wrapText="right"/>
                <wp:docPr id="265" name="Frame1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3pt;mso-wrap-distance-bottom:0pt;margin-top:0.3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equity incentive awards under LivaNova’s long-term incentive plan (“LTIP”);</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3810" distB="0" distL="228600" distR="0" simplePos="0" locked="0" layoutInCell="1" allowOverlap="1" relativeHeight="522">
                <wp:simplePos x="0" y="0"/>
                <wp:positionH relativeFrom="column">
                  <wp:align>left</wp:align>
                </wp:positionH>
                <wp:positionV relativeFrom="line">
                  <wp:align>top</wp:align>
                </wp:positionV>
                <wp:extent cx="228600" cy="350520"/>
                <wp:effectExtent l="0" t="0" r="0" b="0"/>
                <wp:wrapSquare wrapText="right"/>
                <wp:docPr id="266" name="Frame1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3pt;mso-wrap-distance-bottom:0pt;margin-top:0.3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Prepares an evaluation of each executive officer;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3810" distB="0" distL="228600" distR="0" simplePos="0" locked="0" layoutInCell="1" allowOverlap="1" relativeHeight="523">
                <wp:simplePos x="0" y="0"/>
                <wp:positionH relativeFrom="column">
                  <wp:align>left</wp:align>
                </wp:positionH>
                <wp:positionV relativeFrom="line">
                  <wp:align>top</wp:align>
                </wp:positionV>
                <wp:extent cx="228600" cy="350520"/>
                <wp:effectExtent l="0" t="0" r="0" b="0"/>
                <wp:wrapSquare wrapText="right"/>
                <wp:docPr id="267" name="Frame1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3pt;mso-wrap-distance-bottom:0pt;margin-top:0.3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Prepares an analysis of performance objective achievements and recommends annual bonus amounts. </w:t>
      </w:r>
      <w:r>
        <mc:AlternateContent>
          <mc:Choice Requires="wps">
            <w:drawing>
              <wp:anchor behindDoc="0" distT="3810" distB="0" distL="228600" distR="0" simplePos="0" locked="0" layoutInCell="1" allowOverlap="1" relativeHeight="524">
                <wp:simplePos x="0" y="0"/>
                <wp:positionH relativeFrom="column">
                  <wp:align>left</wp:align>
                </wp:positionH>
                <wp:positionV relativeFrom="line">
                  <wp:align>top</wp:align>
                </wp:positionV>
                <wp:extent cx="228600" cy="350520"/>
                <wp:effectExtent l="0" t="0" r="0" b="0"/>
                <wp:wrapSquare wrapText="right"/>
                <wp:docPr id="268" name="Frame1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3pt;mso-wrap-distance-bottom:0pt;margin-top:0.3pt;mso-position-vertical:top;mso-position-vertical-relative:text;margin-left:54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8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How LivaNova Establishes Executive Compensation Levels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making executive compensation determinations, the CHCM Committee relies on several factors to set compensation elements and compensation targets consistent with LivaNova’s executive compensation program objectives. These factors include: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Assessment of Company Performance</w:t>
      </w:r>
      <w:r>
        <w:rPr>
          <w:rFonts w:ascii="Tahoma;Geneva;sans-serif" w:hAnsi="Tahoma;Geneva;sans-serif"/>
          <w:b w:val="false"/>
          <w:i w:val="false"/>
          <w:caps w:val="false"/>
          <w:smallCaps w:val="false"/>
          <w:color w:val="000000"/>
          <w:spacing w:val="2"/>
          <w:sz w:val="20"/>
        </w:rPr>
        <w:t>. The CHCM Committee approves specific Company financial and non-financial performance goals that the Board, the CHCM Committee, and management believe will drive shareholder value. The relative achievement of the performance objectives determines substantially all of the pay-outs under the STIP and the performance-based equity incentive awards portion under the LTIP.</w:t>
      </w:r>
      <w:r>
        <w:rPr>
          <w:rFonts w:ascii="Tahoma;Geneva;sans-serif" w:hAnsi="Tahoma;Geneva;sans-serif"/>
          <w:b w:val="false"/>
          <w:i w:val="false"/>
          <w:caps w:val="false"/>
          <w:smallCaps w:val="false"/>
          <w:color w:val="000000"/>
          <w:sz w:val="20"/>
        </w:rPr>
        <w:t xml:space="preserve"> </w:t>
      </w:r>
      <w:r>
        <mc:AlternateContent>
          <mc:Choice Requires="wps">
            <w:drawing>
              <wp:anchor behindDoc="0" distT="80010" distB="0" distL="228600" distR="0" simplePos="0" locked="0" layoutInCell="1" allowOverlap="1" relativeHeight="525">
                <wp:simplePos x="0" y="0"/>
                <wp:positionH relativeFrom="column">
                  <wp:align>left</wp:align>
                </wp:positionH>
                <wp:positionV relativeFrom="line">
                  <wp:align>top</wp:align>
                </wp:positionV>
                <wp:extent cx="228600" cy="350520"/>
                <wp:effectExtent l="0" t="0" r="0" b="0"/>
                <wp:wrapSquare wrapText="right"/>
                <wp:docPr id="269" name="Frame1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Assessment of Individual Performance</w:t>
      </w:r>
      <w:r>
        <w:rPr>
          <w:rFonts w:ascii="Tahoma;Geneva;sans-serif" w:hAnsi="Tahoma;Geneva;sans-serif"/>
          <w:b w:val="false"/>
          <w:i w:val="false"/>
          <w:caps w:val="false"/>
          <w:smallCaps w:val="false"/>
          <w:color w:val="000000"/>
          <w:spacing w:val="2"/>
          <w:sz w:val="20"/>
        </w:rPr>
        <w:t>. Individual performance is a key consideration in LivaNova’s compensation decisions.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26">
                <wp:simplePos x="0" y="0"/>
                <wp:positionH relativeFrom="column">
                  <wp:align>left</wp:align>
                </wp:positionH>
                <wp:positionV relativeFrom="line">
                  <wp:align>top</wp:align>
                </wp:positionV>
                <wp:extent cx="228600" cy="350520"/>
                <wp:effectExtent l="0" t="0" r="0" b="0"/>
                <wp:wrapSquare wrapText="right"/>
                <wp:docPr id="270" name="Frame1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25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CEO</w:t>
      </w:r>
      <w:r>
        <w:rPr>
          <w:rFonts w:ascii="Tahoma;Geneva;sans-serif" w:hAnsi="Tahoma;Geneva;sans-serif"/>
          <w:b w:val="false"/>
          <w:i w:val="false"/>
          <w:caps w:val="false"/>
          <w:smallCaps w:val="false"/>
          <w:color w:val="000000"/>
          <w:spacing w:val="2"/>
          <w:sz w:val="20"/>
        </w:rPr>
        <w:t>. The CHCM Committee meets with the Company’s CEO annually to agree on the CEO’s performance objectives for the next year. Thereafter, the CHCM Committee and the Chair of the Board or the Lead Director (if the Chair of the Board is an executive director) meet in executive session to assess the CEO’s performance against the CEO’s objectives, the CEO’s degree of contribution to LivaNova’s performance, the CEO’s ethics and integrity, and other leadership attributes.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457200" distR="0" simplePos="0" locked="0" layoutInCell="1" allowOverlap="1" relativeHeight="527">
                <wp:simplePos x="0" y="0"/>
                <wp:positionH relativeFrom="column">
                  <wp:align>left</wp:align>
                </wp:positionH>
                <wp:positionV relativeFrom="line">
                  <wp:align>top</wp:align>
                </wp:positionV>
                <wp:extent cx="228600" cy="350520"/>
                <wp:effectExtent l="0" t="0" r="0" b="0"/>
                <wp:wrapSquare wrapText="right"/>
                <wp:docPr id="271" name="Frame1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6.2pt;mso-wrap-distance-bottom:0pt;margin-top:6.2pt;mso-position-vertical:top;mso-position-vertical-relative:text;margin-left:36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25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Other NEOs</w:t>
      </w:r>
      <w:r>
        <w:rPr>
          <w:rFonts w:ascii="Tahoma;Geneva;sans-serif" w:hAnsi="Tahoma;Geneva;sans-serif"/>
          <w:b w:val="false"/>
          <w:i w:val="false"/>
          <w:caps w:val="false"/>
          <w:smallCaps w:val="false"/>
          <w:color w:val="000000"/>
          <w:spacing w:val="2"/>
          <w:sz w:val="20"/>
        </w:rPr>
        <w:t>. For all other NEOs, the CHCM Committee receives performance assessments and compensation recommendations from the CEO and exercises its judgment based on the Board’s interactions with the individuals. As with the CEO, an executive officer’s performance assessment is based on individual achievements and contributions, contribution to Company performance, ethics and integrity, and other leadership accomplishments.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457200" distR="0" simplePos="0" locked="0" layoutInCell="1" allowOverlap="1" relativeHeight="528">
                <wp:simplePos x="0" y="0"/>
                <wp:positionH relativeFrom="column">
                  <wp:align>left</wp:align>
                </wp:positionH>
                <wp:positionV relativeFrom="line">
                  <wp:align>top</wp:align>
                </wp:positionV>
                <wp:extent cx="228600" cy="350520"/>
                <wp:effectExtent l="0" t="0" r="0" b="0"/>
                <wp:wrapSquare wrapText="right"/>
                <wp:docPr id="272" name="Frame1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6.2pt;mso-wrap-distance-bottom:0pt;margin-top:6.2pt;mso-position-vertical:top;mso-position-vertical-relative:text;margin-left:36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38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7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7" descr=""/>
                          <pic:cNvPicPr>
                            <a:picLocks noChangeAspect="1" noChangeArrowheads="1"/>
                          </pic:cNvPicPr>
                        </pic:nvPicPr>
                        <pic:blipFill>
                          <a:blip r:embed="rId98"/>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7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8" descr=""/>
                    <pic:cNvPicPr>
                      <a:picLocks noChangeAspect="1" noChangeArrowheads="1"/>
                    </pic:cNvPicPr>
                  </pic:nvPicPr>
                  <pic:blipFill>
                    <a:blip r:embed="rId9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96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Benchmarking Analysis</w:t>
      </w:r>
      <w:r>
        <w:rPr>
          <w:rFonts w:ascii="Tahoma;Geneva;sans-serif" w:hAnsi="Tahoma;Geneva;sans-serif"/>
          <w:b w:val="false"/>
          <w:i w:val="false"/>
          <w:caps w:val="false"/>
          <w:smallCaps w:val="false"/>
          <w:color w:val="000000"/>
          <w:spacing w:val="2"/>
          <w:sz w:val="20"/>
        </w:rPr>
        <w:t>. The CHCM Committee reviews peer group data based on benchmark analysis provided by its independent compensation consultant, Pearl Meyer, who compares individual pay to comparable roles among LivaNova’s peer group. To perform the benchmark analysis, Pearl Meyer uses data from a pre-established peer group selected by the CHCM Committee, as well as compensation survey data that reflects companies of comparable size and industry where available, collectively referred to as “market data”. Companies included in the peer group are generally U.S.-based public companies, traded on a major exchange, in the healthcare industry with revenues between $350 million and $3.1B billion, market capitalization between $700 million and $11 billion and employee populations between 1,000 and 9,000 people. The peer group used to benchmark executive compensation for the year ended December 31, 2024 (the “2024 Compensation Peer Group”) consisted of the following companies selected by the CHCM Committee based upon the recommendation of its independent compensation consultant, Pearl Meyer.</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29">
                <wp:simplePos x="0" y="0"/>
                <wp:positionH relativeFrom="column">
                  <wp:align>left</wp:align>
                </wp:positionH>
                <wp:positionV relativeFrom="line">
                  <wp:posOffset>635</wp:posOffset>
                </wp:positionV>
                <wp:extent cx="228600" cy="350520"/>
                <wp:effectExtent l="0" t="0" r="0" b="0"/>
                <wp:wrapSquare wrapText="right"/>
                <wp:docPr id="275" name="Frame1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8304" w:type="dxa"/>
        <w:jc w:val="left"/>
        <w:tblInd w:w="1173" w:type="dxa"/>
        <w:tblLayout w:type="fixed"/>
        <w:tblCellMar>
          <w:top w:w="0" w:type="dxa"/>
          <w:left w:w="0" w:type="dxa"/>
          <w:bottom w:w="0" w:type="dxa"/>
          <w:right w:w="0" w:type="dxa"/>
        </w:tblCellMar>
      </w:tblPr>
      <w:tblGrid>
        <w:gridCol w:w="124"/>
        <w:gridCol w:w="109"/>
        <w:gridCol w:w="4485"/>
        <w:gridCol w:w="113"/>
        <w:gridCol w:w="113"/>
        <w:gridCol w:w="113"/>
        <w:gridCol w:w="298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Avanos Medical, Inc. </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iRhythm Technologies, Inc.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CONMED Corporation </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Masimo Corporation </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Globus Medical, Inc. </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Merit Medical Systems, Inc.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Haemonetics Corporation </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Nevro Corp. </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ICU Medical, Inc. </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Penumbra, Inc.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Inari Medical, Inc. </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shd w:fill="D8D8D8" w:val="clear"/>
            <w:tcMar>
              <w:bottom w:w="50" w:type="dxa"/>
            </w:tcMar>
            <w:vAlign w:val="center"/>
          </w:tcPr>
          <w:p>
            <w:pPr>
              <w:pStyle w:val="TableContents"/>
              <w:bidi w:val="0"/>
              <w:spacing w:before="0" w:after="0"/>
              <w:jc w:val="left"/>
              <w:rPr/>
            </w:pPr>
            <w:r>
              <w:rPr>
                <w:spacing w:val="2"/>
              </w:rPr>
              <w:t>Shockwave Medical, Inc.</w:t>
            </w:r>
            <w:r>
              <w:rPr>
                <w:spacing w:val="2"/>
                <w:sz w:val="13"/>
              </w:rPr>
              <w:t>(1)</w:t>
            </w:r>
            <w:r>
              <w:rPr/>
              <w:t xml:space="preserve"> </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Integer Holdings Corporation </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tcMar>
              <w:bottom w:w="50" w:type="dxa"/>
            </w:tcMar>
            <w:vAlign w:val="center"/>
          </w:tcPr>
          <w:p>
            <w:pPr>
              <w:pStyle w:val="TableContents"/>
              <w:bidi w:val="0"/>
              <w:spacing w:before="0" w:after="0"/>
              <w:jc w:val="left"/>
              <w:rPr>
                <w:spacing w:val="2"/>
              </w:rPr>
            </w:pPr>
            <w:r>
              <w:rPr>
                <w:spacing w:val="2"/>
              </w:rPr>
              <w:t xml:space="preserve">Tandem Diabetes Care, Inc.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4485" w:type="dxa"/>
            <w:tcBorders>
              <w:bottom w:val="single" w:sz="6" w:space="0" w:color="000000"/>
            </w:tcBorders>
            <w:shd w:fill="D8D8D8" w:val="clear"/>
            <w:tcMar>
              <w:bottom w:w="50" w:type="dxa"/>
            </w:tcMar>
            <w:vAlign w:val="center"/>
          </w:tcPr>
          <w:p>
            <w:pPr>
              <w:pStyle w:val="TableContents"/>
              <w:bidi w:val="0"/>
              <w:spacing w:before="0" w:after="0"/>
              <w:jc w:val="left"/>
              <w:rPr>
                <w:spacing w:val="2"/>
              </w:rPr>
            </w:pPr>
            <w:r>
              <w:rPr>
                <w:spacing w:val="2"/>
              </w:rPr>
              <w:t xml:space="preserve">Integra LifeSciences Holdings Corporation </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3"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2984" w:type="dxa"/>
            <w:tcBorders>
              <w:bottom w:val="single" w:sz="6" w:space="0" w:color="000000"/>
            </w:tcBorders>
            <w:shd w:fill="D8D8D8" w:val="clear"/>
            <w:tcMar>
              <w:bottom w:w="50" w:type="dxa"/>
            </w:tcMar>
            <w:vAlign w:val="center"/>
          </w:tcPr>
          <w:p>
            <w:pPr>
              <w:pStyle w:val="TableContents"/>
              <w:bidi w:val="0"/>
              <w:spacing w:before="0" w:after="283"/>
              <w:jc w:val="left"/>
              <w:rPr/>
            </w:pPr>
            <w:r>
              <w:rPr/>
              <w:t>​</w:t>
            </w:r>
          </w:p>
        </w:tc>
        <w:tc>
          <w:tcPr>
            <w:tcW w:w="109" w:type="dxa"/>
            <w:tcBorders>
              <w:bottom w:val="single" w:sz="6" w:space="0" w:color="000000"/>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808" w:type="dxa"/>
            <w:gridSpan w:val="5"/>
            <w:tcBorders>
              <w:bottom w:val="single" w:sz="6" w:space="0" w:color="000000"/>
            </w:tcBorders>
            <w:tcMar>
              <w:bottom w:w="50" w:type="dxa"/>
            </w:tcMar>
            <w:vAlign w:val="center"/>
          </w:tcPr>
          <w:p>
            <w:pPr>
              <w:pStyle w:val="TableContents"/>
              <w:bidi w:val="0"/>
              <w:spacing w:before="0" w:after="0"/>
              <w:jc w:val="left"/>
              <w:rPr/>
            </w:pPr>
            <w:r>
              <w:rPr>
                <w:spacing w:val="2"/>
              </w:rPr>
              <w:t>(1) Shockwave Medical, Inc. was acquired by Johnson &amp; Johnson in May 2024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7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2024 Compensation Peer Group differs from the peer group used in 2023 as it excludes Abiomed, Inc. and Nuvasive, Inc. due to their respective acquisitions and includes Inari Medical, Inc., iRhythm Technologies, Inc., and Shockwave Medical, Inc., as they meet the above-mentioned criteria. For peer group consistency, Pearl Meyer recommended retaining ICU Medical, Inc. and Integer Holdings Corporation in the 2024 Compensation Peer Group, notwithstanding the fact that such companies reported employee populations exceeding 9,000 persons in the prior fiscal year. In addition to the benchmark analysis, the CHCM Committee considers individual performance, Company performance, and internal pay equity, in setting NEO pay.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Overall Competitiveness</w:t>
      </w:r>
      <w:r>
        <w:rPr>
          <w:rFonts w:ascii="Tahoma;Geneva;sans-serif" w:hAnsi="Tahoma;Geneva;sans-serif"/>
          <w:b w:val="false"/>
          <w:i w:val="false"/>
          <w:caps w:val="false"/>
          <w:smallCaps w:val="false"/>
          <w:color w:val="000000"/>
          <w:spacing w:val="2"/>
          <w:sz w:val="20"/>
        </w:rPr>
        <w:t>. The CHCM Committee uses aggregated market data as a reference point to ensure that executive compensation falls within the broad middle range of comparable pay at peer companies with which the Company competes for talent.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530">
                <wp:simplePos x="0" y="0"/>
                <wp:positionH relativeFrom="column">
                  <wp:align>left</wp:align>
                </wp:positionH>
                <wp:positionV relativeFrom="line">
                  <wp:align>top</wp:align>
                </wp:positionV>
                <wp:extent cx="228600" cy="350520"/>
                <wp:effectExtent l="0" t="0" r="0" b="0"/>
                <wp:wrapSquare wrapText="right"/>
                <wp:docPr id="276" name="Frame1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UK Remuneration Policy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Under English company law, LivaNova is obliged to adopt a shareholder-approved UK remuneration policy for the Company’s directors, including its CEO, who is also a director. Furthermore, the CHCM Committee must ensure that any compensation plan it approves for the CEO is consistent with this policy. Under LivaNova’s 2022 UK remuneration policy, the maximum short-term incentive opportunity for the Company’s CEO cannot exceed 200% of their base salary. In the case of a calculated payment higher than 200% of base salary, the CHCM Committee would affirmatively act to reduce the award to not exceed 200% in compliance with the UK remuneration policy. In the new UK remuneration policy that is being presented to shareholders for approval at the 2025 AGM, LivaNova is proposing to increase the 200% limit to 225%, to provide the ability to pay the CEO based on calculated above-target performance.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27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9" descr=""/>
                          <pic:cNvPicPr>
                            <a:picLocks noChangeAspect="1" noChangeArrowheads="1"/>
                          </pic:cNvPicPr>
                        </pic:nvPicPr>
                        <pic:blipFill>
                          <a:blip r:embed="rId100"/>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39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EOC2"/>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7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00" descr=""/>
                    <pic:cNvPicPr>
                      <a:picLocks noChangeAspect="1" noChangeArrowheads="1"/>
                    </pic:cNvPicPr>
                  </pic:nvPicPr>
                  <pic:blipFill>
                    <a:blip r:embed="rId10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4340" w:type="dxa"/>
        <w:jc w:val="left"/>
        <w:tblInd w:w="1173" w:type="dxa"/>
        <w:tblLayout w:type="fixed"/>
        <w:tblCellMar>
          <w:top w:w="0" w:type="dxa"/>
          <w:left w:w="0" w:type="dxa"/>
          <w:bottom w:w="0" w:type="dxa"/>
          <w:right w:w="0" w:type="dxa"/>
        </w:tblCellMar>
      </w:tblPr>
      <w:tblGrid>
        <w:gridCol w:w="124"/>
        <w:gridCol w:w="4062"/>
        <w:gridCol w:w="154"/>
      </w:tblGrid>
      <w:tr>
        <w:trPr/>
        <w:tc>
          <w:tcPr>
            <w:tcW w:w="124" w:type="dxa"/>
            <w:tcBorders/>
            <w:shd w:fill="702076" w:val="clear"/>
            <w:vAlign w:val="center"/>
          </w:tcPr>
          <w:p>
            <w:pPr>
              <w:pStyle w:val="TableContents"/>
              <w:bidi w:val="0"/>
              <w:spacing w:before="0" w:after="283"/>
              <w:jc w:val="left"/>
              <w:rPr/>
            </w:pPr>
            <w:r>
              <w:rPr/>
              <w:t>​</w:t>
            </w:r>
          </w:p>
        </w:tc>
        <w:tc>
          <w:tcPr>
            <w:tcW w:w="4062" w:type="dxa"/>
            <w:tcBorders/>
            <w:shd w:fill="702076" w:val="clear"/>
            <w:vAlign w:val="center"/>
          </w:tcPr>
          <w:p>
            <w:pPr>
              <w:pStyle w:val="TableContents"/>
              <w:bidi w:val="0"/>
              <w:spacing w:lineRule="atLeast" w:line="240" w:before="0" w:after="0"/>
              <w:jc w:val="center"/>
              <w:rPr/>
            </w:pPr>
            <w:r>
              <w:rPr>
                <w:spacing w:val="14"/>
              </w:rPr>
              <w:t>ELEMENTS OF COMPENSATION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u w:val="single"/>
        </w:rPr>
        <w:t>Base Salary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Arial Narrow;Arial;Tahoma;Geneva;sans-serif" w:hAnsi="Arial Narrow;Arial;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Arial Narrow;Arial;Tahoma;Geneva;sans-serif" w:hAnsi="Arial Narrow;Arial;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Attract and retain NEOs; compensate for individual performance</w:t>
      </w:r>
      <w:r>
        <w:rPr>
          <w:rFonts w:ascii="Arial Narrow;Arial;Tahoma;Geneva;sans-serif" w:hAnsi="Arial Narrow;Arial;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general, fixed annually following the CHCM Committee’s compensation review in the first fiscal quarter;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31">
                <wp:simplePos x="0" y="0"/>
                <wp:positionH relativeFrom="column">
                  <wp:align>left</wp:align>
                </wp:positionH>
                <wp:positionV relativeFrom="line">
                  <wp:align>top</wp:align>
                </wp:positionV>
                <wp:extent cx="228600" cy="350520"/>
                <wp:effectExtent l="0" t="0" r="0" b="0"/>
                <wp:wrapSquare wrapText="right"/>
                <wp:docPr id="279" name="Frame1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Measured against market data;</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2">
                <wp:simplePos x="0" y="0"/>
                <wp:positionH relativeFrom="column">
                  <wp:align>left</wp:align>
                </wp:positionH>
                <wp:positionV relativeFrom="line">
                  <wp:align>top</wp:align>
                </wp:positionV>
                <wp:extent cx="228600" cy="350520"/>
                <wp:effectExtent l="0" t="0" r="0" b="0"/>
                <wp:wrapSquare wrapText="right"/>
                <wp:docPr id="280" name="Frame1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Serves as the baseline from which short-term incentives are calculated;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3">
                <wp:simplePos x="0" y="0"/>
                <wp:positionH relativeFrom="column">
                  <wp:align>left</wp:align>
                </wp:positionH>
                <wp:positionV relativeFrom="line">
                  <wp:align>top</wp:align>
                </wp:positionV>
                <wp:extent cx="228600" cy="350520"/>
                <wp:effectExtent l="0" t="0" r="0" b="0"/>
                <wp:wrapSquare wrapText="right"/>
                <wp:docPr id="281" name="Frame1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currently employed NEOs is party to an employment agreement that provides for a specified base salary.</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4">
                <wp:simplePos x="0" y="0"/>
                <wp:positionH relativeFrom="column">
                  <wp:align>left</wp:align>
                </wp:positionH>
                <wp:positionV relativeFrom="line">
                  <wp:align>top</wp:align>
                </wp:positionV>
                <wp:extent cx="228600" cy="350520"/>
                <wp:effectExtent l="0" t="0" r="0" b="0"/>
                <wp:wrapSquare wrapText="right"/>
                <wp:docPr id="282" name="Frame1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annual base salaries of LivaNova’s NEOs are an important part of their total compensation package and are intended to reflect their respective positions, duties, and responsibilities. Base salaries assist in attracting, motivating, developing, and retaining the NEOs, as well as helping balance the incentive portions of the compensation program to provide stability and reduce the incentive for excessive risk-taking.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4"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In establishing base salaries, the CHCM Committee considers the following factors: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4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35">
                <wp:simplePos x="0" y="0"/>
                <wp:positionH relativeFrom="column">
                  <wp:align>left</wp:align>
                </wp:positionH>
                <wp:positionV relativeFrom="line">
                  <wp:align>top</wp:align>
                </wp:positionV>
                <wp:extent cx="228600" cy="350520"/>
                <wp:effectExtent l="0" t="0" r="0" b="0"/>
                <wp:wrapSquare wrapText="right"/>
                <wp:docPr id="283" name="Frame1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6">
                <wp:simplePos x="0" y="0"/>
                <wp:positionH relativeFrom="column">
                  <wp:align>left</wp:align>
                </wp:positionH>
                <wp:positionV relativeFrom="line">
                  <wp:align>top</wp:align>
                </wp:positionV>
                <wp:extent cx="228600" cy="350520"/>
                <wp:effectExtent l="0" t="0" r="0" b="0"/>
                <wp:wrapSquare wrapText="right"/>
                <wp:docPr id="284" name="Frame1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Individual performance during the recently completed financial year and potential future contribution;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7">
                <wp:simplePos x="0" y="0"/>
                <wp:positionH relativeFrom="column">
                  <wp:align>left</wp:align>
                </wp:positionH>
                <wp:positionV relativeFrom="line">
                  <wp:align>top</wp:align>
                </wp:positionV>
                <wp:extent cx="228600" cy="350520"/>
                <wp:effectExtent l="0" t="0" r="0" b="0"/>
                <wp:wrapSquare wrapText="right"/>
                <wp:docPr id="285" name="Frame1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8">
                <wp:simplePos x="0" y="0"/>
                <wp:positionH relativeFrom="column">
                  <wp:align>left</wp:align>
                </wp:positionH>
                <wp:positionV relativeFrom="line">
                  <wp:align>top</wp:align>
                </wp:positionV>
                <wp:extent cx="228600" cy="350520"/>
                <wp:effectExtent l="0" t="0" r="0" b="0"/>
                <wp:wrapSquare wrapText="right"/>
                <wp:docPr id="286" name="Frame1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39">
                <wp:simplePos x="0" y="0"/>
                <wp:positionH relativeFrom="column">
                  <wp:align>left</wp:align>
                </wp:positionH>
                <wp:positionV relativeFrom="line">
                  <wp:align>top</wp:align>
                </wp:positionV>
                <wp:extent cx="228600" cy="350520"/>
                <wp:effectExtent l="0" t="0" r="0" b="0"/>
                <wp:wrapSquare wrapText="right"/>
                <wp:docPr id="287" name="Frame1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5240" distB="0" distL="228600" distR="0" simplePos="0" locked="0" layoutInCell="1" allowOverlap="1" relativeHeight="540">
                <wp:simplePos x="0" y="0"/>
                <wp:positionH relativeFrom="column">
                  <wp:align>left</wp:align>
                </wp:positionH>
                <wp:positionV relativeFrom="line">
                  <wp:align>top</wp:align>
                </wp:positionV>
                <wp:extent cx="228600" cy="350520"/>
                <wp:effectExtent l="0" t="0" r="0" b="0"/>
                <wp:wrapSquare wrapText="right"/>
                <wp:docPr id="288" name="Frame1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2pt;mso-wrap-distance-bottom:0pt;margin-top:1.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With respect to the NEOs’ base salaries for fiscal 2024:</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February 14, 2024, the CHCM Committee approved the base salaries of LivaNova’s then employed NEOs effective as of the first April payroll date.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41">
                <wp:simplePos x="0" y="0"/>
                <wp:positionH relativeFrom="column">
                  <wp:align>left</wp:align>
                </wp:positionH>
                <wp:positionV relativeFrom="line">
                  <wp:align>top</wp:align>
                </wp:positionV>
                <wp:extent cx="228600" cy="350520"/>
                <wp:effectExtent l="0" t="0" r="0" b="0"/>
                <wp:wrapSquare wrapText="right"/>
                <wp:docPr id="289" name="Frame1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approved the base salaries for Messrs. Makatsaria and Tezel at the time of their hires, effective March 1, 2024 and May 13, 2024, respectively.</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42">
                <wp:simplePos x="0" y="0"/>
                <wp:positionH relativeFrom="column">
                  <wp:align>left</wp:align>
                </wp:positionH>
                <wp:positionV relativeFrom="line">
                  <wp:align>top</wp:align>
                </wp:positionV>
                <wp:extent cx="228600" cy="350520"/>
                <wp:effectExtent l="0" t="0" r="0" b="0"/>
                <wp:wrapSquare wrapText="right"/>
                <wp:docPr id="290" name="Frame1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Effective March 1, 2024, upon Mr. Makatsaria’s commencement as the Company’s CEO, Mr. Kozy received only director fees for the remainder of fiscal 2024.</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43">
                <wp:simplePos x="0" y="0"/>
                <wp:positionH relativeFrom="column">
                  <wp:align>left</wp:align>
                </wp:positionH>
                <wp:positionV relativeFrom="line">
                  <wp:align>top</wp:align>
                </wp:positionV>
                <wp:extent cx="228600" cy="350520"/>
                <wp:effectExtent l="0" t="0" r="0" b="0"/>
                <wp:wrapSquare wrapText="right"/>
                <wp:docPr id="291" name="Frame1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July 17, 2024, the CHCM Committee approved Mr. Poletti’s new base salary, effective as of August 1, 2024, as he transitioned to the role of President, Cardiopulmonary Business Unit from his role as interim General Manager, Cardiopulmonary Business Unit.</w:t>
      </w:r>
      <w:r>
        <w:rPr>
          <w:rFonts w:ascii="Tahoma;Geneva;sans-serif" w:hAnsi="Tahoma;Geneva;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544">
                <wp:simplePos x="0" y="0"/>
                <wp:positionH relativeFrom="column">
                  <wp:align>left</wp:align>
                </wp:positionH>
                <wp:positionV relativeFrom="line">
                  <wp:align>top</wp:align>
                </wp:positionV>
                <wp:extent cx="228600" cy="350520"/>
                <wp:effectExtent l="0" t="0" r="0" b="0"/>
                <wp:wrapSquare wrapText="right"/>
                <wp:docPr id="292" name="Frame1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rFonts w:ascii="Tahoma;Geneva;sans-serif" w:hAnsi="Tahoma;Geneva;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rFonts w:ascii="Tahoma;Geneva;sans-serif" w:hAnsi="Tahoma;Geneva;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pays its NEOs in local currency. The changes in base salary shown in U.S. dollars in the table below reflect both the base salary increases referenced above, as well as the change in the exchange rate used for 2024 relative to the exchange rate used for 2023.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02"/>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29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02" descr=""/>
                    <pic:cNvPicPr>
                      <a:picLocks noChangeAspect="1" noChangeArrowheads="1"/>
                    </pic:cNvPicPr>
                  </pic:nvPicPr>
                  <pic:blipFill>
                    <a:blip r:embed="rId10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11764"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18"/>
        <w:gridCol w:w="118"/>
        <w:gridCol w:w="650"/>
        <w:gridCol w:w="119"/>
        <w:gridCol w:w="109"/>
        <w:gridCol w:w="109"/>
        <w:gridCol w:w="109"/>
        <w:gridCol w:w="109"/>
        <w:gridCol w:w="109"/>
        <w:gridCol w:w="886"/>
        <w:gridCol w:w="109"/>
        <w:gridCol w:w="109"/>
        <w:gridCol w:w="109"/>
        <w:gridCol w:w="109"/>
        <w:gridCol w:w="118"/>
        <w:gridCol w:w="118"/>
        <w:gridCol w:w="650"/>
        <w:gridCol w:w="119"/>
        <w:gridCol w:w="109"/>
        <w:gridCol w:w="109"/>
        <w:gridCol w:w="109"/>
        <w:gridCol w:w="109"/>
        <w:gridCol w:w="109"/>
        <w:gridCol w:w="886"/>
        <w:gridCol w:w="109"/>
        <w:gridCol w:w="109"/>
        <w:gridCol w:w="109"/>
        <w:gridCol w:w="109"/>
        <w:gridCol w:w="851"/>
        <w:gridCol w:w="109"/>
        <w:gridCol w:w="109"/>
        <w:gridCol w:w="109"/>
        <w:gridCol w:w="109"/>
        <w:gridCol w:w="109"/>
        <w:gridCol w:w="886"/>
        <w:gridCol w:w="10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66"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05" w:type="dxa"/>
            <w:gridSpan w:val="4"/>
            <w:tcBorders/>
            <w:shd w:fill="702076" w:val="clear"/>
            <w:vAlign w:val="center"/>
          </w:tcPr>
          <w:p>
            <w:pPr>
              <w:pStyle w:val="TableContents"/>
              <w:bidi w:val="0"/>
              <w:spacing w:before="0" w:after="0"/>
              <w:jc w:val="center"/>
              <w:rPr>
                <w:spacing w:val="2"/>
              </w:rPr>
            </w:pPr>
            <w:r>
              <w:rPr>
                <w:spacing w:val="2"/>
              </w:rPr>
              <w:t xml:space="preserve">Currency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2"/>
              </w:rPr>
            </w:pPr>
            <w:r>
              <w:rPr>
                <w:spacing w:val="2"/>
              </w:rPr>
              <w:t xml:space="preserve">Base Salary </w:t>
              <w:br/>
              <w:t xml:space="preserve">as of Dec 31, </w:t>
              <w:br/>
              <w:t xml:space="preserve">2024 (local </w:t>
              <w:br/>
              <w:t xml:space="preserve">currency)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05" w:type="dxa"/>
            <w:gridSpan w:val="4"/>
            <w:tcBorders/>
            <w:shd w:fill="702076" w:val="clear"/>
            <w:vAlign w:val="center"/>
          </w:tcPr>
          <w:p>
            <w:pPr>
              <w:pStyle w:val="TableContents"/>
              <w:bidi w:val="0"/>
              <w:spacing w:before="0" w:after="0"/>
              <w:jc w:val="center"/>
              <w:rPr>
                <w:spacing w:val="2"/>
              </w:rPr>
            </w:pPr>
            <w:r>
              <w:rPr>
                <w:spacing w:val="2"/>
              </w:rPr>
              <w:t xml:space="preserve">Currency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2"/>
              </w:rPr>
            </w:pPr>
            <w:r>
              <w:rPr>
                <w:spacing w:val="2"/>
              </w:rPr>
              <w:t xml:space="preserve">Base Salary </w:t>
              <w:br/>
              <w:t xml:space="preserve">as of </w:t>
              <w:br/>
              <w:t xml:space="preserve">Dec 31, </w:t>
              <w:br/>
              <w:t xml:space="preserve">2023 (local </w:t>
              <w:br/>
              <w:t xml:space="preserve">currency)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1" w:type="dxa"/>
            <w:tcBorders/>
            <w:shd w:fill="702076" w:val="clear"/>
            <w:vAlign w:val="center"/>
          </w:tcPr>
          <w:p>
            <w:pPr>
              <w:pStyle w:val="TableContents"/>
              <w:bidi w:val="0"/>
              <w:spacing w:before="0" w:after="0"/>
              <w:jc w:val="center"/>
              <w:rPr>
                <w:spacing w:val="2"/>
              </w:rPr>
            </w:pPr>
            <w:r>
              <w:rPr>
                <w:spacing w:val="2"/>
              </w:rPr>
              <w:t xml:space="preserve">Change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lineRule="atLeast" w:line="142" w:before="0" w:after="0"/>
              <w:jc w:val="center"/>
              <w:rPr/>
            </w:pPr>
            <w:r>
              <w:rPr>
                <w:spacing w:val="2"/>
              </w:rPr>
              <w:t xml:space="preserve">Base Salary </w:t>
              <w:br/>
              <w:t xml:space="preserve">as of Dec 31, </w:t>
              <w:br/>
              <w:t>2024 (USD)</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lineRule="atLeast" w:line="142" w:before="0" w:after="0"/>
              <w:jc w:val="center"/>
              <w:rPr/>
            </w:pPr>
            <w:r>
              <w:rPr>
                <w:spacing w:val="2"/>
              </w:rPr>
              <w:t xml:space="preserve">Base Salary </w:t>
              <w:br/>
              <w:t xml:space="preserve">as of Dec 31, </w:t>
              <w:br/>
              <w:t>2023 (USD)</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930,000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 xml:space="preserve">N/A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tcMar>
              <w:bottom w:w="51" w:type="dxa"/>
            </w:tcMar>
            <w:vAlign w:val="center"/>
          </w:tcPr>
          <w:p>
            <w:pPr>
              <w:pStyle w:val="TableContents"/>
              <w:bidi w:val="0"/>
              <w:spacing w:before="0" w:after="0"/>
              <w:jc w:val="center"/>
              <w:rPr>
                <w:spacing w:val="2"/>
              </w:rPr>
            </w:pPr>
            <w:r>
              <w:rPr>
                <w:spacing w:val="2"/>
              </w:rPr>
              <w:t xml:space="preserve">N/A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930,000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51" w:type="dxa"/>
            </w:tcMar>
            <w:vAlign w:val="center"/>
          </w:tcPr>
          <w:p>
            <w:pPr>
              <w:pStyle w:val="TableContents"/>
              <w:bidi w:val="0"/>
              <w:spacing w:before="0" w:after="0"/>
              <w:jc w:val="left"/>
              <w:rPr>
                <w:spacing w:val="2"/>
              </w:rPr>
            </w:pPr>
            <w:r>
              <w:rPr>
                <w:spacing w:val="2"/>
              </w:rPr>
              <w:t xml:space="preserve">William Kozy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N/A</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975,000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shd w:fill="D8D8D8" w:val="clear"/>
            <w:tcMar>
              <w:bottom w:w="51" w:type="dxa"/>
            </w:tcMar>
            <w:vAlign w:val="center"/>
          </w:tcPr>
          <w:p>
            <w:pPr>
              <w:pStyle w:val="TableContents"/>
              <w:bidi w:val="0"/>
              <w:spacing w:before="0" w:after="0"/>
              <w:jc w:val="center"/>
              <w:rPr>
                <w:spacing w:val="2"/>
              </w:rPr>
            </w:pPr>
            <w:r>
              <w:rPr>
                <w:spacing w:val="2"/>
              </w:rPr>
              <w:t xml:space="preserve">N/A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N/A</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975,000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572,355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553,000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tcMar>
              <w:bottom w:w="51" w:type="dxa"/>
            </w:tcMar>
            <w:vAlign w:val="center"/>
          </w:tcPr>
          <w:p>
            <w:pPr>
              <w:pStyle w:val="TableContents"/>
              <w:bidi w:val="0"/>
              <w:spacing w:before="0" w:after="0"/>
              <w:jc w:val="center"/>
              <w:rPr>
                <w:spacing w:val="2"/>
              </w:rPr>
            </w:pPr>
            <w:r>
              <w:rPr>
                <w:spacing w:val="2"/>
              </w:rPr>
              <w:t xml:space="preserve">+3.5%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572,355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553,000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550,000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N/A</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shd w:fill="D8D8D8" w:val="clear"/>
            <w:tcMar>
              <w:bottom w:w="51" w:type="dxa"/>
            </w:tcMar>
            <w:vAlign w:val="center"/>
          </w:tcPr>
          <w:p>
            <w:pPr>
              <w:pStyle w:val="TableContents"/>
              <w:bidi w:val="0"/>
              <w:spacing w:before="0" w:after="0"/>
              <w:jc w:val="center"/>
              <w:rPr>
                <w:spacing w:val="2"/>
              </w:rPr>
            </w:pPr>
            <w:r>
              <w:rPr>
                <w:spacing w:val="2"/>
              </w:rPr>
              <w:t xml:space="preserve">N/A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550,000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N/A</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527,436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USD</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509,600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tcMar>
              <w:bottom w:w="51" w:type="dxa"/>
            </w:tcMar>
            <w:vAlign w:val="center"/>
          </w:tcPr>
          <w:p>
            <w:pPr>
              <w:pStyle w:val="TableContents"/>
              <w:bidi w:val="0"/>
              <w:spacing w:before="0" w:after="0"/>
              <w:jc w:val="center"/>
              <w:rPr>
                <w:spacing w:val="2"/>
              </w:rPr>
            </w:pPr>
            <w:r>
              <w:rPr>
                <w:spacing w:val="2"/>
              </w:rPr>
              <w:t xml:space="preserve">+3.5%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527,436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509,600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78"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78"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78" w:type="dxa"/>
            </w:tcMar>
            <w:vAlign w:val="center"/>
          </w:tcPr>
          <w:p>
            <w:pPr>
              <w:pStyle w:val="TableContents"/>
              <w:bidi w:val="0"/>
              <w:spacing w:before="0" w:after="283"/>
              <w:jc w:val="right"/>
              <w:rPr/>
            </w:pPr>
            <w:r>
              <w:rPr/>
              <w:t>EUR</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78"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78" w:type="dxa"/>
            </w:tcMar>
            <w:vAlign w:val="center"/>
          </w:tcPr>
          <w:p>
            <w:pPr>
              <w:pStyle w:val="TableContents"/>
              <w:bidi w:val="0"/>
              <w:spacing w:before="0" w:after="283"/>
              <w:jc w:val="right"/>
              <w:rPr/>
            </w:pPr>
            <w:r>
              <w:rPr/>
              <w:t>460,000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shd w:fill="D8D8D8" w:val="clear"/>
            <w:tcMar>
              <w:bottom w:w="78" w:type="dxa"/>
            </w:tcMar>
            <w:vAlign w:val="center"/>
          </w:tcPr>
          <w:p>
            <w:pPr>
              <w:pStyle w:val="TableContents"/>
              <w:bidi w:val="0"/>
              <w:spacing w:before="0" w:after="283"/>
              <w:jc w:val="right"/>
              <w:rPr/>
            </w:pPr>
            <w:r>
              <w:rPr/>
              <w:t>​</w:t>
            </w:r>
          </w:p>
        </w:tc>
        <w:tc>
          <w:tcPr>
            <w:tcW w:w="650" w:type="dxa"/>
            <w:tcBorders>
              <w:bottom w:val="single" w:sz="6" w:space="0" w:color="702076"/>
            </w:tcBorders>
            <w:shd w:fill="D8D8D8" w:val="clear"/>
            <w:tcMar>
              <w:bottom w:w="78" w:type="dxa"/>
            </w:tcMar>
            <w:vAlign w:val="center"/>
          </w:tcPr>
          <w:p>
            <w:pPr>
              <w:pStyle w:val="TableContents"/>
              <w:bidi w:val="0"/>
              <w:spacing w:before="0" w:after="283"/>
              <w:jc w:val="right"/>
              <w:rPr/>
            </w:pPr>
            <w:r>
              <w:rPr/>
              <w:t>EUR</w:t>
            </w:r>
          </w:p>
        </w:tc>
        <w:tc>
          <w:tcPr>
            <w:tcW w:w="11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78" w:type="dxa"/>
            </w:tcMar>
            <w:vAlign w:val="center"/>
          </w:tcPr>
          <w:p>
            <w:pPr>
              <w:pStyle w:val="TableContents"/>
              <w:bidi w:val="0"/>
              <w:spacing w:before="0" w:after="0"/>
              <w:jc w:val="right"/>
              <w:rPr/>
            </w:pPr>
            <w:r>
              <w:rPr/>
              <w:t>​</w:t>
            </w:r>
          </w:p>
        </w:tc>
        <w:tc>
          <w:tcPr>
            <w:tcW w:w="886" w:type="dxa"/>
            <w:tcBorders>
              <w:bottom w:val="single" w:sz="6" w:space="0" w:color="702076"/>
            </w:tcBorders>
            <w:shd w:fill="D8D8D8" w:val="clear"/>
            <w:tcMar>
              <w:bottom w:w="78" w:type="dxa"/>
            </w:tcMar>
            <w:vAlign w:val="center"/>
          </w:tcPr>
          <w:p>
            <w:pPr>
              <w:pStyle w:val="TableContents"/>
              <w:bidi w:val="0"/>
              <w:spacing w:before="0" w:after="0"/>
              <w:jc w:val="right"/>
              <w:rPr/>
            </w:pPr>
            <w:r>
              <w:rPr/>
              <w:t>​</w:t>
            </w:r>
            <w:r>
              <w:rPr>
                <w:sz w:val="10"/>
              </w:rPr>
              <w:t>(2)</w:t>
            </w:r>
            <w:r>
              <w:rPr>
                <w:sz w:val="12"/>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shd w:fill="D8D8D8" w:val="clear"/>
            <w:tcMar>
              <w:bottom w:w="78" w:type="dxa"/>
            </w:tcMar>
            <w:vAlign w:val="center"/>
          </w:tcPr>
          <w:p>
            <w:pPr>
              <w:pStyle w:val="TableContents"/>
              <w:bidi w:val="0"/>
              <w:spacing w:before="0" w:after="0"/>
              <w:jc w:val="center"/>
              <w:rPr>
                <w:spacing w:val="2"/>
              </w:rPr>
            </w:pPr>
            <w:r>
              <w:rPr>
                <w:spacing w:val="2"/>
              </w:rPr>
              <w:t xml:space="preserve">N/A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78"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78" w:type="dxa"/>
            </w:tcMar>
            <w:vAlign w:val="center"/>
          </w:tcPr>
          <w:p>
            <w:pPr>
              <w:pStyle w:val="TableContents"/>
              <w:bidi w:val="0"/>
              <w:spacing w:before="0" w:after="283"/>
              <w:jc w:val="right"/>
              <w:rPr/>
            </w:pPr>
            <w:r>
              <w:rPr/>
              <w:t>497,545</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78" w:type="dxa"/>
            </w:tcMar>
            <w:vAlign w:val="center"/>
          </w:tcPr>
          <w:p>
            <w:pPr>
              <w:pStyle w:val="TableContents"/>
              <w:bidi w:val="0"/>
              <w:spacing w:before="0" w:after="0"/>
              <w:jc w:val="right"/>
              <w:rPr/>
            </w:pPr>
            <w:r>
              <w:rPr/>
              <w:t>​</w:t>
            </w:r>
          </w:p>
        </w:tc>
        <w:tc>
          <w:tcPr>
            <w:tcW w:w="886" w:type="dxa"/>
            <w:tcBorders>
              <w:bottom w:val="single" w:sz="6" w:space="0" w:color="702076"/>
            </w:tcBorders>
            <w:shd w:fill="D8D8D8" w:val="clear"/>
            <w:tcMar>
              <w:bottom w:w="78" w:type="dxa"/>
            </w:tcMar>
            <w:vAlign w:val="center"/>
          </w:tcPr>
          <w:p>
            <w:pPr>
              <w:pStyle w:val="TableContents"/>
              <w:bidi w:val="0"/>
              <w:spacing w:before="0" w:after="0"/>
              <w:jc w:val="right"/>
              <w:rPr/>
            </w:pPr>
            <w:r>
              <w:rPr/>
              <w:t>​</w:t>
            </w:r>
            <w:r>
              <w:rPr>
                <w:sz w:val="10"/>
              </w:rPr>
              <w:t>(2)</w:t>
            </w:r>
            <w:r>
              <w:rPr>
                <w:sz w:val="12"/>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Trui Hebbelinck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GBP</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335,018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28" w:type="dxa"/>
            </w:tcMar>
            <w:vAlign w:val="center"/>
          </w:tcPr>
          <w:p>
            <w:pPr>
              <w:pStyle w:val="TableContents"/>
              <w:bidi w:val="0"/>
              <w:spacing w:before="0" w:after="283"/>
              <w:jc w:val="left"/>
              <w:rPr/>
            </w:pPr>
            <w:r>
              <w:rPr/>
              <w:t>​</w:t>
            </w:r>
          </w:p>
        </w:tc>
        <w:tc>
          <w:tcPr>
            <w:tcW w:w="118" w:type="dxa"/>
            <w:tcBorders>
              <w:bottom w:val="single" w:sz="6" w:space="0" w:color="702076"/>
            </w:tcBorders>
            <w:tcMar>
              <w:bottom w:w="51" w:type="dxa"/>
            </w:tcMar>
            <w:vAlign w:val="center"/>
          </w:tcPr>
          <w:p>
            <w:pPr>
              <w:pStyle w:val="TableContents"/>
              <w:bidi w:val="0"/>
              <w:spacing w:before="0" w:after="283"/>
              <w:jc w:val="right"/>
              <w:rPr/>
            </w:pPr>
            <w:r>
              <w:rPr/>
              <w:t>​</w:t>
            </w:r>
          </w:p>
        </w:tc>
        <w:tc>
          <w:tcPr>
            <w:tcW w:w="650" w:type="dxa"/>
            <w:tcBorders>
              <w:bottom w:val="single" w:sz="6" w:space="0" w:color="702076"/>
            </w:tcBorders>
            <w:tcMar>
              <w:bottom w:w="51" w:type="dxa"/>
            </w:tcMar>
            <w:vAlign w:val="center"/>
          </w:tcPr>
          <w:p>
            <w:pPr>
              <w:pStyle w:val="TableContents"/>
              <w:bidi w:val="0"/>
              <w:spacing w:before="0" w:after="283"/>
              <w:jc w:val="right"/>
              <w:rPr/>
            </w:pPr>
            <w:r>
              <w:rPr/>
              <w:t>GBP</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322,132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851" w:type="dxa"/>
            <w:tcBorders>
              <w:bottom w:val="single" w:sz="6" w:space="0" w:color="702076"/>
            </w:tcBorders>
            <w:tcMar>
              <w:bottom w:w="51" w:type="dxa"/>
            </w:tcMar>
            <w:vAlign w:val="center"/>
          </w:tcPr>
          <w:p>
            <w:pPr>
              <w:pStyle w:val="TableContents"/>
              <w:bidi w:val="0"/>
              <w:spacing w:before="0" w:after="0"/>
              <w:jc w:val="center"/>
              <w:rPr>
                <w:spacing w:val="2"/>
              </w:rPr>
            </w:pPr>
            <w:r>
              <w:rPr>
                <w:spacing w:val="2"/>
              </w:rPr>
              <w:t xml:space="preserve">+4.00%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428,066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400,426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1268" w:type="dxa"/>
            <w:gridSpan w:val="47"/>
            <w:tcBorders>
              <w:bottom w:val="single" w:sz="6" w:space="0" w:color="702076"/>
            </w:tcBorders>
            <w:shd w:fill="D8D8D8" w:val="clear"/>
            <w:tcMar>
              <w:bottom w:w="51" w:type="dxa"/>
            </w:tcMar>
            <w:vAlign w:val="center"/>
          </w:tcPr>
          <w:p>
            <w:pPr>
              <w:pStyle w:val="TableContents"/>
              <w:bidi w:val="0"/>
              <w:spacing w:lineRule="atLeast" w:line="192" w:before="0" w:after="0"/>
              <w:ind w:left="320" w:right="0" w:hanging="0"/>
              <w:jc w:val="both"/>
              <w:rPr>
                <w:spacing w:val="2"/>
              </w:rPr>
            </w:pPr>
            <w:r>
              <w:rPr>
                <w:spacing w:val="2"/>
              </w:rPr>
              <w:t xml:space="preserve">For EUR salary amounts in 2024, LivaNova used an exchange rate of $1.08162 per Euro. For GBP salary amounts, LivaNova used an exchange rate of $1.277743 per British Pound for 2024 and $1.24305 per British Pound for 2023. These exchange rates reflect the applicable period average published rate from the Company’s OneStream Finance System between January 1 and December 31 of the respective fiscal year. The OneStream Finance System uses Bloomberg to obtain exchange rates. </w:t>
            </w:r>
            <w:r>
              <mc:AlternateContent>
                <mc:Choice Requires="wps">
                  <w:drawing>
                    <wp:anchor behindDoc="0" distT="0" distB="0" distL="0" distR="0" simplePos="0" locked="0" layoutInCell="1" allowOverlap="1" relativeHeight="545">
                      <wp:simplePos x="0" y="0"/>
                      <wp:positionH relativeFrom="column">
                        <wp:align>left</wp:align>
                      </wp:positionH>
                      <wp:positionV relativeFrom="line">
                        <wp:posOffset>635</wp:posOffset>
                      </wp:positionV>
                      <wp:extent cx="203200" cy="525780"/>
                      <wp:effectExtent l="0" t="0" r="0" b="0"/>
                      <wp:wrapSquare wrapText="right"/>
                      <wp:docPr id="295" name="Frame19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During his ad interim role as Cardiopulmonary General Manager, Mr. Poletti’s base salary was set at €268,783 from January 1, 2024 through March 31, 2024 and €277,653 from April 1, 2024 through July 31, 2024. He also received a fixed allowance of €15,000 per month for his responsibility as interim General Manager during these time periods.</w:t>
            </w:r>
            <w:r>
              <w:rPr/>
              <w:t xml:space="preserve"> </w:t>
            </w:r>
            <w:r>
              <mc:AlternateContent>
                <mc:Choice Requires="wps">
                  <w:drawing>
                    <wp:anchor behindDoc="0" distT="20320" distB="0" distL="0" distR="0" simplePos="0" locked="0" layoutInCell="1" allowOverlap="1" relativeHeight="546">
                      <wp:simplePos x="0" y="0"/>
                      <wp:positionH relativeFrom="column">
                        <wp:align>left</wp:align>
                      </wp:positionH>
                      <wp:positionV relativeFrom="line">
                        <wp:align>top</wp:align>
                      </wp:positionV>
                      <wp:extent cx="203200" cy="525780"/>
                      <wp:effectExtent l="0" t="0" r="0" b="0"/>
                      <wp:wrapSquare wrapText="right"/>
                      <wp:docPr id="296" name="Frame19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3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u w:val="single"/>
        </w:rPr>
        <w:t>Short-Term Incentives: 2024 Short-Term Incentive Plan (the “2024 STIP”)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Tahoma;Geneva;sans-serif" w:hAnsi="Tahoma;Geneva;sans-serif"/>
          <w:b w:val="false"/>
          <w:i w:val="false"/>
          <w:caps w:val="false"/>
          <w:smallCaps w:val="false"/>
          <w:color w:val="000000"/>
          <w:spacing w:val="2"/>
          <w:sz w:val="20"/>
        </w:rPr>
        <w:t xml:space="preserve"> LivaNova’s STIP provides incentives that compensate the Company’s executive officers for achieving certain short-term objectives intended to enhance shareholder value. In addition, the STIP is designed to aid in attracting highly qualified executive officers and to promote their retention.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particular, the STIP provides formulaic incentives to achieve or exceed a predetermined set of financial objectives, with the final payout for LivaNova’s NEOs modified on the basis of the achievement of non-financial goals.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In establishing the target STIP percentages, the CHCM Committee considers the following factors: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547">
                <wp:simplePos x="0" y="0"/>
                <wp:positionH relativeFrom="column">
                  <wp:align>left</wp:align>
                </wp:positionH>
                <wp:positionV relativeFrom="line">
                  <wp:align>top</wp:align>
                </wp:positionV>
                <wp:extent cx="228600" cy="350520"/>
                <wp:effectExtent l="0" t="0" r="0" b="0"/>
                <wp:wrapSquare wrapText="right"/>
                <wp:docPr id="297" name="Frame1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548">
                <wp:simplePos x="0" y="0"/>
                <wp:positionH relativeFrom="column">
                  <wp:align>left</wp:align>
                </wp:positionH>
                <wp:positionV relativeFrom="line">
                  <wp:align>top</wp:align>
                </wp:positionV>
                <wp:extent cx="228600" cy="350520"/>
                <wp:effectExtent l="0" t="0" r="0" b="0"/>
                <wp:wrapSquare wrapText="right"/>
                <wp:docPr id="298" name="Frame1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549">
                <wp:simplePos x="0" y="0"/>
                <wp:positionH relativeFrom="column">
                  <wp:align>left</wp:align>
                </wp:positionH>
                <wp:positionV relativeFrom="line">
                  <wp:align>top</wp:align>
                </wp:positionV>
                <wp:extent cx="228600" cy="350520"/>
                <wp:effectExtent l="0" t="0" r="0" b="0"/>
                <wp:wrapSquare wrapText="right"/>
                <wp:docPr id="299" name="Frame1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550">
                <wp:simplePos x="0" y="0"/>
                <wp:positionH relativeFrom="column">
                  <wp:align>left</wp:align>
                </wp:positionH>
                <wp:positionV relativeFrom="line">
                  <wp:align>top</wp:align>
                </wp:positionV>
                <wp:extent cx="228600" cy="350520"/>
                <wp:effectExtent l="0" t="0" r="0" b="0"/>
                <wp:wrapSquare wrapText="right"/>
                <wp:docPr id="300" name="Frame1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270" distB="0" distL="228600" distR="0" simplePos="0" locked="0" layoutInCell="1" allowOverlap="1" relativeHeight="551">
                <wp:simplePos x="0" y="0"/>
                <wp:positionH relativeFrom="column">
                  <wp:align>left</wp:align>
                </wp:positionH>
                <wp:positionV relativeFrom="line">
                  <wp:align>top</wp:align>
                </wp:positionV>
                <wp:extent cx="228600" cy="350520"/>
                <wp:effectExtent l="0" t="0" r="0" b="0"/>
                <wp:wrapSquare wrapText="right"/>
                <wp:docPr id="301" name="Frame1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2"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financial objectives established by the CHCM Committee for the 2024 STIP were Net Sales and Adjusted Operating Income. For purposes of the 2024 STIP: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2" w:after="0"/>
        <w:ind w:left="1893" w:right="0" w:hanging="0"/>
        <w:jc w:val="both"/>
        <w:rPr>
          <w:caps w:val="false"/>
          <w:smallCaps w:val="false"/>
          <w:color w:val="000000"/>
        </w:rPr>
      </w:pPr>
      <w:r>
        <w:rPr>
          <w:caps w:val="false"/>
          <w:smallCaps w:val="false"/>
          <w:color w:val="000000"/>
          <w:spacing w:val="2"/>
        </w:rPr>
        <w:t>“</w:t>
      </w:r>
      <w:r>
        <w:rPr>
          <w:rFonts w:ascii="Arial Narrow;Arial;Tahoma;Geneva;sans-serif" w:hAnsi="Arial Narrow;Arial;Tahoma;Geneva;sans-serif"/>
          <w:b/>
          <w:i w:val="false"/>
          <w:caps w:val="false"/>
          <w:smallCaps w:val="false"/>
          <w:color w:val="000000"/>
          <w:spacing w:val="11"/>
          <w:sz w:val="20"/>
        </w:rPr>
        <w:t>Net Sales</w:t>
      </w:r>
      <w:r>
        <w:rPr>
          <w:rFonts w:ascii="Tahoma;Geneva;sans-serif" w:hAnsi="Tahoma;Geneva;sans-serif"/>
          <w:b w:val="false"/>
          <w:i w:val="false"/>
          <w:caps w:val="false"/>
          <w:smallCaps w:val="false"/>
          <w:color w:val="000000"/>
          <w:spacing w:val="2"/>
          <w:sz w:val="20"/>
        </w:rPr>
        <w:t>” is defined as LivaNova’s net sales for 2024 at constant currency exchange rates adjusting for the effects of any acquisitions and divestitures in 2024.</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552">
                <wp:simplePos x="0" y="0"/>
                <wp:positionH relativeFrom="column">
                  <wp:align>left</wp:align>
                </wp:positionH>
                <wp:positionV relativeFrom="line">
                  <wp:align>top</wp:align>
                </wp:positionV>
                <wp:extent cx="228600" cy="350520"/>
                <wp:effectExtent l="0" t="0" r="0" b="0"/>
                <wp:wrapSquare wrapText="right"/>
                <wp:docPr id="302" name="Frame2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caps w:val="false"/>
          <w:smallCaps w:val="false"/>
          <w:color w:val="000000"/>
        </w:rPr>
      </w:pPr>
      <w:r>
        <w:rPr>
          <w:caps w:val="false"/>
          <w:smallCaps w:val="false"/>
          <w:color w:val="000000"/>
          <w:spacing w:val="2"/>
        </w:rPr>
        <w:t>“</w:t>
      </w:r>
      <w:r>
        <w:rPr>
          <w:rFonts w:ascii="Arial Narrow;Arial;Tahoma;Geneva;sans-serif" w:hAnsi="Arial Narrow;Arial;Tahoma;Geneva;sans-serif"/>
          <w:b/>
          <w:i w:val="false"/>
          <w:caps w:val="false"/>
          <w:smallCaps w:val="false"/>
          <w:color w:val="000000"/>
          <w:spacing w:val="11"/>
          <w:sz w:val="20"/>
        </w:rPr>
        <w:t>Adjusted Operating Income</w:t>
      </w:r>
      <w:r>
        <w:rPr>
          <w:rFonts w:ascii="Tahoma;Geneva;sans-serif" w:hAnsi="Tahoma;Geneva;sans-serif"/>
          <w:b w:val="false"/>
          <w:i w:val="false"/>
          <w:caps w:val="false"/>
          <w:smallCaps w:val="false"/>
          <w:color w:val="000000"/>
          <w:spacing w:val="2"/>
          <w:sz w:val="20"/>
        </w:rPr>
        <w:t>” is defined as operating income at constant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553">
                <wp:simplePos x="0" y="0"/>
                <wp:positionH relativeFrom="column">
                  <wp:align>left</wp:align>
                </wp:positionH>
                <wp:positionV relativeFrom="line">
                  <wp:align>top</wp:align>
                </wp:positionV>
                <wp:extent cx="228600" cy="350520"/>
                <wp:effectExtent l="0" t="0" r="0" b="0"/>
                <wp:wrapSquare wrapText="right"/>
                <wp:docPr id="303" name="Frame2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2"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CHCM Committee approves the STIP financial targets after an analysis of market conditions, financial projections, and strategic goals.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After considering the achievement of the financial objectives under the STIP, final payouts for LivaNova’s NEOs eligible to participate in the plan are subject to a modifier (±25%) based on non-financial objectives. For the 2024 STIP, the following non-financial objectives were combined to create a payout modifier:</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554">
                <wp:simplePos x="0" y="0"/>
                <wp:positionH relativeFrom="column">
                  <wp:align>left</wp:align>
                </wp:positionH>
                <wp:positionV relativeFrom="line">
                  <wp:align>top</wp:align>
                </wp:positionV>
                <wp:extent cx="228600" cy="350520"/>
                <wp:effectExtent l="0" t="0" r="0" b="0"/>
                <wp:wrapSquare wrapText="right"/>
                <wp:docPr id="304" name="Frame2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61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Difficult-to-Treat Depression (“DTD”): Clinical study project milestones;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7470" distB="0" distL="685800" distR="0" simplePos="0" locked="0" layoutInCell="1" allowOverlap="1" relativeHeight="555">
                <wp:simplePos x="0" y="0"/>
                <wp:positionH relativeFrom="column">
                  <wp:align>left</wp:align>
                </wp:positionH>
                <wp:positionV relativeFrom="line">
                  <wp:align>top</wp:align>
                </wp:positionV>
                <wp:extent cx="228600" cy="350520"/>
                <wp:effectExtent l="0" t="0" r="0" b="0"/>
                <wp:wrapSquare wrapText="right"/>
                <wp:docPr id="305" name="Frame2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6.1pt;mso-wrap-distance-bottom:0pt;margin-top:6.1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03" descr=""/>
                          <pic:cNvPicPr>
                            <a:picLocks noChangeAspect="1" noChangeArrowheads="1"/>
                          </pic:cNvPicPr>
                        </pic:nvPicPr>
                        <pic:blipFill>
                          <a:blip r:embed="rId104"/>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41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702076"/>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702076"/>
        </w:rPr>
      </w:pPr>
      <w:r>
        <w:rPr>
          <w:caps w:val="false"/>
          <w:smallCaps w:val="false"/>
          <w:color w:val="702076"/>
        </w:rPr>
        <w:drawing>
          <wp:inline distT="0" distB="0" distL="0" distR="0">
            <wp:extent cx="1219200" cy="1181100"/>
            <wp:effectExtent l="0" t="0" r="0" b="0"/>
            <wp:docPr id="3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4" descr=""/>
                    <pic:cNvPicPr>
                      <a:picLocks noChangeAspect="1" noChangeArrowheads="1"/>
                    </pic:cNvPicPr>
                  </pic:nvPicPr>
                  <pic:blipFill>
                    <a:blip r:embed="rId105"/>
                    <a:stretch>
                      <a:fillRect/>
                    </a:stretch>
                  </pic:blipFill>
                  <pic:spPr bwMode="auto">
                    <a:xfrm>
                      <a:off x="0" y="0"/>
                      <a:ext cx="1219200" cy="1181100"/>
                    </a:xfrm>
                    <a:prstGeom prst="rect">
                      <a:avLst/>
                    </a:prstGeom>
                  </pic:spPr>
                </pic:pic>
              </a:graphicData>
            </a:graphic>
          </wp:inline>
        </w:drawing>
      </w:r>
      <w:r>
        <w:rPr>
          <w:caps w:val="false"/>
          <w:smallCaps w:val="false"/>
          <w:color w:val="702076"/>
        </w:rPr>
        <w:t xml:space="preserve"> </w:t>
      </w:r>
    </w:p>
    <w:p>
      <w:pPr>
        <w:pStyle w:val="TextBody"/>
        <w:bidi w:val="0"/>
        <w:spacing w:lineRule="atLeast" w:line="24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Epilepsy: Product development objectives related to key milestones for new product development, commercial objectives related to a key milestone for new patient implants, and a partnership care program;</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685800" distR="0" simplePos="0" locked="0" layoutInCell="1" allowOverlap="1" relativeHeight="556">
                <wp:simplePos x="0" y="0"/>
                <wp:positionH relativeFrom="column">
                  <wp:align>left</wp:align>
                </wp:positionH>
                <wp:positionV relativeFrom="line">
                  <wp:posOffset>635</wp:posOffset>
                </wp:positionV>
                <wp:extent cx="228600" cy="350520"/>
                <wp:effectExtent l="0" t="0" r="0" b="0"/>
                <wp:wrapSquare wrapText="right"/>
                <wp:docPr id="308" name="Frame2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both"/>
                        <w:rPr>
                          <w:color w:val="000000"/>
                        </w:rPr>
                      </w:pPr>
                      <w:r>
                        <w:rPr>
                          <w:color w:val="000000"/>
                        </w:rPr>
                        <w:t xml:space="preserve">• </w:t>
                      </w:r>
                      <w:r>
                        <w:rPr>
                          <w:color w:val="000000"/>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702076"/>
        </w:rPr>
      </w:pPr>
      <w:r>
        <w:rPr>
          <w:caps w:val="false"/>
          <w:smallCaps w:val="false"/>
          <w:color w:val="702076"/>
        </w:rPr>
        <w:t>​</w:t>
      </w:r>
    </w:p>
    <w:p>
      <w:pPr>
        <w:pStyle w:val="TextBody"/>
        <w:bidi w:val="0"/>
        <w:spacing w:lineRule="atLeast" w:line="240" w:before="106"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Cardiopulmonary: Product development objectives related to key milestones for new product software development and manufacturing capacity expansion;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67310" distB="0" distL="685800" distR="0" simplePos="0" locked="0" layoutInCell="1" allowOverlap="1" relativeHeight="557">
                <wp:simplePos x="0" y="0"/>
                <wp:positionH relativeFrom="column">
                  <wp:align>left</wp:align>
                </wp:positionH>
                <wp:positionV relativeFrom="line">
                  <wp:align>top</wp:align>
                </wp:positionV>
                <wp:extent cx="228600" cy="350520"/>
                <wp:effectExtent l="0" t="0" r="0" b="0"/>
                <wp:wrapSquare wrapText="right"/>
                <wp:docPr id="309" name="Frame2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rPr>
                              <w:t>•</w:t>
                            </w:r>
                            <w:r>
                              <w:rPr>
                                <w:rFonts w:ascii="Helvetica;Arial Narrow;sans-serif" w:hAnsi="Helvetica;Arial Narrow;sans-serif"/>
                                <w:color w:val="000000"/>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3pt;mso-wrap-distance-bottom:0pt;margin-top:5.3pt;mso-position-vertical:top;mso-position-vertical-relative:text;margin-left:54pt;mso-position-horizontal:left;mso-position-horizontal-relative:text">
                <v:textbox>
                  <w:txbxContent>
                    <w:p>
                      <w:pPr>
                        <w:pStyle w:val="TextBody"/>
                        <w:bidi w:val="0"/>
                        <w:spacing w:lineRule="atLeast" w:line="240" w:before="0" w:after="283"/>
                        <w:jc w:val="both"/>
                        <w:rPr>
                          <w:color w:val="000000"/>
                        </w:rPr>
                      </w:pPr>
                      <w:r>
                        <w:rPr>
                          <w:color w:val="000000"/>
                        </w:rPr>
                        <w:t>•</w:t>
                      </w:r>
                      <w:r>
                        <w:rPr>
                          <w:rFonts w:ascii="Helvetica;Arial Narrow;sans-serif" w:hAnsi="Helvetica;Arial Narrow;sans-serif"/>
                          <w:color w:val="000000"/>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702076"/>
        </w:rPr>
      </w:pPr>
      <w:r>
        <w:rPr>
          <w:caps w:val="false"/>
          <w:smallCaps w:val="false"/>
          <w:color w:val="702076"/>
        </w:rPr>
        <w:t>​</w:t>
      </w:r>
    </w:p>
    <w:p>
      <w:pPr>
        <w:pStyle w:val="TextBody"/>
        <w:bidi w:val="0"/>
        <w:spacing w:lineRule="atLeast" w:line="240" w:before="106"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System capability objectives related to the implementation of IT and cybersecurity infrastructure system enhancements.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67310" distB="0" distL="685800" distR="0" simplePos="0" locked="0" layoutInCell="1" allowOverlap="1" relativeHeight="558">
                <wp:simplePos x="0" y="0"/>
                <wp:positionH relativeFrom="column">
                  <wp:align>left</wp:align>
                </wp:positionH>
                <wp:positionV relativeFrom="line">
                  <wp:align>top</wp:align>
                </wp:positionV>
                <wp:extent cx="228600" cy="350520"/>
                <wp:effectExtent l="0" t="0" r="0" b="0"/>
                <wp:wrapSquare wrapText="right"/>
                <wp:docPr id="310" name="Frame2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rPr>
                              <w:t>•</w:t>
                            </w:r>
                            <w:r>
                              <w:rPr>
                                <w:rFonts w:ascii="Helvetica;Arial Narrow;sans-serif" w:hAnsi="Helvetica;Arial Narrow;sans-serif"/>
                                <w:color w:val="000000"/>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3pt;mso-wrap-distance-bottom:0pt;margin-top:5.3pt;mso-position-vertical:top;mso-position-vertical-relative:text;margin-left:54pt;mso-position-horizontal:left;mso-position-horizontal-relative:text">
                <v:textbox>
                  <w:txbxContent>
                    <w:p>
                      <w:pPr>
                        <w:pStyle w:val="TextBody"/>
                        <w:bidi w:val="0"/>
                        <w:spacing w:lineRule="atLeast" w:line="240" w:before="0" w:after="283"/>
                        <w:jc w:val="both"/>
                        <w:rPr>
                          <w:color w:val="000000"/>
                        </w:rPr>
                      </w:pPr>
                      <w:r>
                        <w:rPr>
                          <w:color w:val="000000"/>
                        </w:rPr>
                        <w:t>•</w:t>
                      </w:r>
                      <w:r>
                        <w:rPr>
                          <w:rFonts w:ascii="Helvetica;Arial Narrow;sans-serif" w:hAnsi="Helvetica;Arial Narrow;sans-serif"/>
                          <w:color w:val="000000"/>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702076"/>
        </w:rPr>
      </w:pPr>
      <w:r>
        <w:rPr>
          <w:caps w:val="false"/>
          <w:smallCaps w:val="false"/>
          <w:color w:val="702076"/>
        </w:rPr>
        <w:t>​</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2024, the CHCM Committee set several non-financial goals with respect to the 2024 STIP that were deemed to be challenging yet individually achievable, with the modifier providing for a maximum upward adjustment of 25% in the event all goals were significantly overachieved and maximum downward adjustment of 25%, if numerous goals were not achieved or only partially achieved. Further, the CHCM Committee considers both quantitative and qualitative factors and applies discretion when evaluating performance and determining the final payout factor.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0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cash-based bonus plan expressed as a target percentage of the NEO’s weighted average base salary conditioned on achievement of certain financials and non-financial metrics, per the following formulas.</w:t>
      </w:r>
      <w:r>
        <w:rPr>
          <w:rFonts w:ascii="Tahoma;Geneva;sans-serif" w:hAnsi="Tahoma;Geneva;sans-serif"/>
          <w:b w:val="false"/>
          <w:i w:val="false"/>
          <w:caps w:val="false"/>
          <w:smallCaps w:val="false"/>
          <w:color w:val="000000"/>
          <w:sz w:val="20"/>
        </w:rPr>
        <w:t xml:space="preserve"> </w:t>
      </w:r>
      <w:r>
        <mc:AlternateContent>
          <mc:Choice Requires="wps">
            <w:drawing>
              <wp:anchor behindDoc="0" distT="67310" distB="0" distL="228600" distR="0" simplePos="0" locked="0" layoutInCell="1" allowOverlap="1" relativeHeight="559">
                <wp:simplePos x="0" y="0"/>
                <wp:positionH relativeFrom="column">
                  <wp:align>left</wp:align>
                </wp:positionH>
                <wp:positionV relativeFrom="line">
                  <wp:align>top</wp:align>
                </wp:positionV>
                <wp:extent cx="228600" cy="350520"/>
                <wp:effectExtent l="0" t="0" r="0" b="0"/>
                <wp:wrapSquare wrapText="right"/>
                <wp:docPr id="311" name="Frame2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3pt;mso-wrap-distance-bottom:0pt;margin-top:5.3pt;mso-position-vertical:top;mso-position-vertical-relative:text;margin-left:18pt;mso-position-horizontal:left;mso-position-horizontal-relative:text">
                <v:textbox>
                  <w:txbxContent>
                    <w:p>
                      <w:pPr>
                        <w:pStyle w:val="TextBody"/>
                        <w:bidi w:val="0"/>
                        <w:spacing w:lineRule="atLeast" w:line="240" w:before="0" w:after="283"/>
                        <w:jc w:val="both"/>
                        <w:rPr>
                          <w:color w:val="000000"/>
                        </w:rPr>
                      </w:pPr>
                      <w:r>
                        <w:rPr>
                          <w:color w:val="000000"/>
                        </w:rPr>
                        <w:t xml:space="preserve">• </w:t>
                      </w:r>
                      <w:r>
                        <w:rPr>
                          <w:color w:val="000000"/>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702076"/>
        </w:rPr>
      </w:pPr>
      <w:r>
        <w:rPr>
          <w:caps w:val="false"/>
          <w:smallCaps w:val="false"/>
          <w:color w:val="702076"/>
        </w:rPr>
        <w:t>​</w:t>
      </w:r>
    </w:p>
    <w:p>
      <w:pPr>
        <w:pStyle w:val="TextBody"/>
        <w:bidi w:val="0"/>
        <w:spacing w:lineRule="atLeast" w:line="23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all of LivaNova’s eligible NEOs, with exception of Mr. Poletti, given his role as CP Business Unit President, the calculation is based on the following formula:</w:t>
      </w:r>
      <w:r>
        <w:rPr>
          <w:rFonts w:ascii="Tahoma;Geneva;sans-serif" w:hAnsi="Tahoma;Geneva;sans-serif"/>
          <w:b w:val="false"/>
          <w:i w:val="false"/>
          <w:caps w:val="false"/>
          <w:smallCaps w:val="false"/>
          <w:color w:val="000000"/>
          <w:spacing w:val="4"/>
          <w:sz w:val="20"/>
        </w:rPr>
        <w:t xml:space="preserve"> </w:t>
      </w:r>
    </w:p>
    <w:tbl>
      <w:tblPr>
        <w:tblW w:w="6542" w:type="dxa"/>
        <w:jc w:val="left"/>
        <w:tblInd w:w="1173" w:type="dxa"/>
        <w:tblLayout w:type="fixed"/>
        <w:tblCellMar>
          <w:top w:w="0" w:type="dxa"/>
          <w:left w:w="0" w:type="dxa"/>
          <w:bottom w:w="0" w:type="dxa"/>
          <w:right w:w="0" w:type="dxa"/>
        </w:tblCellMar>
      </w:tblPr>
      <w:tblGrid>
        <w:gridCol w:w="124"/>
        <w:gridCol w:w="109"/>
        <w:gridCol w:w="1598"/>
        <w:gridCol w:w="109"/>
        <w:gridCol w:w="109"/>
        <w:gridCol w:w="109"/>
        <w:gridCol w:w="301"/>
        <w:gridCol w:w="109"/>
        <w:gridCol w:w="109"/>
        <w:gridCol w:w="109"/>
        <w:gridCol w:w="1462"/>
        <w:gridCol w:w="109"/>
        <w:gridCol w:w="109"/>
        <w:gridCol w:w="109"/>
        <w:gridCol w:w="256"/>
        <w:gridCol w:w="109"/>
        <w:gridCol w:w="109"/>
        <w:gridCol w:w="109"/>
        <w:gridCol w:w="112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98"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STIP PAYOUT</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01" w:type="dxa"/>
            <w:tcBorders>
              <w:bottom w:val="single" w:sz="6" w:space="0" w:color="FF5B34"/>
            </w:tcBorders>
            <w:tcMar>
              <w:bottom w:w="28" w:type="dxa"/>
            </w:tcMar>
            <w:vAlign w:val="center"/>
          </w:tcPr>
          <w:p>
            <w:pPr>
              <w:pStyle w:val="TableContents"/>
              <w:bidi w:val="0"/>
              <w:spacing w:before="0" w:after="0"/>
              <w:jc w:val="center"/>
              <w:rPr>
                <w:b w:val="false"/>
                <w:spacing w:val="2"/>
              </w:rPr>
            </w:pPr>
            <w:r>
              <w:rPr>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462"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Target Bonus</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56" w:type="dxa"/>
            <w:tcBorders>
              <w:bottom w:val="single" w:sz="6" w:space="0" w:color="FF5B34"/>
            </w:tcBorders>
            <w:tcMar>
              <w:bottom w:w="28" w:type="dxa"/>
            </w:tcMar>
            <w:vAlign w:val="center"/>
          </w:tcPr>
          <w:p>
            <w:pPr>
              <w:pStyle w:val="TableContents"/>
              <w:bidi w:val="0"/>
              <w:spacing w:before="0" w:after="0"/>
              <w:jc w:val="center"/>
              <w:rPr>
                <w:b w:val="false"/>
                <w:i/>
              </w:rPr>
            </w:pPr>
            <w:r>
              <w:rPr>
                <w:b w:val="false"/>
                <w:i/>
              </w:rPr>
              <w:t>X</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121"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LIVN BPF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3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Business Performance Factor (“BPF”) is a formulaic calculation based on financial and non-financial objectives. The BPF is calculated as follows:</w:t>
      </w:r>
      <w:r>
        <w:rPr>
          <w:rFonts w:ascii="Tahoma;Geneva;sans-serif" w:hAnsi="Tahoma;Geneva;sans-serif"/>
          <w:b w:val="false"/>
          <w:i w:val="false"/>
          <w:caps w:val="false"/>
          <w:smallCaps w:val="false"/>
          <w:color w:val="000000"/>
          <w:spacing w:val="4"/>
          <w:sz w:val="20"/>
        </w:rPr>
        <w:t xml:space="preserve"> </w:t>
      </w:r>
    </w:p>
    <w:tbl>
      <w:tblPr>
        <w:tblW w:w="6035" w:type="dxa"/>
        <w:jc w:val="left"/>
        <w:tblInd w:w="1173" w:type="dxa"/>
        <w:tblLayout w:type="fixed"/>
        <w:tblCellMar>
          <w:top w:w="0" w:type="dxa"/>
          <w:left w:w="0" w:type="dxa"/>
          <w:bottom w:w="0" w:type="dxa"/>
          <w:right w:w="0" w:type="dxa"/>
        </w:tblCellMar>
      </w:tblPr>
      <w:tblGrid>
        <w:gridCol w:w="124"/>
        <w:gridCol w:w="109"/>
        <w:gridCol w:w="1121"/>
        <w:gridCol w:w="109"/>
        <w:gridCol w:w="109"/>
        <w:gridCol w:w="109"/>
        <w:gridCol w:w="301"/>
        <w:gridCol w:w="109"/>
        <w:gridCol w:w="109"/>
        <w:gridCol w:w="109"/>
        <w:gridCol w:w="569"/>
        <w:gridCol w:w="109"/>
        <w:gridCol w:w="109"/>
        <w:gridCol w:w="109"/>
        <w:gridCol w:w="256"/>
        <w:gridCol w:w="109"/>
        <w:gridCol w:w="109"/>
        <w:gridCol w:w="109"/>
        <w:gridCol w:w="198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121"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LIVN BPF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01" w:type="dxa"/>
            <w:tcBorders>
              <w:bottom w:val="single" w:sz="6" w:space="0" w:color="FF5B34"/>
            </w:tcBorders>
            <w:tcMar>
              <w:bottom w:w="28" w:type="dxa"/>
            </w:tcMar>
            <w:vAlign w:val="center"/>
          </w:tcPr>
          <w:p>
            <w:pPr>
              <w:pStyle w:val="TableContents"/>
              <w:bidi w:val="0"/>
              <w:spacing w:before="0" w:after="0"/>
              <w:jc w:val="center"/>
              <w:rPr>
                <w:b w:val="false"/>
                <w:spacing w:val="2"/>
              </w:rPr>
            </w:pPr>
            <w:r>
              <w:rPr>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69"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FPF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56" w:type="dxa"/>
            <w:tcBorders>
              <w:bottom w:val="single" w:sz="6" w:space="0" w:color="FF5B34"/>
            </w:tcBorders>
            <w:tcMar>
              <w:bottom w:w="28" w:type="dxa"/>
            </w:tcMar>
            <w:vAlign w:val="center"/>
          </w:tcPr>
          <w:p>
            <w:pPr>
              <w:pStyle w:val="TableContents"/>
              <w:bidi w:val="0"/>
              <w:spacing w:before="0" w:after="0"/>
              <w:jc w:val="center"/>
              <w:rPr>
                <w:b w:val="false"/>
                <w:i/>
              </w:rPr>
            </w:pPr>
            <w:r>
              <w:rPr>
                <w:b w:val="false"/>
                <w:i/>
              </w:rPr>
              <w:t>X</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984"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LIVN NFG Modifier</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3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Financial Performance Factor (“FPF”) is calculated based on the above-described financial metrics per the following formula. Non-Financial Goals Modifier (“NFG Modifier”) is the above-described modifier based on Non-Financial Objectives.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83"/>
        <w:gridCol w:w="109"/>
        <w:gridCol w:w="109"/>
        <w:gridCol w:w="109"/>
        <w:gridCol w:w="341"/>
        <w:gridCol w:w="109"/>
        <w:gridCol w:w="109"/>
        <w:gridCol w:w="109"/>
        <w:gridCol w:w="2250"/>
        <w:gridCol w:w="109"/>
        <w:gridCol w:w="109"/>
        <w:gridCol w:w="109"/>
        <w:gridCol w:w="285"/>
        <w:gridCol w:w="109"/>
        <w:gridCol w:w="109"/>
        <w:gridCol w:w="109"/>
        <w:gridCol w:w="3766"/>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83" w:type="dxa"/>
            <w:tcBorders>
              <w:bottom w:val="single" w:sz="6" w:space="0" w:color="FF5B34"/>
            </w:tcBorders>
            <w:tcMar>
              <w:bottom w:w="28" w:type="dxa"/>
            </w:tcMar>
            <w:vAlign w:val="center"/>
          </w:tcPr>
          <w:p>
            <w:pPr>
              <w:pStyle w:val="TableContents"/>
              <w:bidi w:val="0"/>
              <w:spacing w:before="0" w:after="0"/>
              <w:jc w:val="center"/>
              <w:rPr/>
            </w:pPr>
            <w:r>
              <w:rPr>
                <w:spacing w:val="14"/>
              </w:rPr>
              <w:t>FPF</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41" w:type="dxa"/>
            <w:tcBorders>
              <w:bottom w:val="single" w:sz="6" w:space="0" w:color="FF5B34"/>
            </w:tcBorders>
            <w:tcMar>
              <w:bottom w:w="28" w:type="dxa"/>
            </w:tcMar>
            <w:vAlign w:val="center"/>
          </w:tcPr>
          <w:p>
            <w:pPr>
              <w:pStyle w:val="TableContents"/>
              <w:bidi w:val="0"/>
              <w:spacing w:before="0" w:after="0"/>
              <w:jc w:val="center"/>
              <w:rPr>
                <w:rFonts w:ascii="Tahoma;Geneva;sans-serif" w:hAnsi="Tahoma;Geneva;sans-serif"/>
                <w:b w:val="false"/>
                <w:spacing w:val="2"/>
              </w:rPr>
            </w:pPr>
            <w:r>
              <w:rPr>
                <w:rFonts w:ascii="Tahoma;Geneva;sans-serif" w:hAnsi="Tahoma;Geneva;sans-serif"/>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250" w:type="dxa"/>
            <w:tcBorders>
              <w:bottom w:val="single" w:sz="6" w:space="0" w:color="FF5B34"/>
            </w:tcBorders>
            <w:tcMar>
              <w:bottom w:w="28" w:type="dxa"/>
            </w:tcMar>
            <w:vAlign w:val="center"/>
          </w:tcPr>
          <w:p>
            <w:pPr>
              <w:pStyle w:val="TableContents"/>
              <w:bidi w:val="0"/>
              <w:spacing w:before="0" w:after="0"/>
              <w:jc w:val="center"/>
              <w:rPr/>
            </w:pPr>
            <w:r>
              <w:rPr>
                <w:spacing w:val="14"/>
              </w:rPr>
              <w:t>50% Net Sales Payout %</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85" w:type="dxa"/>
            <w:tcBorders>
              <w:bottom w:val="single" w:sz="6" w:space="0" w:color="FF5B34"/>
            </w:tcBorders>
            <w:tcMar>
              <w:bottom w:w="28" w:type="dxa"/>
            </w:tcMar>
            <w:vAlign w:val="center"/>
          </w:tcPr>
          <w:p>
            <w:pPr>
              <w:pStyle w:val="TableContents"/>
              <w:bidi w:val="0"/>
              <w:spacing w:before="0" w:after="0"/>
              <w:jc w:val="center"/>
              <w:rPr/>
            </w:pPr>
            <w:r>
              <w:rPr>
                <w:spacing w:val="14"/>
              </w:rPr>
              <w:t>+</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766" w:type="dxa"/>
            <w:tcBorders>
              <w:bottom w:val="single" w:sz="6" w:space="0" w:color="FF5B34"/>
            </w:tcBorders>
            <w:tcMar>
              <w:bottom w:w="28" w:type="dxa"/>
            </w:tcMar>
            <w:vAlign w:val="center"/>
          </w:tcPr>
          <w:p>
            <w:pPr>
              <w:pStyle w:val="TableContents"/>
              <w:bidi w:val="0"/>
              <w:spacing w:before="0" w:after="0"/>
              <w:jc w:val="center"/>
              <w:rPr/>
            </w:pPr>
            <w:r>
              <w:rPr>
                <w:spacing w:val="14"/>
              </w:rPr>
              <w:t>50% Adjusted Operating Income Payout %</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30" w:before="13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Mr. Poletti, given his role as CP Business Unit President, the financial component of his 2024 STIP payout included both the results of LivaNova based on the above described FPF (with a 30% weight) as well as the specific financial results of the Cardiopulmonary business unit (with a 70% weight). The Cardiopulmonary financial performance factor was calculated based on achievement of a revenue target (with a 50% weight) and targeted adjusted operating income (with a 50% weight). The outcome of the financial calculation was then modified by the same LIVN NF goals modifier applicable to the other eligible NEOs. As a result, his 2024 STIP payout was calculated according to the following formula:</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134"/>
        <w:gridCol w:w="109"/>
        <w:gridCol w:w="109"/>
        <w:gridCol w:w="109"/>
        <w:gridCol w:w="344"/>
        <w:gridCol w:w="109"/>
        <w:gridCol w:w="109"/>
        <w:gridCol w:w="109"/>
        <w:gridCol w:w="837"/>
        <w:gridCol w:w="109"/>
        <w:gridCol w:w="109"/>
        <w:gridCol w:w="109"/>
        <w:gridCol w:w="272"/>
        <w:gridCol w:w="109"/>
        <w:gridCol w:w="109"/>
        <w:gridCol w:w="109"/>
        <w:gridCol w:w="1715"/>
        <w:gridCol w:w="109"/>
        <w:gridCol w:w="109"/>
        <w:gridCol w:w="109"/>
        <w:gridCol w:w="272"/>
        <w:gridCol w:w="109"/>
        <w:gridCol w:w="109"/>
        <w:gridCol w:w="109"/>
        <w:gridCol w:w="1996"/>
        <w:gridCol w:w="109"/>
        <w:gridCol w:w="158"/>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134" w:type="dxa"/>
            <w:tcBorders>
              <w:bottom w:val="single" w:sz="6" w:space="0" w:color="FF5B34"/>
            </w:tcBorders>
            <w:tcMar>
              <w:bottom w:w="28" w:type="dxa"/>
            </w:tcMar>
            <w:vAlign w:val="center"/>
          </w:tcPr>
          <w:p>
            <w:pPr>
              <w:pStyle w:val="TableContents"/>
              <w:bidi w:val="0"/>
              <w:spacing w:before="0" w:after="0"/>
              <w:jc w:val="center"/>
              <w:rPr/>
            </w:pPr>
            <w:r>
              <w:rPr>
                <w:spacing w:val="14"/>
              </w:rPr>
              <w:t xml:space="preserve">CP </w:t>
              <w:br/>
              <w:t xml:space="preserve">President </w:t>
              <w:br/>
              <w:t xml:space="preserve">BU STIP </w:t>
              <w:br/>
              <w:t>Payout</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44" w:type="dxa"/>
            <w:tcBorders>
              <w:bottom w:val="single" w:sz="6" w:space="0" w:color="FF5B34"/>
            </w:tcBorders>
            <w:tcMar>
              <w:bottom w:w="28" w:type="dxa"/>
            </w:tcMar>
            <w:vAlign w:val="center"/>
          </w:tcPr>
          <w:p>
            <w:pPr>
              <w:pStyle w:val="TableContents"/>
              <w:bidi w:val="0"/>
              <w:spacing w:before="0" w:after="0"/>
              <w:jc w:val="center"/>
              <w:rPr>
                <w:rFonts w:ascii="Tahoma;Geneva;sans-serif" w:hAnsi="Tahoma;Geneva;sans-serif"/>
                <w:b w:val="false"/>
                <w:spacing w:val="2"/>
              </w:rPr>
            </w:pPr>
            <w:r>
              <w:rPr>
                <w:rFonts w:ascii="Tahoma;Geneva;sans-serif" w:hAnsi="Tahoma;Geneva;sans-serif"/>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837" w:type="dxa"/>
            <w:tcBorders>
              <w:bottom w:val="single" w:sz="6" w:space="0" w:color="FF5B34"/>
            </w:tcBorders>
            <w:tcMar>
              <w:bottom w:w="28" w:type="dxa"/>
            </w:tcMar>
            <w:vAlign w:val="center"/>
          </w:tcPr>
          <w:p>
            <w:pPr>
              <w:pStyle w:val="TableContents"/>
              <w:bidi w:val="0"/>
              <w:spacing w:before="0" w:after="0"/>
              <w:jc w:val="center"/>
              <w:rPr/>
            </w:pPr>
            <w:r>
              <w:rPr>
                <w:spacing w:val="14"/>
              </w:rPr>
              <w:t xml:space="preserve">Target </w:t>
              <w:br/>
              <w:t>Bonus</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72" w:type="dxa"/>
            <w:tcBorders>
              <w:bottom w:val="single" w:sz="6" w:space="0" w:color="FF5B34"/>
            </w:tcBorders>
            <w:tcMar>
              <w:bottom w:w="28" w:type="dxa"/>
            </w:tcMar>
            <w:vAlign w:val="center"/>
          </w:tcPr>
          <w:p>
            <w:pPr>
              <w:pStyle w:val="TableContents"/>
              <w:bidi w:val="0"/>
              <w:spacing w:before="0" w:after="0"/>
              <w:jc w:val="center"/>
              <w:rPr/>
            </w:pPr>
            <w:r>
              <w:rPr>
                <w:spacing w:val="14"/>
              </w:rPr>
              <w:t>x</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715" w:type="dxa"/>
            <w:tcBorders>
              <w:bottom w:val="single" w:sz="6" w:space="0" w:color="FF5B34"/>
            </w:tcBorders>
            <w:tcMar>
              <w:bottom w:w="28" w:type="dxa"/>
            </w:tcMar>
            <w:vAlign w:val="center"/>
          </w:tcPr>
          <w:p>
            <w:pPr>
              <w:pStyle w:val="TableContents"/>
              <w:bidi w:val="0"/>
              <w:spacing w:before="0" w:after="0"/>
              <w:jc w:val="center"/>
              <w:rPr/>
            </w:pPr>
            <w:r>
              <w:rPr>
                <w:spacing w:val="14"/>
              </w:rPr>
              <w:t xml:space="preserve">(30% LVN FPF + </w:t>
              <w:br/>
              <w:t>70% CP BU FPF)</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72" w:type="dxa"/>
            <w:tcBorders>
              <w:bottom w:val="single" w:sz="6" w:space="0" w:color="FF5B34"/>
            </w:tcBorders>
            <w:tcMar>
              <w:bottom w:w="28" w:type="dxa"/>
            </w:tcMar>
            <w:vAlign w:val="center"/>
          </w:tcPr>
          <w:p>
            <w:pPr>
              <w:pStyle w:val="TableContents"/>
              <w:bidi w:val="0"/>
              <w:spacing w:before="0" w:after="0"/>
              <w:jc w:val="center"/>
              <w:rPr/>
            </w:pPr>
            <w:r>
              <w:rPr>
                <w:spacing w:val="14"/>
              </w:rPr>
              <w:t>x</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996" w:type="dxa"/>
            <w:tcBorders>
              <w:bottom w:val="single" w:sz="6" w:space="0" w:color="FF5B34"/>
            </w:tcBorders>
            <w:tcMar>
              <w:bottom w:w="28" w:type="dxa"/>
            </w:tcMar>
            <w:vAlign w:val="center"/>
          </w:tcPr>
          <w:p>
            <w:pPr>
              <w:pStyle w:val="TableContents"/>
              <w:bidi w:val="0"/>
              <w:spacing w:before="0" w:after="0"/>
              <w:jc w:val="center"/>
              <w:rPr/>
            </w:pPr>
            <w:r>
              <w:rPr>
                <w:spacing w:val="14"/>
              </w:rPr>
              <w:t>LVN NFG Modifier</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5" descr=""/>
                          <pic:cNvPicPr>
                            <a:picLocks noChangeAspect="1" noChangeArrowheads="1"/>
                          </pic:cNvPicPr>
                        </pic:nvPicPr>
                        <pic:blipFill>
                          <a:blip r:embed="rId10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6" descr=""/>
                    <pic:cNvPicPr>
                      <a:picLocks noChangeAspect="1" noChangeArrowheads="1"/>
                    </pic:cNvPicPr>
                  </pic:nvPicPr>
                  <pic:blipFill>
                    <a:blip r:embed="rId10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1604"/>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Incentive payouts range from threshold to maximum levels, depending on level of performance measured against the pre-set metrics, per the following tables:</w:t>
      </w:r>
      <w:r>
        <w:rPr>
          <w:rFonts w:ascii="Tahoma;Geneva;sans-serif" w:hAnsi="Tahoma;Geneva;sans-serif"/>
          <w:b w:val="false"/>
          <w:i w:val="false"/>
          <w:caps w:val="false"/>
          <w:smallCaps w:val="false"/>
          <w:color w:val="000000"/>
          <w:spacing w:val="4"/>
          <w:sz w:val="20"/>
        </w:rPr>
        <w:t xml:space="preserve"> </w:t>
      </w:r>
    </w:p>
    <w:tbl>
      <w:tblPr>
        <w:tblW w:w="9060" w:type="dxa"/>
        <w:jc w:val="left"/>
        <w:tblInd w:w="1173" w:type="dxa"/>
        <w:tblLayout w:type="fixed"/>
        <w:tblCellMar>
          <w:top w:w="0" w:type="dxa"/>
          <w:left w:w="0" w:type="dxa"/>
          <w:bottom w:w="0" w:type="dxa"/>
          <w:right w:w="0" w:type="dxa"/>
        </w:tblCellMar>
      </w:tblPr>
      <w:tblGrid>
        <w:gridCol w:w="124"/>
        <w:gridCol w:w="109"/>
        <w:gridCol w:w="1386"/>
        <w:gridCol w:w="109"/>
        <w:gridCol w:w="109"/>
        <w:gridCol w:w="109"/>
        <w:gridCol w:w="776"/>
        <w:gridCol w:w="109"/>
        <w:gridCol w:w="109"/>
        <w:gridCol w:w="109"/>
        <w:gridCol w:w="1386"/>
        <w:gridCol w:w="109"/>
        <w:gridCol w:w="109"/>
        <w:gridCol w:w="109"/>
        <w:gridCol w:w="776"/>
        <w:gridCol w:w="109"/>
        <w:gridCol w:w="109"/>
        <w:gridCol w:w="109"/>
        <w:gridCol w:w="1386"/>
        <w:gridCol w:w="109"/>
        <w:gridCol w:w="109"/>
        <w:gridCol w:w="109"/>
        <w:gridCol w:w="121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489" w:type="dxa"/>
            <w:gridSpan w:val="5"/>
            <w:tcBorders/>
            <w:shd w:fill="702076" w:val="clear"/>
            <w:vAlign w:val="center"/>
          </w:tcPr>
          <w:p>
            <w:pPr>
              <w:pStyle w:val="TableContents"/>
              <w:bidi w:val="0"/>
              <w:spacing w:before="0" w:after="0"/>
              <w:jc w:val="center"/>
              <w:rPr>
                <w:spacing w:val="2"/>
              </w:rPr>
            </w:pPr>
            <w:r>
              <w:rPr>
                <w:spacing w:val="2"/>
              </w:rPr>
              <w:t xml:space="preserve">Net Sales Payout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489" w:type="dxa"/>
            <w:gridSpan w:val="5"/>
            <w:tcBorders/>
            <w:shd w:fill="702076" w:val="clear"/>
            <w:vAlign w:val="center"/>
          </w:tcPr>
          <w:p>
            <w:pPr>
              <w:pStyle w:val="TableContents"/>
              <w:bidi w:val="0"/>
              <w:spacing w:before="0" w:after="0"/>
              <w:jc w:val="center"/>
              <w:rPr>
                <w:spacing w:val="2"/>
              </w:rPr>
            </w:pPr>
            <w:r>
              <w:rPr>
                <w:spacing w:val="2"/>
              </w:rPr>
              <w:t xml:space="preserve">Adjusted Op. Income Payout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932" w:type="dxa"/>
            <w:gridSpan w:val="5"/>
            <w:tcBorders/>
            <w:shd w:fill="702076" w:val="clear"/>
            <w:vAlign w:val="center"/>
          </w:tcPr>
          <w:p>
            <w:pPr>
              <w:pStyle w:val="TableContents"/>
              <w:bidi w:val="0"/>
              <w:spacing w:before="0" w:after="0"/>
              <w:jc w:val="center"/>
              <w:rPr/>
            </w:pPr>
            <w:r>
              <w:rPr>
                <w:spacing w:val="2"/>
              </w:rPr>
              <w:t>Non-Financial Goals Modifier*</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776" w:type="dxa"/>
            <w:tcBorders/>
            <w:shd w:fill="4C4C4C" w:val="clear"/>
            <w:vAlign w:val="center"/>
          </w:tcPr>
          <w:p>
            <w:pPr>
              <w:pStyle w:val="TableContents"/>
              <w:bidi w:val="0"/>
              <w:spacing w:before="0" w:after="0"/>
              <w:jc w:val="center"/>
              <w:rPr>
                <w:spacing w:val="2"/>
              </w:rPr>
            </w:pPr>
            <w:r>
              <w:rPr>
                <w:spacing w:val="2"/>
              </w:rPr>
              <w:t xml:space="preserve">Payout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776" w:type="dxa"/>
            <w:tcBorders/>
            <w:shd w:fill="4C4C4C" w:val="clear"/>
            <w:vAlign w:val="center"/>
          </w:tcPr>
          <w:p>
            <w:pPr>
              <w:pStyle w:val="TableContents"/>
              <w:bidi w:val="0"/>
              <w:spacing w:before="0" w:after="0"/>
              <w:jc w:val="center"/>
              <w:rPr>
                <w:spacing w:val="2"/>
              </w:rPr>
            </w:pPr>
            <w:r>
              <w:rPr>
                <w:spacing w:val="2"/>
              </w:rPr>
              <w:t xml:space="preserve">Payout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219" w:type="dxa"/>
            <w:tcBorders/>
            <w:shd w:fill="4C4C4C" w:val="clear"/>
            <w:vAlign w:val="center"/>
          </w:tcPr>
          <w:p>
            <w:pPr>
              <w:pStyle w:val="TableContents"/>
              <w:bidi w:val="0"/>
              <w:spacing w:lineRule="atLeast" w:line="180" w:before="0" w:after="0"/>
              <w:jc w:val="center"/>
              <w:rPr/>
            </w:pPr>
            <w:r>
              <w:rPr>
                <w:spacing w:val="2"/>
              </w:rPr>
              <w:t xml:space="preserve">Payout Modifier of </w:t>
              <w:br/>
              <w:t xml:space="preserve">Net Sales &amp; Adj Net </w:t>
              <w:br/>
              <w:t>Income %**</w:t>
            </w:r>
            <w:r>
              <w:rPr/>
              <w:t xml:space="preserve"> </w:t>
            </w:r>
          </w:p>
        </w:tc>
        <w:tc>
          <w:tcPr>
            <w:tcW w:w="109" w:type="dxa"/>
            <w:tcBorders/>
            <w:shd w:fill="4C4C4C" w:val="clear"/>
            <w:vAlign w:val="center"/>
          </w:tcPr>
          <w:p>
            <w:pPr>
              <w:pStyle w:val="TableContents"/>
              <w:bidi w:val="0"/>
              <w:spacing w:before="0" w:after="283"/>
              <w:jc w:val="left"/>
              <w:rPr/>
            </w:pPr>
            <w:r>
              <w:rPr/>
              <w:t>​</w:t>
            </w:r>
          </w:p>
        </w:tc>
        <w:tc>
          <w:tcPr>
            <w:tcW w:w="154" w:type="dxa"/>
            <w:tcBorders/>
            <w:shd w:fill="4C4C4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&lt;93%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&lt;90%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75%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219"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Decrease by up to 25%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93%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90%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219"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No Adjustment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125%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219" w:type="dxa"/>
            <w:tcBorders>
              <w:bottom w:val="single" w:sz="8" w:space="0" w:color="702076"/>
            </w:tcBorders>
            <w:tcMar>
              <w:bottom w:w="28" w:type="dxa"/>
            </w:tcMar>
            <w:vAlign w:val="center"/>
          </w:tcPr>
          <w:p>
            <w:pPr>
              <w:pStyle w:val="TableContents"/>
              <w:bidi w:val="0"/>
              <w:spacing w:before="0" w:after="0"/>
              <w:jc w:val="center"/>
              <w:rPr>
                <w:spacing w:val="2"/>
              </w:rPr>
            </w:pPr>
            <w:r>
              <w:rPr>
                <w:spacing w:val="2"/>
              </w:rPr>
              <w:t xml:space="preserve">Increase by up to 25%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w:t>
            </w:r>
            <w:r>
              <w:rPr>
                <w:spacing w:val="2"/>
              </w:rPr>
              <w:t xml:space="preserve">107%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w:t>
            </w:r>
            <w:r>
              <w:rPr>
                <w:spacing w:val="2"/>
              </w:rPr>
              <w:t xml:space="preserve">110%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776" w:type="dxa"/>
            <w:tcBorders>
              <w:bottom w:val="single" w:sz="8" w:space="0" w:color="702076"/>
            </w:tcBorders>
            <w:tcMar>
              <w:bottom w:w="126"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386"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21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8564" w:type="dxa"/>
            <w:gridSpan w:val="21"/>
            <w:tcBorders>
              <w:bottom w:val="single" w:sz="8" w:space="0" w:color="702076"/>
            </w:tcBorders>
            <w:shd w:fill="E5E5E5" w:val="clear"/>
            <w:tcMar>
              <w:bottom w:w="28" w:type="dxa"/>
            </w:tcMar>
            <w:vAlign w:val="center"/>
          </w:tcPr>
          <w:p>
            <w:pPr>
              <w:pStyle w:val="TableContents"/>
              <w:bidi w:val="0"/>
              <w:spacing w:lineRule="atLeast" w:line="192" w:before="0" w:after="0"/>
              <w:ind w:left="320" w:right="0" w:hanging="0"/>
              <w:jc w:val="left"/>
              <w:rPr>
                <w:spacing w:val="2"/>
              </w:rPr>
            </w:pPr>
            <w:r>
              <w:rPr>
                <w:spacing w:val="2"/>
              </w:rPr>
              <w:t xml:space="preserve">The CHCM Committee considers both quantitative and qualitative factors and may apply discretion when evaluating performance and determining the payout factor. </w:t>
            </w:r>
            <w:r>
              <mc:AlternateContent>
                <mc:Choice Requires="wps">
                  <w:drawing>
                    <wp:anchor behindDoc="0" distT="0" distB="0" distL="0" distR="0" simplePos="0" locked="0" layoutInCell="1" allowOverlap="1" relativeHeight="560">
                      <wp:simplePos x="0" y="0"/>
                      <wp:positionH relativeFrom="column">
                        <wp:align>left</wp:align>
                      </wp:positionH>
                      <wp:positionV relativeFrom="line">
                        <wp:posOffset>635</wp:posOffset>
                      </wp:positionV>
                      <wp:extent cx="203200" cy="350520"/>
                      <wp:effectExtent l="0" t="0" r="0" b="0"/>
                      <wp:wrapSquare wrapText="right"/>
                      <wp:docPr id="314" name="Frame20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92"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52" w:after="0"/>
              <w:ind w:left="320" w:right="0" w:hanging="0"/>
              <w:jc w:val="left"/>
              <w:rPr/>
            </w:pPr>
            <w:r>
              <w:rPr>
                <w:spacing w:val="2"/>
              </w:rPr>
              <w:t>Linear interpolation is used to calculate payouts for achievements between the levels indicated in the above table.</w:t>
            </w:r>
            <w:r>
              <w:rPr/>
              <w:t xml:space="preserve"> </w:t>
            </w:r>
            <w:r>
              <mc:AlternateContent>
                <mc:Choice Requires="wps">
                  <w:drawing>
                    <wp:anchor behindDoc="0" distT="96520" distB="0" distL="0" distR="0" simplePos="0" locked="0" layoutInCell="1" allowOverlap="1" relativeHeight="561">
                      <wp:simplePos x="0" y="0"/>
                      <wp:positionH relativeFrom="column">
                        <wp:align>left</wp:align>
                      </wp:positionH>
                      <wp:positionV relativeFrom="line">
                        <wp:align>top</wp:align>
                      </wp:positionV>
                      <wp:extent cx="203200" cy="350520"/>
                      <wp:effectExtent l="0" t="0" r="0" b="0"/>
                      <wp:wrapSquare wrapText="right"/>
                      <wp:docPr id="315" name="Frame20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50" w:before="184"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a result of her departure from the Company, Ms. Hebbelinck’s 2024 STIP was paid out at target on a prorated basis. With respect to the remaining NEOs, the table below shows the minimum, target, and maximum short-term incentive payment for each person as a percentage of each person’s base salary under the 2024 STIP:</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651"/>
        <w:gridCol w:w="175"/>
        <w:gridCol w:w="175"/>
        <w:gridCol w:w="175"/>
        <w:gridCol w:w="182"/>
        <w:gridCol w:w="182"/>
        <w:gridCol w:w="597"/>
        <w:gridCol w:w="182"/>
        <w:gridCol w:w="175"/>
        <w:gridCol w:w="175"/>
        <w:gridCol w:w="175"/>
        <w:gridCol w:w="179"/>
        <w:gridCol w:w="179"/>
        <w:gridCol w:w="917"/>
        <w:gridCol w:w="179"/>
        <w:gridCol w:w="175"/>
        <w:gridCol w:w="175"/>
        <w:gridCol w:w="175"/>
        <w:gridCol w:w="175"/>
        <w:gridCol w:w="175"/>
        <w:gridCol w:w="1177"/>
        <w:gridCol w:w="175"/>
        <w:gridCol w:w="109"/>
        <w:gridCol w:w="16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651" w:type="dxa"/>
            <w:tcBorders/>
            <w:shd w:fill="702076" w:val="clear"/>
            <w:vAlign w:val="center"/>
          </w:tcPr>
          <w:p>
            <w:pPr>
              <w:pStyle w:val="TableContents"/>
              <w:bidi w:val="0"/>
              <w:spacing w:before="0" w:after="0"/>
              <w:jc w:val="left"/>
              <w:rPr>
                <w:spacing w:val="2"/>
              </w:rPr>
            </w:pPr>
            <w:r>
              <w:rPr>
                <w:spacing w:val="2"/>
              </w:rPr>
              <w:t xml:space="preserve">Name </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143" w:type="dxa"/>
            <w:gridSpan w:val="4"/>
            <w:tcBorders/>
            <w:shd w:fill="702076" w:val="clear"/>
            <w:vAlign w:val="center"/>
          </w:tcPr>
          <w:p>
            <w:pPr>
              <w:pStyle w:val="TableContents"/>
              <w:bidi w:val="0"/>
              <w:spacing w:before="0" w:after="0"/>
              <w:jc w:val="center"/>
              <w:rPr>
                <w:spacing w:val="2"/>
              </w:rPr>
            </w:pPr>
            <w:r>
              <w:rPr>
                <w:spacing w:val="2"/>
              </w:rPr>
              <w:t xml:space="preserve">Min.% </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454" w:type="dxa"/>
            <w:gridSpan w:val="4"/>
            <w:tcBorders/>
            <w:shd w:fill="702076" w:val="clear"/>
            <w:vAlign w:val="center"/>
          </w:tcPr>
          <w:p>
            <w:pPr>
              <w:pStyle w:val="TableContents"/>
              <w:bidi w:val="0"/>
              <w:spacing w:before="0" w:after="0"/>
              <w:jc w:val="center"/>
              <w:rPr>
                <w:spacing w:val="2"/>
              </w:rPr>
            </w:pPr>
            <w:r>
              <w:rPr>
                <w:spacing w:val="2"/>
              </w:rPr>
              <w:t xml:space="preserve">Target % </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75" w:type="dxa"/>
            <w:tcBorders/>
            <w:shd w:fill="702076" w:val="clear"/>
            <w:vAlign w:val="center"/>
          </w:tcPr>
          <w:p>
            <w:pPr>
              <w:pStyle w:val="TableContents"/>
              <w:bidi w:val="0"/>
              <w:spacing w:before="0" w:after="283"/>
              <w:jc w:val="left"/>
              <w:rPr/>
            </w:pPr>
            <w:r>
              <w:rPr/>
              <w:t>​</w:t>
            </w:r>
          </w:p>
        </w:tc>
        <w:tc>
          <w:tcPr>
            <w:tcW w:w="1702" w:type="dxa"/>
            <w:gridSpan w:val="4"/>
            <w:tcBorders/>
            <w:shd w:fill="702076" w:val="clear"/>
            <w:vAlign w:val="center"/>
          </w:tcPr>
          <w:p>
            <w:pPr>
              <w:pStyle w:val="TableContents"/>
              <w:bidi w:val="0"/>
              <w:spacing w:lineRule="atLeast" w:line="142" w:before="0" w:after="0"/>
              <w:jc w:val="center"/>
              <w:rPr/>
            </w:pPr>
            <w:r>
              <w:rPr>
                <w:spacing w:val="2"/>
              </w:rPr>
              <w:t>Max.%</w:t>
            </w:r>
            <w:r>
              <w:rPr>
                <w:spacing w:val="2"/>
                <w:sz w:val="13"/>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6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William Kozy </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45" w:type="dxa"/>
            </w:tcMar>
            <w:vAlign w:val="center"/>
          </w:tcPr>
          <w:p>
            <w:pPr>
              <w:pStyle w:val="TableContents"/>
              <w:bidi w:val="0"/>
              <w:spacing w:before="0" w:after="283"/>
              <w:jc w:val="right"/>
              <w:rPr/>
            </w:pPr>
            <w:r>
              <w:rPr/>
              <w:t>​</w:t>
            </w:r>
          </w:p>
        </w:tc>
        <w:tc>
          <w:tcPr>
            <w:tcW w:w="597" w:type="dxa"/>
            <w:tcBorders>
              <w:bottom w:val="single" w:sz="6" w:space="0" w:color="702076"/>
            </w:tcBorders>
            <w:tcMar>
              <w:bottom w:w="45" w:type="dxa"/>
            </w:tcMar>
            <w:vAlign w:val="center"/>
          </w:tcPr>
          <w:p>
            <w:pPr>
              <w:pStyle w:val="TableContents"/>
              <w:bidi w:val="0"/>
              <w:spacing w:before="0" w:after="283"/>
              <w:jc w:val="right"/>
              <w:rPr/>
            </w:pPr>
            <w:r>
              <w:rPr/>
              <w:t>0%</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45" w:type="dxa"/>
            </w:tcMar>
            <w:vAlign w:val="center"/>
          </w:tcPr>
          <w:p>
            <w:pPr>
              <w:pStyle w:val="TableContents"/>
              <w:bidi w:val="0"/>
              <w:spacing w:before="0" w:after="283"/>
              <w:jc w:val="right"/>
              <w:rPr/>
            </w:pPr>
            <w:r>
              <w:rPr/>
              <w:t>​</w:t>
            </w:r>
          </w:p>
        </w:tc>
        <w:tc>
          <w:tcPr>
            <w:tcW w:w="917" w:type="dxa"/>
            <w:tcBorders>
              <w:bottom w:val="single" w:sz="6" w:space="0" w:color="702076"/>
            </w:tcBorders>
            <w:tcMar>
              <w:bottom w:w="45" w:type="dxa"/>
            </w:tcMar>
            <w:vAlign w:val="center"/>
          </w:tcPr>
          <w:p>
            <w:pPr>
              <w:pStyle w:val="TableContents"/>
              <w:bidi w:val="0"/>
              <w:spacing w:before="0" w:after="283"/>
              <w:jc w:val="right"/>
              <w:rPr/>
            </w:pPr>
            <w:r>
              <w:rPr/>
              <w:t>110%</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45" w:type="dxa"/>
            </w:tcMar>
            <w:vAlign w:val="center"/>
          </w:tcPr>
          <w:p>
            <w:pPr>
              <w:pStyle w:val="TableContents"/>
              <w:bidi w:val="0"/>
              <w:spacing w:before="0" w:after="283"/>
              <w:jc w:val="right"/>
              <w:rPr/>
            </w:pPr>
            <w:r>
              <w:rPr/>
              <w:t>​</w:t>
            </w:r>
          </w:p>
        </w:tc>
        <w:tc>
          <w:tcPr>
            <w:tcW w:w="1177" w:type="dxa"/>
            <w:tcBorders>
              <w:bottom w:val="single" w:sz="6" w:space="0" w:color="702076"/>
            </w:tcBorders>
            <w:tcMar>
              <w:bottom w:w="45" w:type="dxa"/>
            </w:tcMar>
            <w:vAlign w:val="center"/>
          </w:tcPr>
          <w:p>
            <w:pPr>
              <w:pStyle w:val="TableContents"/>
              <w:bidi w:val="0"/>
              <w:spacing w:before="0" w:after="283"/>
              <w:jc w:val="right"/>
              <w:rPr/>
            </w:pPr>
            <w:r>
              <w:rPr/>
              <w:t>200.0%</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shd w:fill="D8D8D8" w:val="clear"/>
            <w:tcMar>
              <w:bottom w:w="45" w:type="dxa"/>
            </w:tcMar>
            <w:vAlign w:val="center"/>
          </w:tcPr>
          <w:p>
            <w:pPr>
              <w:pStyle w:val="TableContents"/>
              <w:bidi w:val="0"/>
              <w:spacing w:before="0" w:after="0"/>
              <w:jc w:val="left"/>
              <w:rPr>
                <w:spacing w:val="2"/>
              </w:rPr>
            </w:pPr>
            <w:r>
              <w:rPr>
                <w:spacing w:val="2"/>
              </w:rPr>
              <w:t xml:space="preserve">Vladimir Makatsaria </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597" w:type="dxa"/>
            <w:tcBorders>
              <w:bottom w:val="single" w:sz="6" w:space="0" w:color="702076"/>
            </w:tcBorders>
            <w:shd w:fill="D8D8D8" w:val="clear"/>
            <w:tcMar>
              <w:bottom w:w="45" w:type="dxa"/>
            </w:tcMar>
            <w:vAlign w:val="center"/>
          </w:tcPr>
          <w:p>
            <w:pPr>
              <w:pStyle w:val="TableContents"/>
              <w:bidi w:val="0"/>
              <w:spacing w:before="0" w:after="283"/>
              <w:jc w:val="right"/>
              <w:rPr/>
            </w:pPr>
            <w:r>
              <w:rPr/>
              <w:t>0%</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917" w:type="dxa"/>
            <w:tcBorders>
              <w:bottom w:val="single" w:sz="6" w:space="0" w:color="702076"/>
            </w:tcBorders>
            <w:shd w:fill="D8D8D8" w:val="clear"/>
            <w:tcMar>
              <w:bottom w:w="45" w:type="dxa"/>
            </w:tcMar>
            <w:vAlign w:val="center"/>
          </w:tcPr>
          <w:p>
            <w:pPr>
              <w:pStyle w:val="TableContents"/>
              <w:bidi w:val="0"/>
              <w:spacing w:before="0" w:after="283"/>
              <w:jc w:val="right"/>
              <w:rPr/>
            </w:pPr>
            <w:r>
              <w:rPr/>
              <w:t>110%</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177" w:type="dxa"/>
            <w:tcBorders>
              <w:bottom w:val="single" w:sz="6" w:space="0" w:color="702076"/>
            </w:tcBorders>
            <w:shd w:fill="D8D8D8" w:val="clear"/>
            <w:tcMar>
              <w:bottom w:w="45" w:type="dxa"/>
            </w:tcMar>
            <w:vAlign w:val="center"/>
          </w:tcPr>
          <w:p>
            <w:pPr>
              <w:pStyle w:val="TableContents"/>
              <w:bidi w:val="0"/>
              <w:spacing w:before="0" w:after="283"/>
              <w:jc w:val="right"/>
              <w:rPr/>
            </w:pPr>
            <w:r>
              <w:rPr/>
              <w:t>200.0%</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Alex Shvartsburg </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45" w:type="dxa"/>
            </w:tcMar>
            <w:vAlign w:val="center"/>
          </w:tcPr>
          <w:p>
            <w:pPr>
              <w:pStyle w:val="TableContents"/>
              <w:bidi w:val="0"/>
              <w:spacing w:before="0" w:after="283"/>
              <w:jc w:val="right"/>
              <w:rPr/>
            </w:pPr>
            <w:r>
              <w:rPr/>
              <w:t>​</w:t>
            </w:r>
          </w:p>
        </w:tc>
        <w:tc>
          <w:tcPr>
            <w:tcW w:w="597" w:type="dxa"/>
            <w:tcBorders>
              <w:bottom w:val="single" w:sz="6" w:space="0" w:color="702076"/>
            </w:tcBorders>
            <w:tcMar>
              <w:bottom w:w="45" w:type="dxa"/>
            </w:tcMar>
            <w:vAlign w:val="center"/>
          </w:tcPr>
          <w:p>
            <w:pPr>
              <w:pStyle w:val="TableContents"/>
              <w:bidi w:val="0"/>
              <w:spacing w:before="0" w:after="283"/>
              <w:jc w:val="right"/>
              <w:rPr/>
            </w:pPr>
            <w:r>
              <w:rPr/>
              <w:t>0%</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45" w:type="dxa"/>
            </w:tcMar>
            <w:vAlign w:val="center"/>
          </w:tcPr>
          <w:p>
            <w:pPr>
              <w:pStyle w:val="TableContents"/>
              <w:bidi w:val="0"/>
              <w:spacing w:before="0" w:after="283"/>
              <w:jc w:val="right"/>
              <w:rPr/>
            </w:pPr>
            <w:r>
              <w:rPr/>
              <w:t>​</w:t>
            </w:r>
          </w:p>
        </w:tc>
        <w:tc>
          <w:tcPr>
            <w:tcW w:w="917" w:type="dxa"/>
            <w:tcBorders>
              <w:bottom w:val="single" w:sz="6" w:space="0" w:color="702076"/>
            </w:tcBorders>
            <w:tcMar>
              <w:bottom w:w="45" w:type="dxa"/>
            </w:tcMar>
            <w:vAlign w:val="center"/>
          </w:tcPr>
          <w:p>
            <w:pPr>
              <w:pStyle w:val="TableContents"/>
              <w:bidi w:val="0"/>
              <w:spacing w:before="0" w:after="283"/>
              <w:jc w:val="right"/>
              <w:rPr/>
            </w:pPr>
            <w:r>
              <w:rPr/>
              <w:t>65%</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45" w:type="dxa"/>
            </w:tcMar>
            <w:vAlign w:val="center"/>
          </w:tcPr>
          <w:p>
            <w:pPr>
              <w:pStyle w:val="TableContents"/>
              <w:bidi w:val="0"/>
              <w:spacing w:before="0" w:after="283"/>
              <w:jc w:val="right"/>
              <w:rPr/>
            </w:pPr>
            <w:r>
              <w:rPr/>
              <w:t>​</w:t>
            </w:r>
          </w:p>
        </w:tc>
        <w:tc>
          <w:tcPr>
            <w:tcW w:w="1177" w:type="dxa"/>
            <w:tcBorders>
              <w:bottom w:val="single" w:sz="6" w:space="0" w:color="702076"/>
            </w:tcBorders>
            <w:tcMar>
              <w:bottom w:w="45" w:type="dxa"/>
            </w:tcMar>
            <w:vAlign w:val="center"/>
          </w:tcPr>
          <w:p>
            <w:pPr>
              <w:pStyle w:val="TableContents"/>
              <w:bidi w:val="0"/>
              <w:spacing w:before="0" w:after="283"/>
              <w:jc w:val="right"/>
              <w:rPr/>
            </w:pPr>
            <w:r>
              <w:rPr/>
              <w:t>121.9%</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shd w:fill="D8D8D8" w:val="clear"/>
            <w:tcMar>
              <w:bottom w:w="45" w:type="dxa"/>
            </w:tcMar>
            <w:vAlign w:val="center"/>
          </w:tcPr>
          <w:p>
            <w:pPr>
              <w:pStyle w:val="TableContents"/>
              <w:bidi w:val="0"/>
              <w:spacing w:before="0" w:after="0"/>
              <w:jc w:val="left"/>
              <w:rPr>
                <w:spacing w:val="2"/>
              </w:rPr>
            </w:pPr>
            <w:r>
              <w:rPr>
                <w:spacing w:val="2"/>
              </w:rPr>
              <w:t xml:space="preserve">Ahmet Tezel </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597" w:type="dxa"/>
            <w:tcBorders>
              <w:bottom w:val="single" w:sz="6" w:space="0" w:color="702076"/>
            </w:tcBorders>
            <w:shd w:fill="D8D8D8" w:val="clear"/>
            <w:tcMar>
              <w:bottom w:w="45" w:type="dxa"/>
            </w:tcMar>
            <w:vAlign w:val="center"/>
          </w:tcPr>
          <w:p>
            <w:pPr>
              <w:pStyle w:val="TableContents"/>
              <w:bidi w:val="0"/>
              <w:spacing w:before="0" w:after="283"/>
              <w:jc w:val="right"/>
              <w:rPr/>
            </w:pPr>
            <w:r>
              <w:rPr/>
              <w:t>0%</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917" w:type="dxa"/>
            <w:tcBorders>
              <w:bottom w:val="single" w:sz="6" w:space="0" w:color="702076"/>
            </w:tcBorders>
            <w:shd w:fill="D8D8D8" w:val="clear"/>
            <w:tcMar>
              <w:bottom w:w="45" w:type="dxa"/>
            </w:tcMar>
            <w:vAlign w:val="center"/>
          </w:tcPr>
          <w:p>
            <w:pPr>
              <w:pStyle w:val="TableContents"/>
              <w:bidi w:val="0"/>
              <w:spacing w:before="0" w:after="283"/>
              <w:jc w:val="right"/>
              <w:rPr/>
            </w:pPr>
            <w:r>
              <w:rPr/>
              <w:t>65%</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177" w:type="dxa"/>
            <w:tcBorders>
              <w:bottom w:val="single" w:sz="6" w:space="0" w:color="702076"/>
            </w:tcBorders>
            <w:shd w:fill="D8D8D8" w:val="clear"/>
            <w:tcMar>
              <w:bottom w:w="45" w:type="dxa"/>
            </w:tcMar>
            <w:vAlign w:val="center"/>
          </w:tcPr>
          <w:p>
            <w:pPr>
              <w:pStyle w:val="TableContents"/>
              <w:bidi w:val="0"/>
              <w:spacing w:before="0" w:after="283"/>
              <w:jc w:val="right"/>
              <w:rPr/>
            </w:pPr>
            <w:r>
              <w:rPr/>
              <w:t>121.9%</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Michael Hutchinson </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tcMar>
              <w:bottom w:w="45" w:type="dxa"/>
            </w:tcMar>
            <w:vAlign w:val="center"/>
          </w:tcPr>
          <w:p>
            <w:pPr>
              <w:pStyle w:val="TableContents"/>
              <w:bidi w:val="0"/>
              <w:spacing w:before="0" w:after="283"/>
              <w:jc w:val="right"/>
              <w:rPr/>
            </w:pPr>
            <w:r>
              <w:rPr/>
              <w:t>​</w:t>
            </w:r>
          </w:p>
        </w:tc>
        <w:tc>
          <w:tcPr>
            <w:tcW w:w="597" w:type="dxa"/>
            <w:tcBorders>
              <w:bottom w:val="single" w:sz="6" w:space="0" w:color="702076"/>
            </w:tcBorders>
            <w:tcMar>
              <w:bottom w:w="45" w:type="dxa"/>
            </w:tcMar>
            <w:vAlign w:val="center"/>
          </w:tcPr>
          <w:p>
            <w:pPr>
              <w:pStyle w:val="TableContents"/>
              <w:bidi w:val="0"/>
              <w:spacing w:before="0" w:after="283"/>
              <w:jc w:val="right"/>
              <w:rPr/>
            </w:pPr>
            <w:r>
              <w:rPr/>
              <w:t>0%</w:t>
            </w:r>
          </w:p>
        </w:tc>
        <w:tc>
          <w:tcPr>
            <w:tcW w:w="182"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tcMar>
              <w:bottom w:w="45" w:type="dxa"/>
            </w:tcMar>
            <w:vAlign w:val="center"/>
          </w:tcPr>
          <w:p>
            <w:pPr>
              <w:pStyle w:val="TableContents"/>
              <w:bidi w:val="0"/>
              <w:spacing w:before="0" w:after="283"/>
              <w:jc w:val="right"/>
              <w:rPr/>
            </w:pPr>
            <w:r>
              <w:rPr/>
              <w:t>​</w:t>
            </w:r>
          </w:p>
        </w:tc>
        <w:tc>
          <w:tcPr>
            <w:tcW w:w="917" w:type="dxa"/>
            <w:tcBorders>
              <w:bottom w:val="single" w:sz="6" w:space="0" w:color="702076"/>
            </w:tcBorders>
            <w:tcMar>
              <w:bottom w:w="45" w:type="dxa"/>
            </w:tcMar>
            <w:vAlign w:val="center"/>
          </w:tcPr>
          <w:p>
            <w:pPr>
              <w:pStyle w:val="TableContents"/>
              <w:bidi w:val="0"/>
              <w:spacing w:before="0" w:after="283"/>
              <w:jc w:val="right"/>
              <w:rPr/>
            </w:pPr>
            <w:r>
              <w:rPr/>
              <w:t>65%</w:t>
            </w:r>
          </w:p>
        </w:tc>
        <w:tc>
          <w:tcPr>
            <w:tcW w:w="179"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tcMar>
              <w:bottom w:w="45" w:type="dxa"/>
            </w:tcMar>
            <w:vAlign w:val="center"/>
          </w:tcPr>
          <w:p>
            <w:pPr>
              <w:pStyle w:val="TableContents"/>
              <w:bidi w:val="0"/>
              <w:spacing w:before="0" w:after="283"/>
              <w:jc w:val="right"/>
              <w:rPr/>
            </w:pPr>
            <w:r>
              <w:rPr/>
              <w:t>​</w:t>
            </w:r>
          </w:p>
        </w:tc>
        <w:tc>
          <w:tcPr>
            <w:tcW w:w="1177" w:type="dxa"/>
            <w:tcBorders>
              <w:bottom w:val="single" w:sz="6" w:space="0" w:color="702076"/>
            </w:tcBorders>
            <w:tcMar>
              <w:bottom w:w="45" w:type="dxa"/>
            </w:tcMar>
            <w:vAlign w:val="center"/>
          </w:tcPr>
          <w:p>
            <w:pPr>
              <w:pStyle w:val="TableContents"/>
              <w:bidi w:val="0"/>
              <w:spacing w:before="0" w:after="283"/>
              <w:jc w:val="right"/>
              <w:rPr/>
            </w:pPr>
            <w:r>
              <w:rPr/>
              <w:t>121.9%</w:t>
            </w:r>
          </w:p>
        </w:tc>
        <w:tc>
          <w:tcPr>
            <w:tcW w:w="17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651" w:type="dxa"/>
            <w:tcBorders>
              <w:bottom w:val="single" w:sz="6" w:space="0" w:color="702076"/>
            </w:tcBorders>
            <w:shd w:fill="D8D8D8" w:val="clear"/>
            <w:tcMar>
              <w:bottom w:w="42" w:type="dxa"/>
            </w:tcMar>
            <w:vAlign w:val="center"/>
          </w:tcPr>
          <w:p>
            <w:pPr>
              <w:pStyle w:val="TableContents"/>
              <w:bidi w:val="0"/>
              <w:spacing w:before="0" w:after="0"/>
              <w:jc w:val="left"/>
              <w:rPr>
                <w:spacing w:val="2"/>
              </w:rPr>
            </w:pPr>
            <w:r>
              <w:rPr>
                <w:spacing w:val="2"/>
              </w:rPr>
              <w:t xml:space="preserve">Franco Poletti </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82" w:type="dxa"/>
            <w:tcBorders>
              <w:bottom w:val="single" w:sz="6" w:space="0" w:color="702076"/>
            </w:tcBorders>
            <w:shd w:fill="D8D8D8" w:val="clear"/>
            <w:tcMar>
              <w:bottom w:w="42" w:type="dxa"/>
            </w:tcMar>
            <w:vAlign w:val="center"/>
          </w:tcPr>
          <w:p>
            <w:pPr>
              <w:pStyle w:val="TableContents"/>
              <w:bidi w:val="0"/>
              <w:spacing w:before="0" w:after="283"/>
              <w:jc w:val="right"/>
              <w:rPr/>
            </w:pPr>
            <w:r>
              <w:rPr/>
              <w:t>​</w:t>
            </w:r>
          </w:p>
        </w:tc>
        <w:tc>
          <w:tcPr>
            <w:tcW w:w="597" w:type="dxa"/>
            <w:tcBorders>
              <w:bottom w:val="single" w:sz="6" w:space="0" w:color="702076"/>
            </w:tcBorders>
            <w:shd w:fill="D8D8D8" w:val="clear"/>
            <w:tcMar>
              <w:bottom w:w="42" w:type="dxa"/>
            </w:tcMar>
            <w:vAlign w:val="center"/>
          </w:tcPr>
          <w:p>
            <w:pPr>
              <w:pStyle w:val="TableContents"/>
              <w:bidi w:val="0"/>
              <w:spacing w:before="0" w:after="283"/>
              <w:jc w:val="right"/>
              <w:rPr/>
            </w:pPr>
            <w:r>
              <w:rPr/>
              <w:t>0%</w:t>
            </w:r>
          </w:p>
        </w:tc>
        <w:tc>
          <w:tcPr>
            <w:tcW w:w="182"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6" w:space="0" w:color="702076"/>
            </w:tcBorders>
            <w:shd w:fill="D8D8D8" w:val="clear"/>
            <w:tcMar>
              <w:bottom w:w="42" w:type="dxa"/>
            </w:tcMar>
            <w:vAlign w:val="center"/>
          </w:tcPr>
          <w:p>
            <w:pPr>
              <w:pStyle w:val="TableContents"/>
              <w:bidi w:val="0"/>
              <w:spacing w:before="0" w:after="283"/>
              <w:jc w:val="right"/>
              <w:rPr/>
            </w:pPr>
            <w:r>
              <w:rPr/>
              <w:t>​</w:t>
            </w:r>
          </w:p>
        </w:tc>
        <w:tc>
          <w:tcPr>
            <w:tcW w:w="917" w:type="dxa"/>
            <w:tcBorders>
              <w:bottom w:val="single" w:sz="6" w:space="0" w:color="702076"/>
            </w:tcBorders>
            <w:shd w:fill="D8D8D8" w:val="clear"/>
            <w:tcMar>
              <w:bottom w:w="42" w:type="dxa"/>
            </w:tcMar>
            <w:vAlign w:val="center"/>
          </w:tcPr>
          <w:p>
            <w:pPr>
              <w:pStyle w:val="TableContents"/>
              <w:bidi w:val="0"/>
              <w:spacing w:before="0" w:after="283"/>
              <w:jc w:val="right"/>
              <w:rPr/>
            </w:pPr>
            <w:r>
              <w:rPr/>
              <w:t>65%</w:t>
            </w:r>
          </w:p>
        </w:tc>
        <w:tc>
          <w:tcPr>
            <w:tcW w:w="17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75" w:type="dxa"/>
            <w:tcBorders>
              <w:bottom w:val="single" w:sz="6" w:space="0" w:color="702076"/>
            </w:tcBorders>
            <w:shd w:fill="D8D8D8" w:val="clear"/>
            <w:tcMar>
              <w:bottom w:w="42" w:type="dxa"/>
            </w:tcMar>
            <w:vAlign w:val="center"/>
          </w:tcPr>
          <w:p>
            <w:pPr>
              <w:pStyle w:val="TableContents"/>
              <w:bidi w:val="0"/>
              <w:spacing w:before="0" w:after="283"/>
              <w:jc w:val="right"/>
              <w:rPr/>
            </w:pPr>
            <w:r>
              <w:rPr/>
              <w:t>​</w:t>
            </w:r>
          </w:p>
        </w:tc>
        <w:tc>
          <w:tcPr>
            <w:tcW w:w="1177" w:type="dxa"/>
            <w:tcBorders>
              <w:bottom w:val="single" w:sz="6" w:space="0" w:color="702076"/>
            </w:tcBorders>
            <w:shd w:fill="D8D8D8" w:val="clear"/>
            <w:tcMar>
              <w:bottom w:w="42" w:type="dxa"/>
            </w:tcMar>
            <w:vAlign w:val="center"/>
          </w:tcPr>
          <w:p>
            <w:pPr>
              <w:pStyle w:val="TableContents"/>
              <w:bidi w:val="0"/>
              <w:spacing w:before="0" w:after="283"/>
              <w:jc w:val="right"/>
              <w:rPr/>
            </w:pPr>
            <w:r>
              <w:rPr/>
              <w:t>121.9%</w:t>
            </w:r>
          </w:p>
        </w:tc>
        <w:tc>
          <w:tcPr>
            <w:tcW w:w="175"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8525" w:type="dxa"/>
            <w:gridSpan w:val="22"/>
            <w:tcBorders>
              <w:bottom w:val="single" w:sz="6" w:space="0" w:color="702076"/>
            </w:tcBorders>
            <w:shd w:fill="E5E5E5" w:val="clear"/>
            <w:tcMar>
              <w:bottom w:w="42" w:type="dxa"/>
            </w:tcMar>
            <w:vAlign w:val="center"/>
          </w:tcPr>
          <w:p>
            <w:pPr>
              <w:pStyle w:val="TableContents"/>
              <w:bidi w:val="0"/>
              <w:spacing w:lineRule="atLeast" w:line="240" w:before="0" w:after="0"/>
              <w:ind w:left="400" w:right="0" w:hanging="0"/>
              <w:jc w:val="both"/>
              <w:rPr/>
            </w:pPr>
            <w:r>
              <w:rPr>
                <w:spacing w:val="2"/>
              </w:rPr>
              <w:t>Maximum payment percentage calculated as target percentage times maximum plan payout of 150% plus maximum non-financial goal incremental modifier of 25%. For Messrs. Kozy and Makatsaria, the maximum payment percentage was calculated to be 206.25% but is capped at 200% per the UK Remuneration Policy. In terms of maximum bonus opportunity, these percentages represent 181.8% for Messrs. Kozy and Makatsaria and 187.5% for the other NEOs.</w:t>
            </w:r>
            <w:r>
              <w:rPr/>
              <w:t xml:space="preserve"> </w:t>
            </w:r>
            <w:r>
              <mc:AlternateContent>
                <mc:Choice Requires="wps">
                  <w:drawing>
                    <wp:anchor behindDoc="0" distT="0" distB="0" distL="0" distR="0" simplePos="0" locked="0" layoutInCell="1" allowOverlap="1" relativeHeight="562">
                      <wp:simplePos x="0" y="0"/>
                      <wp:positionH relativeFrom="column">
                        <wp:align>left</wp:align>
                      </wp:positionH>
                      <wp:positionV relativeFrom="line">
                        <wp:posOffset>635</wp:posOffset>
                      </wp:positionV>
                      <wp:extent cx="254000" cy="350520"/>
                      <wp:effectExtent l="0" t="0" r="0" b="0"/>
                      <wp:wrapSquare wrapText="right"/>
                      <wp:docPr id="316"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165"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5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2024 Short-Term Incentive Plan Pay-out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Bonuses are based on performance over the calendar year, which is also LivaNova’s financial year, and are generally paid in March of the following year after completion of the audit of the Company’s annual financial statements. The Company’s performance in 2024, as defined by the 2024 STIP, was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1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7" descr=""/>
                          <pic:cNvPicPr>
                            <a:picLocks noChangeAspect="1" noChangeArrowheads="1"/>
                          </pic:cNvPicPr>
                        </pic:nvPicPr>
                        <pic:blipFill>
                          <a:blip r:embed="rId108"/>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43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1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08" descr=""/>
                    <pic:cNvPicPr>
                      <a:picLocks noChangeAspect="1" noChangeArrowheads="1"/>
                    </pic:cNvPicPr>
                  </pic:nvPicPr>
                  <pic:blipFill>
                    <a:blip r:embed="rId10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Financial Objectives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035"/>
        <w:gridCol w:w="109"/>
        <w:gridCol w:w="109"/>
        <w:gridCol w:w="109"/>
        <w:gridCol w:w="133"/>
        <w:gridCol w:w="133"/>
        <w:gridCol w:w="425"/>
        <w:gridCol w:w="135"/>
        <w:gridCol w:w="109"/>
        <w:gridCol w:w="109"/>
        <w:gridCol w:w="109"/>
        <w:gridCol w:w="109"/>
        <w:gridCol w:w="109"/>
        <w:gridCol w:w="832"/>
        <w:gridCol w:w="109"/>
        <w:gridCol w:w="109"/>
        <w:gridCol w:w="109"/>
        <w:gridCol w:w="109"/>
        <w:gridCol w:w="133"/>
        <w:gridCol w:w="133"/>
        <w:gridCol w:w="1013"/>
        <w:gridCol w:w="134"/>
        <w:gridCol w:w="109"/>
        <w:gridCol w:w="109"/>
        <w:gridCol w:w="109"/>
        <w:gridCol w:w="157"/>
        <w:gridCol w:w="157"/>
        <w:gridCol w:w="935"/>
        <w:gridCol w:w="158"/>
        <w:gridCol w:w="109"/>
        <w:gridCol w:w="109"/>
        <w:gridCol w:w="109"/>
        <w:gridCol w:w="113"/>
        <w:gridCol w:w="113"/>
        <w:gridCol w:w="709"/>
        <w:gridCol w:w="113"/>
        <w:gridCol w:w="109"/>
        <w:gridCol w:w="167"/>
      </w:tblGrid>
      <w:tr>
        <w:trPr/>
        <w:tc>
          <w:tcPr>
            <w:tcW w:w="124" w:type="dxa"/>
            <w:tcBorders/>
            <w:vAlign w:val="center"/>
          </w:tcPr>
          <w:p>
            <w:pPr>
              <w:pStyle w:val="TableContents"/>
              <w:bidi w:val="0"/>
              <w:spacing w:before="0" w:after="283"/>
              <w:jc w:val="left"/>
              <w:rPr/>
            </w:pPr>
            <w:r>
              <w:rPr/>
              <w:t>​</w:t>
            </w:r>
          </w:p>
        </w:tc>
        <w:tc>
          <w:tcPr>
            <w:tcW w:w="109" w:type="dxa"/>
            <w:tcBorders/>
            <w:shd w:fill="FF5B34" w:val="clear"/>
            <w:vAlign w:val="center"/>
          </w:tcPr>
          <w:p>
            <w:pPr>
              <w:pStyle w:val="TableContents"/>
              <w:bidi w:val="0"/>
              <w:spacing w:before="0" w:after="283"/>
              <w:jc w:val="left"/>
              <w:rPr/>
            </w:pPr>
            <w:r>
              <w:rPr/>
              <w:t>​</w:t>
            </w:r>
          </w:p>
        </w:tc>
        <w:tc>
          <w:tcPr>
            <w:tcW w:w="8523" w:type="dxa"/>
            <w:gridSpan w:val="36"/>
            <w:tcBorders/>
            <w:shd w:fill="FF5B34" w:val="clear"/>
            <w:vAlign w:val="center"/>
          </w:tcPr>
          <w:p>
            <w:pPr>
              <w:pStyle w:val="TableContents"/>
              <w:bidi w:val="0"/>
              <w:spacing w:lineRule="atLeast" w:line="240" w:before="0" w:after="0"/>
              <w:jc w:val="center"/>
              <w:rPr/>
            </w:pPr>
            <w:r>
              <w:rPr>
                <w:spacing w:val="13"/>
              </w:rPr>
              <w:t>LIVN Objective</w:t>
            </w:r>
            <w:r>
              <w:rPr>
                <w:color w:val="000000"/>
              </w:rPr>
              <w:t>​</w:t>
            </w:r>
            <w:r>
              <w:rPr/>
              <w:t xml:space="preserve"> </w:t>
            </w:r>
          </w:p>
        </w:tc>
        <w:tc>
          <w:tcPr>
            <w:tcW w:w="109" w:type="dxa"/>
            <w:tcBorders/>
            <w:shd w:fill="FF5B34" w:val="clear"/>
            <w:vAlign w:val="center"/>
          </w:tcPr>
          <w:p>
            <w:pPr>
              <w:pStyle w:val="TableContents"/>
              <w:bidi w:val="0"/>
              <w:spacing w:before="0" w:after="283"/>
              <w:jc w:val="left"/>
              <w:rPr/>
            </w:pPr>
            <w:r>
              <w:rPr/>
              <w:t>​</w:t>
            </w:r>
          </w:p>
        </w:tc>
        <w:tc>
          <w:tcPr>
            <w:tcW w:w="167" w:type="dxa"/>
            <w:tcBorders/>
            <w:shd w:fill="FF5B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35" w:type="dxa"/>
            <w:tcBorders/>
            <w:shd w:fill="702076"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26" w:type="dxa"/>
            <w:gridSpan w:val="4"/>
            <w:tcBorders/>
            <w:shd w:fill="702076"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Weight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Target ($M)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13" w:type="dxa"/>
            <w:gridSpan w:val="4"/>
            <w:tcBorders/>
            <w:shd w:fill="702076"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Achievement ($M)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07" w:type="dxa"/>
            <w:gridSpan w:val="4"/>
            <w:tcBorders/>
            <w:shd w:fill="702076"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Achievement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48" w:type="dxa"/>
            <w:gridSpan w:val="4"/>
            <w:tcBorders/>
            <w:shd w:fill="702076" w:val="clear"/>
            <w:tcMar>
              <w:top w:w="28" w:type="dxa"/>
              <w:left w:w="28" w:type="dxa"/>
              <w:bottom w:w="28" w:type="dxa"/>
              <w:right w:w="28" w:type="dxa"/>
            </w:tcMar>
            <w:vAlign w:val="center"/>
          </w:tcPr>
          <w:p>
            <w:pPr>
              <w:pStyle w:val="TableContents"/>
              <w:bidi w:val="0"/>
              <w:spacing w:lineRule="atLeast" w:line="180" w:before="0" w:after="0"/>
              <w:jc w:val="center"/>
              <w:rPr/>
            </w:pPr>
            <w:r>
              <w:rPr>
                <w:spacing w:val="2"/>
              </w:rPr>
              <w:t>Financial Payout (%)</w:t>
            </w:r>
            <w:r>
              <w:rPr/>
              <w:t xml:space="preserve"> </w:t>
            </w:r>
          </w:p>
        </w:tc>
        <w:tc>
          <w:tcPr>
            <w:tcW w:w="109" w:type="dxa"/>
            <w:tcBorders/>
            <w:shd w:fill="702076" w:val="clear"/>
            <w:vAlign w:val="center"/>
          </w:tcPr>
          <w:p>
            <w:pPr>
              <w:pStyle w:val="TableContents"/>
              <w:bidi w:val="0"/>
              <w:spacing w:before="0" w:after="283"/>
              <w:jc w:val="left"/>
              <w:rPr/>
            </w:pPr>
            <w:r>
              <w:rPr/>
              <w:t>​</w:t>
            </w:r>
          </w:p>
        </w:tc>
        <w:tc>
          <w:tcPr>
            <w:tcW w:w="167"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Net Sales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425" w:type="dxa"/>
            <w:tcBorders>
              <w:bottom w:val="single" w:sz="6" w:space="0" w:color="702076"/>
            </w:tcBorders>
            <w:tcMar>
              <w:bottom w:w="51" w:type="dxa"/>
            </w:tcMar>
            <w:vAlign w:val="center"/>
          </w:tcPr>
          <w:p>
            <w:pPr>
              <w:pStyle w:val="TableContents"/>
              <w:bidi w:val="0"/>
              <w:spacing w:before="0" w:after="283"/>
              <w:jc w:val="right"/>
              <w:rPr/>
            </w:pPr>
            <w:r>
              <w:rPr/>
              <w:t>50</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32" w:type="dxa"/>
            <w:tcBorders>
              <w:bottom w:val="single" w:sz="6" w:space="0" w:color="702076"/>
            </w:tcBorders>
            <w:tcMar>
              <w:bottom w:w="51" w:type="dxa"/>
            </w:tcMar>
            <w:vAlign w:val="center"/>
          </w:tcPr>
          <w:p>
            <w:pPr>
              <w:pStyle w:val="TableContents"/>
              <w:bidi w:val="0"/>
              <w:spacing w:before="0" w:after="283"/>
              <w:jc w:val="right"/>
              <w:rPr/>
            </w:pPr>
            <w:r>
              <w:rPr/>
              <w:t>1,218.2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1013" w:type="dxa"/>
            <w:tcBorders>
              <w:bottom w:val="single" w:sz="6" w:space="0" w:color="702076"/>
            </w:tcBorders>
            <w:tcMar>
              <w:bottom w:w="51" w:type="dxa"/>
            </w:tcMar>
            <w:vAlign w:val="center"/>
          </w:tcPr>
          <w:p>
            <w:pPr>
              <w:pStyle w:val="TableContents"/>
              <w:bidi w:val="0"/>
              <w:spacing w:before="0" w:after="283"/>
              <w:jc w:val="right"/>
              <w:rPr/>
            </w:pPr>
            <w:r>
              <w:rPr/>
              <w:t>1,267.2</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283"/>
              <w:jc w:val="right"/>
              <w:rPr/>
            </w:pPr>
            <w:r>
              <w:rPr/>
              <w:t>​</w:t>
            </w:r>
          </w:p>
        </w:tc>
        <w:tc>
          <w:tcPr>
            <w:tcW w:w="935" w:type="dxa"/>
            <w:tcBorders>
              <w:bottom w:val="single" w:sz="6" w:space="0" w:color="702076"/>
            </w:tcBorders>
            <w:tcMar>
              <w:bottom w:w="51" w:type="dxa"/>
            </w:tcMar>
            <w:vAlign w:val="center"/>
          </w:tcPr>
          <w:p>
            <w:pPr>
              <w:pStyle w:val="TableContents"/>
              <w:bidi w:val="0"/>
              <w:spacing w:before="0" w:after="283"/>
              <w:jc w:val="right"/>
              <w:rPr/>
            </w:pPr>
            <w:r>
              <w:rPr/>
              <w:t>104.0</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128.7</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Adjusted Op. Income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425" w:type="dxa"/>
            <w:tcBorders>
              <w:bottom w:val="single" w:sz="6" w:space="0" w:color="702076"/>
            </w:tcBorders>
            <w:tcMar>
              <w:bottom w:w="51" w:type="dxa"/>
            </w:tcMar>
            <w:vAlign w:val="center"/>
          </w:tcPr>
          <w:p>
            <w:pPr>
              <w:pStyle w:val="TableContents"/>
              <w:bidi w:val="0"/>
              <w:spacing w:before="0" w:after="283"/>
              <w:jc w:val="right"/>
              <w:rPr/>
            </w:pPr>
            <w:r>
              <w:rPr/>
              <w:t>50</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32" w:type="dxa"/>
            <w:tcBorders>
              <w:bottom w:val="single" w:sz="6" w:space="0" w:color="702076"/>
            </w:tcBorders>
            <w:tcMar>
              <w:bottom w:w="51" w:type="dxa"/>
            </w:tcMar>
            <w:vAlign w:val="center"/>
          </w:tcPr>
          <w:p>
            <w:pPr>
              <w:pStyle w:val="TableContents"/>
              <w:bidi w:val="0"/>
              <w:spacing w:before="0" w:after="283"/>
              <w:jc w:val="right"/>
              <w:rPr/>
            </w:pPr>
            <w:r>
              <w:rPr/>
              <w:t>219.1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1013" w:type="dxa"/>
            <w:tcBorders>
              <w:bottom w:val="single" w:sz="6" w:space="0" w:color="702076"/>
            </w:tcBorders>
            <w:tcMar>
              <w:bottom w:w="51" w:type="dxa"/>
            </w:tcMar>
            <w:vAlign w:val="center"/>
          </w:tcPr>
          <w:p>
            <w:pPr>
              <w:pStyle w:val="TableContents"/>
              <w:bidi w:val="0"/>
              <w:spacing w:before="0" w:after="283"/>
              <w:jc w:val="right"/>
              <w:rPr/>
            </w:pPr>
            <w:r>
              <w:rPr/>
              <w:t>242.2</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283"/>
              <w:jc w:val="right"/>
              <w:rPr/>
            </w:pPr>
            <w:r>
              <w:rPr/>
              <w:t>​</w:t>
            </w:r>
          </w:p>
        </w:tc>
        <w:tc>
          <w:tcPr>
            <w:tcW w:w="935" w:type="dxa"/>
            <w:tcBorders>
              <w:bottom w:val="single" w:sz="6" w:space="0" w:color="702076"/>
            </w:tcBorders>
            <w:tcMar>
              <w:bottom w:w="51" w:type="dxa"/>
            </w:tcMar>
            <w:vAlign w:val="center"/>
          </w:tcPr>
          <w:p>
            <w:pPr>
              <w:pStyle w:val="TableContents"/>
              <w:bidi w:val="0"/>
              <w:spacing w:before="0" w:after="283"/>
              <w:jc w:val="right"/>
              <w:rPr/>
            </w:pPr>
            <w:r>
              <w:rPr/>
              <w:t>110.5</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150.0</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right"/>
              <w:rPr/>
            </w:pPr>
            <w:r>
              <w:rPr/>
              <w:t>​</w:t>
            </w:r>
          </w:p>
        </w:tc>
        <w:tc>
          <w:tcPr>
            <w:tcW w:w="425" w:type="dxa"/>
            <w:tcBorders>
              <w:bottom w:val="single" w:sz="6" w:space="0" w:color="702076"/>
            </w:tcBorders>
            <w:tcMar>
              <w:bottom w:w="28" w:type="dxa"/>
            </w:tcMar>
            <w:vAlign w:val="center"/>
          </w:tcPr>
          <w:p>
            <w:pPr>
              <w:pStyle w:val="TableContents"/>
              <w:bidi w:val="0"/>
              <w:spacing w:before="0" w:after="283"/>
              <w:jc w:val="right"/>
              <w:rPr/>
            </w:pPr>
            <w:r>
              <w:rPr/>
              <w:t>​</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right"/>
              <w:rPr/>
            </w:pPr>
            <w:r>
              <w:rPr/>
              <w:t>​</w:t>
            </w:r>
          </w:p>
        </w:tc>
        <w:tc>
          <w:tcPr>
            <w:tcW w:w="832" w:type="dxa"/>
            <w:tcBorders>
              <w:bottom w:val="single" w:sz="6" w:space="0" w:color="702076"/>
            </w:tcBorders>
            <w:tcMar>
              <w:bottom w:w="28" w:type="dxa"/>
            </w:tcMar>
            <w:vAlign w:val="center"/>
          </w:tcPr>
          <w:p>
            <w:pPr>
              <w:pStyle w:val="TableContents"/>
              <w:bidi w:val="0"/>
              <w:spacing w:before="0" w:after="283"/>
              <w:jc w:val="righ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right"/>
              <w:rPr/>
            </w:pPr>
            <w:r>
              <w:rPr/>
              <w:t>​</w:t>
            </w:r>
          </w:p>
        </w:tc>
        <w:tc>
          <w:tcPr>
            <w:tcW w:w="1013" w:type="dxa"/>
            <w:tcBorders>
              <w:bottom w:val="single" w:sz="6" w:space="0" w:color="702076"/>
            </w:tcBorders>
            <w:tcMar>
              <w:bottom w:w="28" w:type="dxa"/>
            </w:tcMar>
            <w:vAlign w:val="center"/>
          </w:tcPr>
          <w:p>
            <w:pPr>
              <w:pStyle w:val="TableContents"/>
              <w:bidi w:val="0"/>
              <w:spacing w:before="0" w:after="283"/>
              <w:jc w:val="right"/>
              <w:rPr/>
            </w:pPr>
            <w:r>
              <w:rPr/>
              <w:t>​</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0"/>
              <w:jc w:val="right"/>
              <w:rPr/>
            </w:pPr>
            <w:r>
              <w:rPr/>
              <w:t>​</w:t>
            </w:r>
          </w:p>
        </w:tc>
        <w:tc>
          <w:tcPr>
            <w:tcW w:w="935" w:type="dxa"/>
            <w:tcBorders>
              <w:bottom w:val="single" w:sz="6" w:space="0" w:color="702076"/>
            </w:tcBorders>
            <w:tcMar>
              <w:bottom w:w="51" w:type="dxa"/>
            </w:tcMar>
            <w:vAlign w:val="center"/>
          </w:tcPr>
          <w:p>
            <w:pPr>
              <w:pStyle w:val="TableContents"/>
              <w:bidi w:val="0"/>
              <w:spacing w:before="0" w:after="0"/>
              <w:jc w:val="right"/>
              <w:rPr>
                <w:rFonts w:ascii="Arial Narrow;Arial;Tahoma;Geneva;sans-serif" w:hAnsi="Arial Narrow;Arial;Tahoma;Geneva;sans-serif"/>
                <w:b/>
              </w:rPr>
            </w:pPr>
            <w:r>
              <w:rPr>
                <w:rFonts w:ascii="Arial Narrow;Arial;Tahoma;Geneva;sans-serif" w:hAnsi="Arial Narrow;Arial;Tahoma;Geneva;sans-serif"/>
                <w:b/>
              </w:rPr>
              <w:t xml:space="preserve">FPF </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139.4%</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FF5B34" w:val="clear"/>
            <w:tcMar>
              <w:bottom w:w="28" w:type="dxa"/>
            </w:tcMar>
            <w:vAlign w:val="center"/>
          </w:tcPr>
          <w:p>
            <w:pPr>
              <w:pStyle w:val="TableContents"/>
              <w:bidi w:val="0"/>
              <w:spacing w:before="0" w:after="283"/>
              <w:jc w:val="left"/>
              <w:rPr/>
            </w:pPr>
            <w:r>
              <w:rPr/>
              <w:t>​</w:t>
            </w:r>
          </w:p>
        </w:tc>
        <w:tc>
          <w:tcPr>
            <w:tcW w:w="8523" w:type="dxa"/>
            <w:gridSpan w:val="36"/>
            <w:tcBorders>
              <w:bottom w:val="single" w:sz="6" w:space="0" w:color="702076"/>
            </w:tcBorders>
            <w:shd w:fill="FF5B34" w:val="clear"/>
            <w:tcMar>
              <w:bottom w:w="95" w:type="dxa"/>
            </w:tcMar>
            <w:vAlign w:val="center"/>
          </w:tcPr>
          <w:p>
            <w:pPr>
              <w:pStyle w:val="TableContents"/>
              <w:bidi w:val="0"/>
              <w:spacing w:before="0" w:after="0"/>
              <w:jc w:val="center"/>
              <w:rPr/>
            </w:pPr>
            <w:r>
              <w:rPr>
                <w:spacing w:val="13"/>
              </w:rPr>
              <w:t>Cardiopulmonary Business Unit Objective</w:t>
            </w:r>
            <w:r>
              <w:rPr>
                <w:color w:val="000000"/>
              </w:rPr>
              <w:t>​</w:t>
            </w:r>
            <w:r>
              <w:rPr/>
              <w:t xml:space="preserve"> </w:t>
            </w:r>
          </w:p>
        </w:tc>
        <w:tc>
          <w:tcPr>
            <w:tcW w:w="109" w:type="dxa"/>
            <w:tcBorders>
              <w:bottom w:val="single" w:sz="6" w:space="0" w:color="702076"/>
            </w:tcBorders>
            <w:shd w:fill="FF5B34" w:val="clear"/>
            <w:tcMar>
              <w:bottom w:w="28" w:type="dxa"/>
            </w:tcMar>
            <w:vAlign w:val="center"/>
          </w:tcPr>
          <w:p>
            <w:pPr>
              <w:pStyle w:val="TableContents"/>
              <w:bidi w:val="0"/>
              <w:spacing w:before="0" w:after="283"/>
              <w:jc w:val="left"/>
              <w:rPr/>
            </w:pPr>
            <w:r>
              <w:rPr/>
              <w:t>​</w:t>
            </w:r>
          </w:p>
        </w:tc>
        <w:tc>
          <w:tcPr>
            <w:tcW w:w="167" w:type="dxa"/>
            <w:tcBorders/>
            <w:shd w:fill="FF5B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826" w:type="dxa"/>
            <w:gridSpan w:val="4"/>
            <w:tcBorders>
              <w:bottom w:val="single" w:sz="6" w:space="0" w:color="702076"/>
            </w:tcBorders>
            <w:shd w:fill="702076" w:val="clear"/>
            <w:tcMar>
              <w:bottom w:w="51" w:type="dxa"/>
            </w:tcMar>
            <w:vAlign w:val="center"/>
          </w:tcPr>
          <w:p>
            <w:pPr>
              <w:pStyle w:val="TableContents"/>
              <w:bidi w:val="0"/>
              <w:spacing w:before="0" w:after="0"/>
              <w:jc w:val="center"/>
              <w:rPr>
                <w:spacing w:val="2"/>
              </w:rPr>
            </w:pPr>
            <w:r>
              <w:rPr>
                <w:spacing w:val="2"/>
              </w:rPr>
              <w:t xml:space="preserve">Weight (%) </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159" w:type="dxa"/>
            <w:gridSpan w:val="4"/>
            <w:tcBorders>
              <w:bottom w:val="single" w:sz="6" w:space="0" w:color="702076"/>
            </w:tcBorders>
            <w:shd w:fill="702076" w:val="clear"/>
            <w:tcMar>
              <w:bottom w:w="51" w:type="dxa"/>
            </w:tcMar>
            <w:vAlign w:val="center"/>
          </w:tcPr>
          <w:p>
            <w:pPr>
              <w:pStyle w:val="TableContents"/>
              <w:bidi w:val="0"/>
              <w:spacing w:before="0" w:after="0"/>
              <w:jc w:val="center"/>
              <w:rPr>
                <w:spacing w:val="2"/>
              </w:rPr>
            </w:pPr>
            <w:r>
              <w:rPr>
                <w:spacing w:val="2"/>
              </w:rPr>
              <w:t xml:space="preserve">Target ($M) </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413" w:type="dxa"/>
            <w:gridSpan w:val="4"/>
            <w:tcBorders>
              <w:bottom w:val="single" w:sz="6" w:space="0" w:color="702076"/>
            </w:tcBorders>
            <w:shd w:fill="702076" w:val="clear"/>
            <w:tcMar>
              <w:bottom w:w="51" w:type="dxa"/>
            </w:tcMar>
            <w:vAlign w:val="center"/>
          </w:tcPr>
          <w:p>
            <w:pPr>
              <w:pStyle w:val="TableContents"/>
              <w:bidi w:val="0"/>
              <w:spacing w:before="0" w:after="0"/>
              <w:jc w:val="center"/>
              <w:rPr>
                <w:spacing w:val="2"/>
              </w:rPr>
            </w:pPr>
            <w:r>
              <w:rPr>
                <w:spacing w:val="2"/>
              </w:rPr>
              <w:t xml:space="preserve">Achievement ($M) </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407" w:type="dxa"/>
            <w:gridSpan w:val="4"/>
            <w:tcBorders>
              <w:bottom w:val="single" w:sz="6" w:space="0" w:color="702076"/>
            </w:tcBorders>
            <w:shd w:fill="702076" w:val="clear"/>
            <w:tcMar>
              <w:bottom w:w="51" w:type="dxa"/>
            </w:tcMar>
            <w:vAlign w:val="center"/>
          </w:tcPr>
          <w:p>
            <w:pPr>
              <w:pStyle w:val="TableContents"/>
              <w:bidi w:val="0"/>
              <w:spacing w:before="0" w:after="0"/>
              <w:jc w:val="center"/>
              <w:rPr>
                <w:spacing w:val="2"/>
              </w:rPr>
            </w:pPr>
            <w:r>
              <w:rPr>
                <w:spacing w:val="2"/>
              </w:rPr>
              <w:t xml:space="preserve">Achievement (%) </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48" w:type="dxa"/>
            <w:gridSpan w:val="4"/>
            <w:tcBorders>
              <w:bottom w:val="single" w:sz="6" w:space="0" w:color="702076"/>
            </w:tcBorders>
            <w:shd w:fill="702076" w:val="clear"/>
            <w:tcMar>
              <w:bottom w:w="51" w:type="dxa"/>
            </w:tcMar>
            <w:vAlign w:val="center"/>
          </w:tcPr>
          <w:p>
            <w:pPr>
              <w:pStyle w:val="TableContents"/>
              <w:bidi w:val="0"/>
              <w:spacing w:before="0" w:after="0"/>
              <w:jc w:val="center"/>
              <w:rPr/>
            </w:pPr>
            <w:r>
              <w:rPr>
                <w:spacing w:val="2"/>
              </w:rPr>
              <w:t>Financial Payout (%)</w:t>
            </w:r>
            <w:r>
              <w:rPr/>
              <w:t xml:space="preserve"> </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67"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Net Sales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425" w:type="dxa"/>
            <w:tcBorders>
              <w:bottom w:val="single" w:sz="6" w:space="0" w:color="702076"/>
            </w:tcBorders>
            <w:tcMar>
              <w:bottom w:w="51" w:type="dxa"/>
            </w:tcMar>
            <w:vAlign w:val="center"/>
          </w:tcPr>
          <w:p>
            <w:pPr>
              <w:pStyle w:val="TableContents"/>
              <w:bidi w:val="0"/>
              <w:spacing w:before="0" w:after="283"/>
              <w:jc w:val="right"/>
              <w:rPr/>
            </w:pPr>
            <w:r>
              <w:rPr/>
              <w:t>50</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32" w:type="dxa"/>
            <w:tcBorders>
              <w:bottom w:val="single" w:sz="6" w:space="0" w:color="702076"/>
            </w:tcBorders>
            <w:tcMar>
              <w:bottom w:w="51" w:type="dxa"/>
            </w:tcMar>
            <w:vAlign w:val="center"/>
          </w:tcPr>
          <w:p>
            <w:pPr>
              <w:pStyle w:val="TableContents"/>
              <w:bidi w:val="0"/>
              <w:spacing w:before="0" w:after="283"/>
              <w:jc w:val="right"/>
              <w:rPr/>
            </w:pPr>
            <w:r>
              <w:rPr/>
              <w:t>648.9</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1013" w:type="dxa"/>
            <w:tcBorders>
              <w:bottom w:val="single" w:sz="6" w:space="0" w:color="702076"/>
            </w:tcBorders>
            <w:tcMar>
              <w:bottom w:w="51" w:type="dxa"/>
            </w:tcMar>
            <w:vAlign w:val="center"/>
          </w:tcPr>
          <w:p>
            <w:pPr>
              <w:pStyle w:val="TableContents"/>
              <w:bidi w:val="0"/>
              <w:spacing w:before="0" w:after="283"/>
              <w:jc w:val="right"/>
              <w:rPr/>
            </w:pPr>
            <w:r>
              <w:rPr/>
              <w:t>694.0</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283"/>
              <w:jc w:val="right"/>
              <w:rPr/>
            </w:pPr>
            <w:r>
              <w:rPr/>
              <w:t>​</w:t>
            </w:r>
          </w:p>
        </w:tc>
        <w:tc>
          <w:tcPr>
            <w:tcW w:w="935" w:type="dxa"/>
            <w:tcBorders>
              <w:bottom w:val="single" w:sz="6" w:space="0" w:color="702076"/>
            </w:tcBorders>
            <w:tcMar>
              <w:bottom w:w="51" w:type="dxa"/>
            </w:tcMar>
            <w:vAlign w:val="center"/>
          </w:tcPr>
          <w:p>
            <w:pPr>
              <w:pStyle w:val="TableContents"/>
              <w:bidi w:val="0"/>
              <w:spacing w:before="0" w:after="283"/>
              <w:jc w:val="right"/>
              <w:rPr/>
            </w:pPr>
            <w:r>
              <w:rPr/>
              <w:t>106.9</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149.6%</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Adjusted Op. Income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425" w:type="dxa"/>
            <w:tcBorders>
              <w:bottom w:val="single" w:sz="6" w:space="0" w:color="702076"/>
            </w:tcBorders>
            <w:tcMar>
              <w:bottom w:w="51" w:type="dxa"/>
            </w:tcMar>
            <w:vAlign w:val="center"/>
          </w:tcPr>
          <w:p>
            <w:pPr>
              <w:pStyle w:val="TableContents"/>
              <w:bidi w:val="0"/>
              <w:spacing w:before="0" w:after="283"/>
              <w:jc w:val="right"/>
              <w:rPr/>
            </w:pPr>
            <w:r>
              <w:rPr/>
              <w:t>50</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32" w:type="dxa"/>
            <w:tcBorders>
              <w:bottom w:val="single" w:sz="6" w:space="0" w:color="702076"/>
            </w:tcBorders>
            <w:tcMar>
              <w:bottom w:w="51" w:type="dxa"/>
            </w:tcMar>
            <w:vAlign w:val="center"/>
          </w:tcPr>
          <w:p>
            <w:pPr>
              <w:pStyle w:val="TableContents"/>
              <w:bidi w:val="0"/>
              <w:spacing w:before="0" w:after="283"/>
              <w:jc w:val="right"/>
              <w:rPr/>
            </w:pPr>
            <w:r>
              <w:rPr/>
              <w:t>100.8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1013" w:type="dxa"/>
            <w:tcBorders>
              <w:bottom w:val="single" w:sz="6" w:space="0" w:color="702076"/>
            </w:tcBorders>
            <w:tcMar>
              <w:bottom w:w="51" w:type="dxa"/>
            </w:tcMar>
            <w:vAlign w:val="center"/>
          </w:tcPr>
          <w:p>
            <w:pPr>
              <w:pStyle w:val="TableContents"/>
              <w:bidi w:val="0"/>
              <w:spacing w:before="0" w:after="283"/>
              <w:jc w:val="right"/>
              <w:rPr/>
            </w:pPr>
            <w:r>
              <w:rPr/>
              <w:t>117.2</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283"/>
              <w:jc w:val="right"/>
              <w:rPr/>
            </w:pPr>
            <w:r>
              <w:rPr/>
              <w:t>​</w:t>
            </w:r>
          </w:p>
        </w:tc>
        <w:tc>
          <w:tcPr>
            <w:tcW w:w="935" w:type="dxa"/>
            <w:tcBorders>
              <w:bottom w:val="single" w:sz="6" w:space="0" w:color="702076"/>
            </w:tcBorders>
            <w:tcMar>
              <w:bottom w:w="51" w:type="dxa"/>
            </w:tcMar>
            <w:vAlign w:val="center"/>
          </w:tcPr>
          <w:p>
            <w:pPr>
              <w:pStyle w:val="TableContents"/>
              <w:bidi w:val="0"/>
              <w:spacing w:before="0" w:after="283"/>
              <w:jc w:val="right"/>
              <w:rPr/>
            </w:pPr>
            <w:r>
              <w:rPr/>
              <w:t>116.2</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150.0%</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35" w:type="dxa"/>
            <w:tcBorders>
              <w:bottom w:val="single" w:sz="6" w:space="0" w:color="702076"/>
            </w:tcBorders>
            <w:tcMar>
              <w:bottom w:w="51"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425" w:type="dxa"/>
            <w:tcBorders>
              <w:bottom w:val="single" w:sz="6" w:space="0" w:color="702076"/>
            </w:tcBorders>
            <w:tcMar>
              <w:bottom w:w="51" w:type="dxa"/>
            </w:tcMar>
            <w:vAlign w:val="center"/>
          </w:tcPr>
          <w:p>
            <w:pPr>
              <w:pStyle w:val="TableContents"/>
              <w:bidi w:val="0"/>
              <w:spacing w:before="0" w:after="283"/>
              <w:jc w:val="right"/>
              <w:rPr/>
            </w:pPr>
            <w:r>
              <w:rPr/>
              <w:t>​</w:t>
            </w:r>
          </w:p>
        </w:tc>
        <w:tc>
          <w:tcPr>
            <w:tcW w:w="135"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32" w:type="dxa"/>
            <w:tcBorders>
              <w:bottom w:val="single" w:sz="6" w:space="0" w:color="702076"/>
            </w:tcBorders>
            <w:tcMar>
              <w:bottom w:w="51" w:type="dxa"/>
            </w:tcMar>
            <w:vAlign w:val="center"/>
          </w:tcPr>
          <w:p>
            <w:pPr>
              <w:pStyle w:val="TableContents"/>
              <w:bidi w:val="0"/>
              <w:spacing w:before="0" w:after="283"/>
              <w:jc w:val="righ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51" w:type="dxa"/>
            </w:tcMar>
            <w:vAlign w:val="center"/>
          </w:tcPr>
          <w:p>
            <w:pPr>
              <w:pStyle w:val="TableContents"/>
              <w:bidi w:val="0"/>
              <w:spacing w:before="0" w:after="283"/>
              <w:jc w:val="right"/>
              <w:rPr/>
            </w:pPr>
            <w:r>
              <w:rPr/>
              <w:t>​</w:t>
            </w:r>
          </w:p>
        </w:tc>
        <w:tc>
          <w:tcPr>
            <w:tcW w:w="1013" w:type="dxa"/>
            <w:tcBorders>
              <w:bottom w:val="single" w:sz="6" w:space="0" w:color="702076"/>
            </w:tcBorders>
            <w:tcMar>
              <w:bottom w:w="51" w:type="dxa"/>
            </w:tcMar>
            <w:vAlign w:val="center"/>
          </w:tcPr>
          <w:p>
            <w:pPr>
              <w:pStyle w:val="TableContents"/>
              <w:bidi w:val="0"/>
              <w:spacing w:before="0" w:after="283"/>
              <w:jc w:val="right"/>
              <w:rPr/>
            </w:pPr>
            <w:r>
              <w:rPr/>
              <w:t>​</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51" w:type="dxa"/>
            </w:tcMar>
            <w:vAlign w:val="center"/>
          </w:tcPr>
          <w:p>
            <w:pPr>
              <w:pStyle w:val="TableContents"/>
              <w:bidi w:val="0"/>
              <w:spacing w:before="0" w:after="0"/>
              <w:jc w:val="right"/>
              <w:rPr/>
            </w:pPr>
            <w:r>
              <w:rPr/>
              <w:t>​</w:t>
            </w:r>
          </w:p>
        </w:tc>
        <w:tc>
          <w:tcPr>
            <w:tcW w:w="935" w:type="dxa"/>
            <w:tcBorders>
              <w:bottom w:val="single" w:sz="6" w:space="0" w:color="702076"/>
            </w:tcBorders>
            <w:tcMar>
              <w:bottom w:w="51" w:type="dxa"/>
            </w:tcMar>
            <w:vAlign w:val="center"/>
          </w:tcPr>
          <w:p>
            <w:pPr>
              <w:pStyle w:val="TableContents"/>
              <w:bidi w:val="0"/>
              <w:spacing w:before="0" w:after="0"/>
              <w:jc w:val="right"/>
              <w:rPr>
                <w:rFonts w:ascii="Arial Narrow;Arial;Tahoma;Geneva;sans-serif" w:hAnsi="Arial Narrow;Arial;Tahoma;Geneva;sans-serif"/>
                <w:b/>
              </w:rPr>
            </w:pPr>
            <w:r>
              <w:rPr>
                <w:rFonts w:ascii="Arial Narrow;Arial;Tahoma;Geneva;sans-serif" w:hAnsi="Arial Narrow;Arial;Tahoma;Geneva;sans-serif"/>
                <w:b/>
              </w:rPr>
              <w:t xml:space="preserve">FPF </w:t>
            </w:r>
          </w:p>
        </w:tc>
        <w:tc>
          <w:tcPr>
            <w:tcW w:w="15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51" w:type="dxa"/>
            </w:tcMar>
            <w:vAlign w:val="center"/>
          </w:tcPr>
          <w:p>
            <w:pPr>
              <w:pStyle w:val="TableContents"/>
              <w:bidi w:val="0"/>
              <w:spacing w:before="0" w:after="283"/>
              <w:jc w:val="right"/>
              <w:rPr/>
            </w:pPr>
            <w:r>
              <w:rPr/>
              <w:t>​</w:t>
            </w:r>
          </w:p>
        </w:tc>
        <w:tc>
          <w:tcPr>
            <w:tcW w:w="709" w:type="dxa"/>
            <w:tcBorders>
              <w:bottom w:val="single" w:sz="6" w:space="0" w:color="702076"/>
            </w:tcBorders>
            <w:tcMar>
              <w:bottom w:w="51" w:type="dxa"/>
            </w:tcMar>
            <w:vAlign w:val="center"/>
          </w:tcPr>
          <w:p>
            <w:pPr>
              <w:pStyle w:val="TableContents"/>
              <w:bidi w:val="0"/>
              <w:spacing w:before="0" w:after="283"/>
              <w:jc w:val="right"/>
              <w:rPr/>
            </w:pPr>
            <w:r>
              <w:rPr/>
              <w:t>149.8%</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100"/>
        <w:gridCol w:w="109"/>
        <w:gridCol w:w="109"/>
        <w:gridCol w:w="109"/>
        <w:gridCol w:w="863"/>
        <w:gridCol w:w="109"/>
        <w:gridCol w:w="109"/>
        <w:gridCol w:w="109"/>
        <w:gridCol w:w="1840"/>
        <w:gridCol w:w="109"/>
        <w:gridCol w:w="109"/>
        <w:gridCol w:w="109"/>
        <w:gridCol w:w="1477"/>
        <w:gridCol w:w="109"/>
        <w:gridCol w:w="109"/>
        <w:gridCol w:w="109"/>
        <w:gridCol w:w="1946"/>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100" w:type="dxa"/>
            <w:tcBorders>
              <w:bottom w:val="single" w:sz="2" w:space="0" w:color="000000"/>
            </w:tcBorders>
            <w:shd w:fill="702076" w:val="clear"/>
            <w:tcMar>
              <w:bottom w:w="28" w:type="dxa"/>
            </w:tcMar>
            <w:vAlign w:val="center"/>
          </w:tcPr>
          <w:p>
            <w:pPr>
              <w:pStyle w:val="TableContents"/>
              <w:bidi w:val="0"/>
              <w:spacing w:before="0" w:after="0"/>
              <w:jc w:val="center"/>
              <w:rPr>
                <w:spacing w:val="11"/>
              </w:rPr>
            </w:pPr>
            <w:r>
              <w:rPr>
                <w:spacing w:val="11"/>
              </w:rPr>
              <w:t xml:space="preserve">Business </w:t>
              <w:br/>
              <w:t xml:space="preserve">Area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863" w:type="dxa"/>
            <w:tcBorders>
              <w:bottom w:val="single" w:sz="2" w:space="0" w:color="000000"/>
            </w:tcBorders>
            <w:shd w:fill="702076" w:val="clear"/>
            <w:tcMar>
              <w:bottom w:w="28" w:type="dxa"/>
            </w:tcMar>
            <w:vAlign w:val="center"/>
          </w:tcPr>
          <w:p>
            <w:pPr>
              <w:pStyle w:val="TableContents"/>
              <w:bidi w:val="0"/>
              <w:spacing w:before="0" w:after="0"/>
              <w:jc w:val="center"/>
              <w:rPr>
                <w:spacing w:val="11"/>
              </w:rPr>
            </w:pPr>
            <w:r>
              <w:rPr>
                <w:spacing w:val="11"/>
              </w:rPr>
              <w:t xml:space="preserve">Weight (%)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840" w:type="dxa"/>
            <w:tcBorders>
              <w:bottom w:val="single" w:sz="2" w:space="0" w:color="000000"/>
            </w:tcBorders>
            <w:shd w:fill="702076" w:val="clear"/>
            <w:tcMar>
              <w:bottom w:w="28" w:type="dxa"/>
            </w:tcMar>
            <w:vAlign w:val="center"/>
          </w:tcPr>
          <w:p>
            <w:pPr>
              <w:pStyle w:val="TableContents"/>
              <w:bidi w:val="0"/>
              <w:spacing w:before="0" w:after="0"/>
              <w:jc w:val="center"/>
              <w:rPr>
                <w:spacing w:val="11"/>
              </w:rPr>
            </w:pPr>
            <w:r>
              <w:rPr>
                <w:spacing w:val="11"/>
              </w:rPr>
              <w:t xml:space="preserve">Description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77" w:type="dxa"/>
            <w:tcBorders>
              <w:bottom w:val="single" w:sz="2" w:space="0" w:color="000000"/>
            </w:tcBorders>
            <w:shd w:fill="702076" w:val="clear"/>
            <w:tcMar>
              <w:bottom w:w="28" w:type="dxa"/>
            </w:tcMar>
            <w:vAlign w:val="center"/>
          </w:tcPr>
          <w:p>
            <w:pPr>
              <w:pStyle w:val="TableContents"/>
              <w:bidi w:val="0"/>
              <w:spacing w:before="0" w:after="0"/>
              <w:jc w:val="center"/>
              <w:rPr>
                <w:spacing w:val="11"/>
              </w:rPr>
            </w:pPr>
            <w:r>
              <w:rPr>
                <w:spacing w:val="11"/>
              </w:rPr>
              <w:t xml:space="preserve">Achievement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946" w:type="dxa"/>
            <w:tcBorders>
              <w:bottom w:val="single" w:sz="2" w:space="0" w:color="000000"/>
            </w:tcBorders>
            <w:shd w:fill="702076" w:val="clear"/>
            <w:tcMar>
              <w:bottom w:w="28" w:type="dxa"/>
            </w:tcMar>
            <w:vAlign w:val="center"/>
          </w:tcPr>
          <w:p>
            <w:pPr>
              <w:pStyle w:val="TableContents"/>
              <w:bidi w:val="0"/>
              <w:spacing w:before="0" w:after="0"/>
              <w:jc w:val="center"/>
              <w:rPr/>
            </w:pPr>
            <w:r>
              <w:rPr>
                <w:spacing w:val="11"/>
              </w:rPr>
              <w:t>Achievement description</w:t>
            </w:r>
            <w:r>
              <w:rPr/>
              <w:t xml:space="preserve">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100"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DTD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Unipolar primary and secondary endpoint table of results delivered by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Unipolar primary and secondary endpoint table of results delivered ahead of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10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Randomize additional target number of patients for Bipolar cohort in the RECOVER study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Partially </w:t>
              <w:br/>
              <w:t xml:space="preserve">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Target number of additional Bipolar patients was partially 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100"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Epilepsy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Target% of New Patient Implants (“NPIs”) growth year-over-year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Overachieved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Target % year-over-year growth in NPIs was overachieved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10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Launch partnership care program in a target number of sites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Overachieved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Partnership care program was launched in a higher number of sites compared to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10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Two key milestones in R&amp;D to be completed by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Partially </w:t>
              <w:br/>
              <w:t xml:space="preserve">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Milestones were partially achieved by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100"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CP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Two major capacity enhancement initiatives completed by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Partially </w:t>
              <w:br/>
              <w:t xml:space="preserve">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One of the initiatives was successfully completed, while the second one was partially 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10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Software release by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Partially </w:t>
              <w:br/>
              <w:t xml:space="preserve">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Software was launched with a moderate delay versus target date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Capability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40" w:type="dxa"/>
            <w:tcBorders>
              <w:bottom w:val="single" w:sz="6" w:space="0" w:color="000000"/>
            </w:tcBorders>
            <w:tcMar>
              <w:bottom w:w="40" w:type="dxa"/>
            </w:tcMar>
            <w:vAlign w:val="center"/>
          </w:tcPr>
          <w:p>
            <w:pPr>
              <w:pStyle w:val="TableContents"/>
              <w:bidi w:val="0"/>
              <w:spacing w:before="0" w:after="0"/>
              <w:jc w:val="left"/>
              <w:rPr>
                <w:spacing w:val="2"/>
              </w:rPr>
            </w:pPr>
            <w:r>
              <w:rPr>
                <w:spacing w:val="2"/>
              </w:rPr>
              <w:t xml:space="preserve">Five System Capability objectives related to the implementation of an IT and cybersecurity infrastructure system enhancements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Overachieved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46" w:type="dxa"/>
            <w:tcBorders>
              <w:bottom w:val="single" w:sz="6" w:space="0" w:color="000000"/>
            </w:tcBorders>
            <w:tcMar>
              <w:bottom w:w="28" w:type="dxa"/>
            </w:tcMar>
            <w:vAlign w:val="center"/>
          </w:tcPr>
          <w:p>
            <w:pPr>
              <w:pStyle w:val="TableContents"/>
              <w:bidi w:val="0"/>
              <w:spacing w:before="0" w:after="0"/>
              <w:jc w:val="left"/>
              <w:rPr/>
            </w:pPr>
            <w:r>
              <w:rPr>
                <w:spacing w:val="2"/>
              </w:rPr>
              <w:t>All objectives achieved ahead of the expected timelines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18"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u w:val="single"/>
        </w:rPr>
        <w:t>STIP Payout</w:t>
      </w:r>
      <w:r>
        <w:rPr>
          <w:rFonts w:ascii="Arial Narrow;Arial;Tahoma;Geneva;sans-serif" w:hAnsi="Arial Narrow;Arial;Tahoma;Geneva;sans-serif"/>
          <w:b/>
          <w:i w:val="false"/>
          <w:caps w:val="false"/>
          <w:smallCaps w:val="false"/>
          <w:color w:val="702076"/>
          <w:spacing w:val="11"/>
          <w:sz w:val="20"/>
        </w:rPr>
        <w: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the level of achievement of the 2024 non-financial objectives and considering both quantitative and qualitative factors, the CHCM Committee determined a NFG Modifier of 90%. Combined with LivaNova’s 2024 STIP financial objective achievement of 139.4%, the STIP produced a payout of 125.4% of target for all of the eligible NEOs, except for Mr. Poletti whose financial objective achievement was 149.8% which resulted in a payout of 132.0% of target.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1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09" descr=""/>
                          <pic:cNvPicPr>
                            <a:picLocks noChangeAspect="1" noChangeArrowheads="1"/>
                          </pic:cNvPicPr>
                        </pic:nvPicPr>
                        <pic:blipFill>
                          <a:blip r:embed="rId110"/>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0" descr=""/>
                    <pic:cNvPicPr>
                      <a:picLocks noChangeAspect="1" noChangeArrowheads="1"/>
                    </pic:cNvPicPr>
                  </pic:nvPicPr>
                  <pic:blipFill>
                    <a:blip r:embed="rId11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218"/>
        <w:gridCol w:w="149"/>
        <w:gridCol w:w="149"/>
        <w:gridCol w:w="149"/>
        <w:gridCol w:w="149"/>
        <w:gridCol w:w="149"/>
        <w:gridCol w:w="1221"/>
        <w:gridCol w:w="149"/>
        <w:gridCol w:w="149"/>
        <w:gridCol w:w="149"/>
        <w:gridCol w:w="149"/>
        <w:gridCol w:w="154"/>
        <w:gridCol w:w="154"/>
        <w:gridCol w:w="918"/>
        <w:gridCol w:w="154"/>
        <w:gridCol w:w="149"/>
        <w:gridCol w:w="149"/>
        <w:gridCol w:w="149"/>
        <w:gridCol w:w="149"/>
        <w:gridCol w:w="149"/>
        <w:gridCol w:w="1468"/>
        <w:gridCol w:w="149"/>
        <w:gridCol w:w="109"/>
        <w:gridCol w:w="168"/>
      </w:tblGrid>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522" w:type="dxa"/>
            <w:gridSpan w:val="22"/>
            <w:tcBorders/>
            <w:shd w:fill="CCCCCC" w:val="clear"/>
            <w:vAlign w:val="center"/>
          </w:tcPr>
          <w:p>
            <w:pPr>
              <w:pStyle w:val="TableContents"/>
              <w:bidi w:val="0"/>
              <w:spacing w:lineRule="atLeast" w:line="220" w:before="0" w:after="0"/>
              <w:jc w:val="center"/>
              <w:rPr/>
            </w:pPr>
            <w:r>
              <w:rPr>
                <w:spacing w:val="2"/>
              </w:rPr>
              <w:t xml:space="preserve">The following table shows the target bonus amount, payout % (“BPF”), </w:t>
              <w:br/>
              <w:t>and amount paid to each eligible NEO under the 2024 STIP:</w:t>
            </w:r>
            <w:r>
              <w:rPr/>
              <w:t xml:space="preserve"> </w:t>
            </w:r>
          </w:p>
        </w:tc>
        <w:tc>
          <w:tcPr>
            <w:tcW w:w="109" w:type="dxa"/>
            <w:tcBorders/>
            <w:shd w:fill="CCCCCC" w:val="clear"/>
            <w:vAlign w:val="center"/>
          </w:tcPr>
          <w:p>
            <w:pPr>
              <w:pStyle w:val="TableContents"/>
              <w:bidi w:val="0"/>
              <w:spacing w:before="0" w:after="283"/>
              <w:jc w:val="left"/>
              <w:rPr/>
            </w:pPr>
            <w:r>
              <w:rPr/>
              <w:t>​</w:t>
            </w:r>
          </w:p>
        </w:tc>
        <w:tc>
          <w:tcPr>
            <w:tcW w:w="168"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218"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668" w:type="dxa"/>
            <w:gridSpan w:val="4"/>
            <w:tcBorders/>
            <w:shd w:fill="702076" w:val="clear"/>
            <w:vAlign w:val="center"/>
          </w:tcPr>
          <w:p>
            <w:pPr>
              <w:pStyle w:val="TableContents"/>
              <w:bidi w:val="0"/>
              <w:spacing w:lineRule="atLeast" w:line="142" w:before="0" w:after="0"/>
              <w:jc w:val="center"/>
              <w:rPr/>
            </w:pPr>
            <w:r>
              <w:rPr>
                <w:spacing w:val="2"/>
              </w:rPr>
              <w:t>Target ($)</w:t>
            </w:r>
            <w:r>
              <w:rPr>
                <w:spacing w:val="1"/>
                <w:sz w:val="10"/>
              </w:rPr>
              <w:t>(1)</w:t>
            </w:r>
            <w:r>
              <w:rPr/>
              <w:t xml:space="preserve"> </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380" w:type="dxa"/>
            <w:gridSpan w:val="4"/>
            <w:tcBorders/>
            <w:shd w:fill="702076" w:val="clear"/>
            <w:vAlign w:val="center"/>
          </w:tcPr>
          <w:p>
            <w:pPr>
              <w:pStyle w:val="TableContents"/>
              <w:bidi w:val="0"/>
              <w:spacing w:before="0" w:after="0"/>
              <w:jc w:val="center"/>
              <w:rPr>
                <w:spacing w:val="2"/>
              </w:rPr>
            </w:pPr>
            <w:r>
              <w:rPr>
                <w:spacing w:val="2"/>
              </w:rPr>
              <w:t xml:space="preserve">Payout % </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49" w:type="dxa"/>
            <w:tcBorders/>
            <w:shd w:fill="702076" w:val="clear"/>
            <w:vAlign w:val="center"/>
          </w:tcPr>
          <w:p>
            <w:pPr>
              <w:pStyle w:val="TableContents"/>
              <w:bidi w:val="0"/>
              <w:spacing w:before="0" w:after="283"/>
              <w:jc w:val="left"/>
              <w:rPr/>
            </w:pPr>
            <w:r>
              <w:rPr/>
              <w:t>​</w:t>
            </w:r>
          </w:p>
        </w:tc>
        <w:tc>
          <w:tcPr>
            <w:tcW w:w="1915" w:type="dxa"/>
            <w:gridSpan w:val="4"/>
            <w:tcBorders/>
            <w:shd w:fill="702076" w:val="clear"/>
            <w:vAlign w:val="center"/>
          </w:tcPr>
          <w:p>
            <w:pPr>
              <w:pStyle w:val="TableContents"/>
              <w:bidi w:val="0"/>
              <w:spacing w:lineRule="atLeast" w:line="142" w:before="0" w:after="0"/>
              <w:jc w:val="center"/>
              <w:rPr/>
            </w:pPr>
            <w:r>
              <w:rPr>
                <w:spacing w:val="2"/>
              </w:rPr>
              <w:t>Payout ($)</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68"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tcMar>
              <w:bottom w:w="45" w:type="dxa"/>
            </w:tcMar>
            <w:vAlign w:val="center"/>
          </w:tcPr>
          <w:p>
            <w:pPr>
              <w:pStyle w:val="TableContents"/>
              <w:bidi w:val="0"/>
              <w:spacing w:lineRule="atLeast" w:line="142" w:before="0" w:after="0"/>
              <w:jc w:val="left"/>
              <w:rPr/>
            </w:pPr>
            <w:r>
              <w:rPr>
                <w:spacing w:val="2"/>
              </w:rPr>
              <w:t>Vladimir Makatsaria</w:t>
            </w:r>
            <w:r>
              <w:rPr>
                <w:spacing w:val="2"/>
                <w:sz w:val="13"/>
              </w:rPr>
              <w:t>(2)</w:t>
            </w:r>
            <w:r>
              <w:rPr/>
              <w:t xml:space="preserve"> </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tcMar>
              <w:bottom w:w="45" w:type="dxa"/>
            </w:tcMar>
            <w:vAlign w:val="center"/>
          </w:tcPr>
          <w:p>
            <w:pPr>
              <w:pStyle w:val="TableContents"/>
              <w:bidi w:val="0"/>
              <w:spacing w:before="0" w:after="283"/>
              <w:jc w:val="right"/>
              <w:rPr/>
            </w:pPr>
            <w:r>
              <w:rPr/>
              <w:t>855,295</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tcMar>
              <w:bottom w:w="45" w:type="dxa"/>
            </w:tcMar>
            <w:vAlign w:val="center"/>
          </w:tcPr>
          <w:p>
            <w:pPr>
              <w:pStyle w:val="TableContents"/>
              <w:bidi w:val="0"/>
              <w:spacing w:before="0" w:after="283"/>
              <w:jc w:val="right"/>
              <w:rPr/>
            </w:pPr>
            <w:r>
              <w:rPr/>
              <w:t>125.4</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tcMar>
              <w:bottom w:w="45" w:type="dxa"/>
            </w:tcMar>
            <w:vAlign w:val="center"/>
          </w:tcPr>
          <w:p>
            <w:pPr>
              <w:pStyle w:val="TableContents"/>
              <w:bidi w:val="0"/>
              <w:spacing w:before="0" w:after="283"/>
              <w:jc w:val="right"/>
              <w:rPr/>
            </w:pPr>
            <w:r>
              <w:rPr/>
              <w:t>1,072,540</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shd w:fill="D8D8D8" w:val="clear"/>
            <w:tcMar>
              <w:bottom w:w="45" w:type="dxa"/>
            </w:tcMar>
            <w:vAlign w:val="center"/>
          </w:tcPr>
          <w:p>
            <w:pPr>
              <w:pStyle w:val="TableContents"/>
              <w:bidi w:val="0"/>
              <w:spacing w:lineRule="atLeast" w:line="142" w:before="0" w:after="0"/>
              <w:jc w:val="left"/>
              <w:rPr/>
            </w:pPr>
            <w:r>
              <w:rPr>
                <w:spacing w:val="2"/>
              </w:rPr>
              <w:t>William Kozy</w:t>
            </w:r>
            <w:r>
              <w:rPr>
                <w:spacing w:val="2"/>
                <w:sz w:val="13"/>
              </w:rPr>
              <w:t>(3)</w:t>
            </w:r>
            <w:r>
              <w:rPr/>
              <w:t xml:space="preserve"> </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shd w:fill="D8D8D8" w:val="clear"/>
            <w:tcMar>
              <w:bottom w:w="45" w:type="dxa"/>
            </w:tcMar>
            <w:vAlign w:val="center"/>
          </w:tcPr>
          <w:p>
            <w:pPr>
              <w:pStyle w:val="TableContents"/>
              <w:bidi w:val="0"/>
              <w:spacing w:before="0" w:after="283"/>
              <w:jc w:val="right"/>
              <w:rPr/>
            </w:pPr>
            <w:r>
              <w:rPr/>
              <w:t>175,820</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shd w:fill="D8D8D8" w:val="clear"/>
            <w:tcMar>
              <w:bottom w:w="45" w:type="dxa"/>
            </w:tcMar>
            <w:vAlign w:val="center"/>
          </w:tcPr>
          <w:p>
            <w:pPr>
              <w:pStyle w:val="TableContents"/>
              <w:bidi w:val="0"/>
              <w:spacing w:before="0" w:after="283"/>
              <w:jc w:val="right"/>
              <w:rPr/>
            </w:pPr>
            <w:r>
              <w:rPr/>
              <w:t>125.4</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shd w:fill="D8D8D8" w:val="clear"/>
            <w:tcMar>
              <w:bottom w:w="45" w:type="dxa"/>
            </w:tcMar>
            <w:vAlign w:val="center"/>
          </w:tcPr>
          <w:p>
            <w:pPr>
              <w:pStyle w:val="TableContents"/>
              <w:bidi w:val="0"/>
              <w:spacing w:before="0" w:after="283"/>
              <w:jc w:val="right"/>
              <w:rPr/>
            </w:pPr>
            <w:r>
              <w:rPr/>
              <w:t>220,478</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Alex Shvartsburg </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tcMar>
              <w:bottom w:w="45" w:type="dxa"/>
            </w:tcMar>
            <w:vAlign w:val="center"/>
          </w:tcPr>
          <w:p>
            <w:pPr>
              <w:pStyle w:val="TableContents"/>
              <w:bidi w:val="0"/>
              <w:spacing w:before="0" w:after="283"/>
              <w:jc w:val="right"/>
              <w:rPr/>
            </w:pPr>
            <w:r>
              <w:rPr/>
              <w:t>369,178</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tcMar>
              <w:bottom w:w="45" w:type="dxa"/>
            </w:tcMar>
            <w:vAlign w:val="center"/>
          </w:tcPr>
          <w:p>
            <w:pPr>
              <w:pStyle w:val="TableContents"/>
              <w:bidi w:val="0"/>
              <w:spacing w:before="0" w:after="283"/>
              <w:jc w:val="right"/>
              <w:rPr/>
            </w:pPr>
            <w:r>
              <w:rPr/>
              <w:t>125.4</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tcMar>
              <w:bottom w:w="45" w:type="dxa"/>
            </w:tcMar>
            <w:vAlign w:val="center"/>
          </w:tcPr>
          <w:p>
            <w:pPr>
              <w:pStyle w:val="TableContents"/>
              <w:bidi w:val="0"/>
              <w:spacing w:before="0" w:after="283"/>
              <w:jc w:val="right"/>
              <w:rPr/>
            </w:pPr>
            <w:r>
              <w:rPr/>
              <w:t>462,949</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shd w:fill="D8D8D8" w:val="clear"/>
            <w:tcMar>
              <w:bottom w:w="45" w:type="dxa"/>
            </w:tcMar>
            <w:vAlign w:val="center"/>
          </w:tcPr>
          <w:p>
            <w:pPr>
              <w:pStyle w:val="TableContents"/>
              <w:bidi w:val="0"/>
              <w:spacing w:lineRule="atLeast" w:line="142" w:before="0" w:after="0"/>
              <w:jc w:val="left"/>
              <w:rPr/>
            </w:pPr>
            <w:r>
              <w:rPr>
                <w:spacing w:val="2"/>
              </w:rPr>
              <w:t>Ahmet Tezel</w:t>
            </w:r>
            <w:r>
              <w:rPr>
                <w:spacing w:val="2"/>
                <w:sz w:val="13"/>
              </w:rPr>
              <w:t>(2)</w:t>
            </w:r>
            <w:r>
              <w:rPr/>
              <w:t xml:space="preserve"> </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shd w:fill="D8D8D8" w:val="clear"/>
            <w:tcMar>
              <w:bottom w:w="45" w:type="dxa"/>
            </w:tcMar>
            <w:vAlign w:val="center"/>
          </w:tcPr>
          <w:p>
            <w:pPr>
              <w:pStyle w:val="TableContents"/>
              <w:bidi w:val="0"/>
              <w:spacing w:before="0" w:after="283"/>
              <w:jc w:val="right"/>
              <w:rPr/>
            </w:pPr>
            <w:r>
              <w:rPr/>
              <w:t>227,589</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shd w:fill="D8D8D8" w:val="clear"/>
            <w:tcMar>
              <w:bottom w:w="45" w:type="dxa"/>
            </w:tcMar>
            <w:vAlign w:val="center"/>
          </w:tcPr>
          <w:p>
            <w:pPr>
              <w:pStyle w:val="TableContents"/>
              <w:bidi w:val="0"/>
              <w:spacing w:before="0" w:after="283"/>
              <w:jc w:val="right"/>
              <w:rPr/>
            </w:pPr>
            <w:r>
              <w:rPr/>
              <w:t>125.4</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shd w:fill="D8D8D8" w:val="clear"/>
            <w:tcMar>
              <w:bottom w:w="45" w:type="dxa"/>
            </w:tcMar>
            <w:vAlign w:val="center"/>
          </w:tcPr>
          <w:p>
            <w:pPr>
              <w:pStyle w:val="TableContents"/>
              <w:bidi w:val="0"/>
              <w:spacing w:before="0" w:after="283"/>
              <w:jc w:val="right"/>
              <w:rPr/>
            </w:pPr>
            <w:r>
              <w:rPr/>
              <w:t>285,397</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Michael Hutchinson </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tcMar>
              <w:bottom w:w="45" w:type="dxa"/>
            </w:tcMar>
            <w:vAlign w:val="center"/>
          </w:tcPr>
          <w:p>
            <w:pPr>
              <w:pStyle w:val="TableContents"/>
              <w:bidi w:val="0"/>
              <w:spacing w:before="0" w:after="283"/>
              <w:jc w:val="right"/>
              <w:rPr/>
            </w:pPr>
            <w:r>
              <w:rPr/>
              <w:t>340,204</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tcMar>
              <w:bottom w:w="45" w:type="dxa"/>
            </w:tcMar>
            <w:vAlign w:val="center"/>
          </w:tcPr>
          <w:p>
            <w:pPr>
              <w:pStyle w:val="TableContents"/>
              <w:bidi w:val="0"/>
              <w:spacing w:before="0" w:after="283"/>
              <w:jc w:val="right"/>
              <w:rPr/>
            </w:pPr>
            <w:r>
              <w:rPr/>
              <w:t>125.4</w:t>
            </w:r>
          </w:p>
        </w:tc>
        <w:tc>
          <w:tcPr>
            <w:tcW w:w="154"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tcMar>
              <w:bottom w:w="45" w:type="dxa"/>
            </w:tcMar>
            <w:vAlign w:val="center"/>
          </w:tcPr>
          <w:p>
            <w:pPr>
              <w:pStyle w:val="TableContents"/>
              <w:bidi w:val="0"/>
              <w:spacing w:before="0" w:after="283"/>
              <w:jc w:val="right"/>
              <w:rPr/>
            </w:pPr>
            <w:r>
              <w:rPr/>
              <w:t>426,616</w:t>
            </w:r>
          </w:p>
        </w:tc>
        <w:tc>
          <w:tcPr>
            <w:tcW w:w="14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218" w:type="dxa"/>
            <w:tcBorders>
              <w:bottom w:val="single" w:sz="6" w:space="0" w:color="702076"/>
            </w:tcBorders>
            <w:shd w:fill="D8D8D8" w:val="clear"/>
            <w:tcMar>
              <w:bottom w:w="45" w:type="dxa"/>
            </w:tcMar>
            <w:vAlign w:val="center"/>
          </w:tcPr>
          <w:p>
            <w:pPr>
              <w:pStyle w:val="TableContents"/>
              <w:bidi w:val="0"/>
              <w:spacing w:lineRule="atLeast" w:line="142" w:before="0" w:after="0"/>
              <w:jc w:val="left"/>
              <w:rPr/>
            </w:pPr>
            <w:r>
              <w:rPr>
                <w:spacing w:val="2"/>
              </w:rPr>
              <w:t>Franco Poletti</w:t>
            </w:r>
            <w:r>
              <w:rPr>
                <w:spacing w:val="2"/>
                <w:sz w:val="13"/>
              </w:rPr>
              <w:t>(4)</w:t>
            </w:r>
            <w:r>
              <w:rPr/>
              <w:t xml:space="preserve"> </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221" w:type="dxa"/>
            <w:tcBorders>
              <w:bottom w:val="single" w:sz="6" w:space="0" w:color="702076"/>
            </w:tcBorders>
            <w:shd w:fill="D8D8D8" w:val="clear"/>
            <w:tcMar>
              <w:bottom w:w="45" w:type="dxa"/>
            </w:tcMar>
            <w:vAlign w:val="center"/>
          </w:tcPr>
          <w:p>
            <w:pPr>
              <w:pStyle w:val="TableContents"/>
              <w:bidi w:val="0"/>
              <w:spacing w:before="0" w:after="283"/>
              <w:jc w:val="right"/>
              <w:rPr/>
            </w:pPr>
            <w:r>
              <w:rPr/>
              <w:t>323,404</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918" w:type="dxa"/>
            <w:tcBorders>
              <w:bottom w:val="single" w:sz="6" w:space="0" w:color="702076"/>
            </w:tcBorders>
            <w:shd w:fill="D8D8D8" w:val="clear"/>
            <w:tcMar>
              <w:bottom w:w="45" w:type="dxa"/>
            </w:tcMar>
            <w:vAlign w:val="center"/>
          </w:tcPr>
          <w:p>
            <w:pPr>
              <w:pStyle w:val="TableContents"/>
              <w:bidi w:val="0"/>
              <w:spacing w:before="0" w:after="283"/>
              <w:jc w:val="right"/>
              <w:rPr/>
            </w:pPr>
            <w:r>
              <w:rPr/>
              <w:t>132.0</w:t>
            </w:r>
          </w:p>
        </w:tc>
        <w:tc>
          <w:tcPr>
            <w:tcW w:w="154"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49" w:type="dxa"/>
            <w:tcBorders>
              <w:bottom w:val="single" w:sz="6" w:space="0" w:color="702076"/>
            </w:tcBorders>
            <w:shd w:fill="D8D8D8" w:val="clear"/>
            <w:tcMar>
              <w:bottom w:w="45" w:type="dxa"/>
            </w:tcMar>
            <w:vAlign w:val="center"/>
          </w:tcPr>
          <w:p>
            <w:pPr>
              <w:pStyle w:val="TableContents"/>
              <w:bidi w:val="0"/>
              <w:spacing w:before="0" w:after="283"/>
              <w:jc w:val="right"/>
              <w:rPr/>
            </w:pPr>
            <w:r>
              <w:rPr/>
              <w:t>​</w:t>
            </w:r>
          </w:p>
        </w:tc>
        <w:tc>
          <w:tcPr>
            <w:tcW w:w="1468" w:type="dxa"/>
            <w:tcBorders>
              <w:bottom w:val="single" w:sz="6" w:space="0" w:color="702076"/>
            </w:tcBorders>
            <w:shd w:fill="D8D8D8" w:val="clear"/>
            <w:tcMar>
              <w:bottom w:w="45" w:type="dxa"/>
            </w:tcMar>
            <w:vAlign w:val="center"/>
          </w:tcPr>
          <w:p>
            <w:pPr>
              <w:pStyle w:val="TableContents"/>
              <w:bidi w:val="0"/>
              <w:spacing w:before="0" w:after="283"/>
              <w:jc w:val="right"/>
              <w:rPr/>
            </w:pPr>
            <w:r>
              <w:rPr/>
              <w:t>426,894</w:t>
            </w:r>
          </w:p>
        </w:tc>
        <w:tc>
          <w:tcPr>
            <w:tcW w:w="14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8"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8522" w:type="dxa"/>
            <w:gridSpan w:val="22"/>
            <w:tcBorders>
              <w:bottom w:val="single" w:sz="6" w:space="0" w:color="702076"/>
            </w:tcBorders>
            <w:shd w:fill="E5E5E5" w:val="clear"/>
            <w:tcMar>
              <w:bottom w:w="45" w:type="dxa"/>
            </w:tcMar>
            <w:vAlign w:val="center"/>
          </w:tcPr>
          <w:p>
            <w:pPr>
              <w:pStyle w:val="TableContents"/>
              <w:bidi w:val="0"/>
              <w:spacing w:lineRule="atLeast" w:line="200" w:before="0" w:after="0"/>
              <w:ind w:left="400" w:right="0" w:hanging="0"/>
              <w:jc w:val="both"/>
              <w:rPr>
                <w:spacing w:val="2"/>
              </w:rPr>
            </w:pPr>
            <w:r>
              <w:rPr>
                <w:spacing w:val="2"/>
              </w:rPr>
              <w:t xml:space="preserve">For payout amounts, LivaNova used an exchange rate of $1.08162 per Euro reflecting the applicable period average published rate from the Company’s OneStream Finance System between January 1, 2024 and December 31, 2024. </w:t>
            </w:r>
            <w:r>
              <mc:AlternateContent>
                <mc:Choice Requires="wps">
                  <w:drawing>
                    <wp:anchor behindDoc="0" distT="0" distB="0" distL="0" distR="0" simplePos="0" locked="0" layoutInCell="1" allowOverlap="1" relativeHeight="563">
                      <wp:simplePos x="0" y="0"/>
                      <wp:positionH relativeFrom="column">
                        <wp:align>left</wp:align>
                      </wp:positionH>
                      <wp:positionV relativeFrom="line">
                        <wp:posOffset>635</wp:posOffset>
                      </wp:positionV>
                      <wp:extent cx="254000" cy="350520"/>
                      <wp:effectExtent l="0" t="0" r="0" b="0"/>
                      <wp:wrapSquare wrapText="right"/>
                      <wp:docPr id="321"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400" w:right="0" w:hanging="0"/>
              <w:jc w:val="both"/>
              <w:rPr>
                <w:spacing w:val="2"/>
              </w:rPr>
            </w:pPr>
            <w:r>
              <w:rPr>
                <w:spacing w:val="2"/>
              </w:rPr>
              <w:t xml:space="preserve">The 2024 STIP Target and Payout for Messrs. Makatsaria and Tezel are calculated on a prorated basis from their start dates of March 1, 2024 and May 13, 2024, respectively. </w:t>
            </w:r>
            <w:r>
              <mc:AlternateContent>
                <mc:Choice Requires="wps">
                  <w:drawing>
                    <wp:anchor behindDoc="0" distT="63500" distB="0" distL="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322"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00" w:after="0"/>
              <w:ind w:left="400" w:right="0" w:hanging="0"/>
              <w:jc w:val="left"/>
              <w:rPr>
                <w:spacing w:val="2"/>
              </w:rPr>
            </w:pPr>
            <w:r>
              <w:rPr>
                <w:spacing w:val="2"/>
              </w:rPr>
              <w:t xml:space="preserve">The 2024 STIP Target and Payout for Mr. Kozy is calculated on a prorated basis from January 1, 2024 to February 28, 2024. </w:t>
            </w:r>
            <w:r>
              <mc:AlternateContent>
                <mc:Choice Requires="wps">
                  <w:drawing>
                    <wp:anchor behindDoc="0" distT="63500" distB="0" distL="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323"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400" w:right="0" w:hanging="0"/>
              <w:jc w:val="both"/>
              <w:rPr/>
            </w:pPr>
            <w:r>
              <w:rPr>
                <w:spacing w:val="2"/>
              </w:rPr>
              <w:t>Mr. Poletti received two variable allowance payouts of €73,500 and €74,725 related to the first and second quarters of 2024, respectively, for his interim role as Cardiopulmonary General Manager. These amounts were deducted from his total 2024 STIP payout, shown in the above table. His target bonus was €299,000 (equivalent to $323,404) and his payout was €394,680 (equivalent to $426,894)</w:t>
            </w:r>
            <w:r>
              <w:rPr/>
              <w:t xml:space="preserve"> </w:t>
            </w:r>
            <w:r>
              <mc:AlternateContent>
                <mc:Choice Requires="wps">
                  <w:drawing>
                    <wp:anchor behindDoc="0" distT="6350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324"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168"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2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Long-Term Incentives: 2024 Long-Term Incentive Plan (the “2024 LTIP”)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Tahoma;Geneva;sans-serif" w:hAnsi="Tahoma;Geneva;sans-serif"/>
          <w:b w:val="false"/>
          <w:i w:val="false"/>
          <w:caps w:val="false"/>
          <w:smallCaps w:val="false"/>
          <w:color w:val="000000"/>
          <w:spacing w:val="2"/>
          <w:sz w:val="20"/>
        </w:rPr>
        <w:t xml:space="preserve"> Promote LivaNova’s long-term success and enhance the Company’s value by providing employees an incentive for outstanding performance, thereby aligning with shareholder returns. The plan also provides flexibility as LivaNova seeks to motivate, attract, motivate, develop, and retain the Company’s NEOs, upon whom LivaNova’s success is largely dependent.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4"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14"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Service-Based Awards</w:t>
      </w:r>
      <w:r>
        <w:rPr>
          <w:rFonts w:ascii="Tahoma;Geneva;sans-serif" w:hAnsi="Tahoma;Geneva;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567">
                <wp:simplePos x="0" y="0"/>
                <wp:positionH relativeFrom="column">
                  <wp:align>left</wp:align>
                </wp:positionH>
                <wp:positionV relativeFrom="line">
                  <wp:align>top</wp:align>
                </wp:positionV>
                <wp:extent cx="228600" cy="350520"/>
                <wp:effectExtent l="0" t="0" r="0" b="0"/>
                <wp:wrapSquare wrapText="right"/>
                <wp:docPr id="325" name="Frame2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Restricted Stock Units (“RSUs”) generally vest in substantially equal amounts on each of the first four anniversaries of the grant date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685800" distR="0" simplePos="0" locked="0" layoutInCell="1" allowOverlap="1" relativeHeight="568">
                <wp:simplePos x="0" y="0"/>
                <wp:positionH relativeFrom="column">
                  <wp:align>left</wp:align>
                </wp:positionH>
                <wp:positionV relativeFrom="line">
                  <wp:align>top</wp:align>
                </wp:positionV>
                <wp:extent cx="228600" cy="350520"/>
                <wp:effectExtent l="0" t="0" r="0" b="0"/>
                <wp:wrapSquare wrapText="right"/>
                <wp:docPr id="326" name="Frame2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7pt;mso-wrap-distance-bottom:0pt;margin-top:5.7pt;mso-position-vertical:top;mso-position-vertical-relative:text;margin-left:54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Stock Appreciation Rights (“SARs”) vest in substantially equal amounts on each of the first four anniversaries of the grant date and expire ten years from the grant date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685800" distR="0" simplePos="0" locked="0" layoutInCell="1" allowOverlap="1" relativeHeight="569">
                <wp:simplePos x="0" y="0"/>
                <wp:positionH relativeFrom="column">
                  <wp:align>left</wp:align>
                </wp:positionH>
                <wp:positionV relativeFrom="line">
                  <wp:align>top</wp:align>
                </wp:positionV>
                <wp:extent cx="228600" cy="350520"/>
                <wp:effectExtent l="0" t="0" r="0" b="0"/>
                <wp:wrapSquare wrapText="right"/>
                <wp:docPr id="327" name="Frame2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7pt;mso-wrap-distance-bottom:0pt;margin-top:5.7pt;mso-position-vertical:top;mso-position-vertical-relative:text;margin-left:54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Performance-Based Awards</w:t>
      </w:r>
      <w:r>
        <w:rPr>
          <w:rFonts w:ascii="Tahoma;Geneva;sans-serif" w:hAnsi="Tahoma;Geneva;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570">
                <wp:simplePos x="0" y="0"/>
                <wp:positionH relativeFrom="column">
                  <wp:align>left</wp:align>
                </wp:positionH>
                <wp:positionV relativeFrom="line">
                  <wp:align>top</wp:align>
                </wp:positionV>
                <wp:extent cx="228600" cy="350520"/>
                <wp:effectExtent l="0" t="0" r="0" b="0"/>
                <wp:wrapSquare wrapText="right"/>
                <wp:docPr id="328" name="Frame2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Relative Total Shareholder Return (“rTSR”) Performance Stock Units (“PSUs”) are subject to a three-year relative total shareholder return market condition (weighted 50% of the total PSU value)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2390" distB="0" distL="685800" distR="0" simplePos="0" locked="0" layoutInCell="1" allowOverlap="1" relativeHeight="571">
                <wp:simplePos x="0" y="0"/>
                <wp:positionH relativeFrom="column">
                  <wp:align>left</wp:align>
                </wp:positionH>
                <wp:positionV relativeFrom="line">
                  <wp:align>top</wp:align>
                </wp:positionV>
                <wp:extent cx="228600" cy="350520"/>
                <wp:effectExtent l="0" t="0" r="0" b="0"/>
                <wp:wrapSquare wrapText="right"/>
                <wp:docPr id="329" name="Frame2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7pt;mso-wrap-distance-bottom:0pt;margin-top:5.7pt;mso-position-vertical:top;mso-position-vertical-relative:text;margin-left:54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Adjusted Free Cash Flow (“FCF”) PSUs are subject to achievement of a three-year cumulative adjusted free cash flow target (weighted 25% of the total PSU value)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685800" distR="0" simplePos="0" locked="0" layoutInCell="1" allowOverlap="1" relativeHeight="572">
                <wp:simplePos x="0" y="0"/>
                <wp:positionH relativeFrom="column">
                  <wp:align>left</wp:align>
                </wp:positionH>
                <wp:positionV relativeFrom="line">
                  <wp:align>top</wp:align>
                </wp:positionV>
                <wp:extent cx="228600" cy="350520"/>
                <wp:effectExtent l="0" t="0" r="0" b="0"/>
                <wp:wrapSquare wrapText="right"/>
                <wp:docPr id="330" name="Frame2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7pt;mso-wrap-distance-bottom:0pt;margin-top:5.7pt;mso-position-vertical:top;mso-position-vertical-relative:text;margin-left:54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Return on Invested Capital (“ROIC”) PSUs are subject to achievement of a three-year cumulative Return on Invested Capital target (weighted 25% of the total PSU value)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2390" distB="0" distL="685800" distR="0" simplePos="0" locked="0" layoutInCell="1" allowOverlap="1" relativeHeight="573">
                <wp:simplePos x="0" y="0"/>
                <wp:positionH relativeFrom="column">
                  <wp:align>left</wp:align>
                </wp:positionH>
                <wp:positionV relativeFrom="line">
                  <wp:align>top</wp:align>
                </wp:positionV>
                <wp:extent cx="228600" cy="350520"/>
                <wp:effectExtent l="0" t="0" r="0" b="0"/>
                <wp:wrapSquare wrapText="right"/>
                <wp:docPr id="331" name="Frame2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5.7pt;mso-wrap-distance-bottom:0pt;margin-top:5.7pt;mso-position-vertical:top;mso-position-vertical-relative:text;margin-left:54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74"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2024 LTIP Design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March 25, 2024, the CHCM Committee approved LivaNova’s 2024 LTIP in which all NEOs other than Mr. Kozy participated. Pursuant to the 2024 LTIP, the CHCM Committee approved an equity award value for each of the five award vehicles for each participant. Messrs. Makatsaria, Shvartsburg, and Hutchinson and Ms. Hebbelinck received their grants on March 30, 2024. For Mr. Tezel, his grant was approved and granted on June 15, 2024, following his May 13, 2024 start date. While in his interim position, Mr. Poletti received an equity grant on March 30, 2024. Upon confirmation of his current position, he was granted an additional equity award on September 15,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3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1" descr=""/>
                          <pic:cNvPicPr>
                            <a:picLocks noChangeAspect="1" noChangeArrowheads="1"/>
                          </pic:cNvPicPr>
                        </pic:nvPicPr>
                        <pic:blipFill>
                          <a:blip r:embed="rId112"/>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45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3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12" descr=""/>
                    <pic:cNvPicPr>
                      <a:picLocks noChangeAspect="1" noChangeArrowheads="1"/>
                    </pic:cNvPicPr>
                  </pic:nvPicPr>
                  <pic:blipFill>
                    <a:blip r:embed="rId11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establishing the grant date fair value of equity awards made to the NEOs under the 2024 LTIP, the CHCM Committee considered the following factors: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574">
                <wp:simplePos x="0" y="0"/>
                <wp:positionH relativeFrom="column">
                  <wp:align>left</wp:align>
                </wp:positionH>
                <wp:positionV relativeFrom="line">
                  <wp:align>top</wp:align>
                </wp:positionV>
                <wp:extent cx="228600" cy="350520"/>
                <wp:effectExtent l="0" t="0" r="0" b="0"/>
                <wp:wrapSquare wrapText="right"/>
                <wp:docPr id="334" name="Frame2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8890" distB="0" distL="228600" distR="0" simplePos="0" locked="0" layoutInCell="1" allowOverlap="1" relativeHeight="575">
                <wp:simplePos x="0" y="0"/>
                <wp:positionH relativeFrom="column">
                  <wp:align>left</wp:align>
                </wp:positionH>
                <wp:positionV relativeFrom="line">
                  <wp:align>top</wp:align>
                </wp:positionV>
                <wp:extent cx="228600" cy="350520"/>
                <wp:effectExtent l="0" t="0" r="0" b="0"/>
                <wp:wrapSquare wrapText="right"/>
                <wp:docPr id="335" name="Frame2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7pt;mso-wrap-distance-bottom:0pt;margin-top:0.7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8890" distB="0" distL="228600" distR="0" simplePos="0" locked="0" layoutInCell="1" allowOverlap="1" relativeHeight="576">
                <wp:simplePos x="0" y="0"/>
                <wp:positionH relativeFrom="column">
                  <wp:align>left</wp:align>
                </wp:positionH>
                <wp:positionV relativeFrom="line">
                  <wp:align>top</wp:align>
                </wp:positionV>
                <wp:extent cx="228600" cy="350520"/>
                <wp:effectExtent l="0" t="0" r="0" b="0"/>
                <wp:wrapSquare wrapText="right"/>
                <wp:docPr id="336" name="Frame2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7pt;mso-wrap-distance-bottom:0pt;margin-top:0.7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Individual performance during the recently completed financial year and potential future contribution;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8890" distB="0" distL="228600" distR="0" simplePos="0" locked="0" layoutInCell="1" allowOverlap="1" relativeHeight="577">
                <wp:simplePos x="0" y="0"/>
                <wp:positionH relativeFrom="column">
                  <wp:align>left</wp:align>
                </wp:positionH>
                <wp:positionV relativeFrom="line">
                  <wp:align>top</wp:align>
                </wp:positionV>
                <wp:extent cx="228600" cy="350520"/>
                <wp:effectExtent l="0" t="0" r="0" b="0"/>
                <wp:wrapSquare wrapText="right"/>
                <wp:docPr id="337" name="Frame2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7pt;mso-wrap-distance-bottom:0pt;margin-top:0.7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0160" distB="0" distL="228600" distR="0" simplePos="0" locked="0" layoutInCell="1" allowOverlap="1" relativeHeight="578">
                <wp:simplePos x="0" y="0"/>
                <wp:positionH relativeFrom="column">
                  <wp:align>left</wp:align>
                </wp:positionH>
                <wp:positionV relativeFrom="line">
                  <wp:align>top</wp:align>
                </wp:positionV>
                <wp:extent cx="228600" cy="350520"/>
                <wp:effectExtent l="0" t="0" r="0" b="0"/>
                <wp:wrapSquare wrapText="right"/>
                <wp:docPr id="338" name="Frame2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8pt;mso-wrap-distance-bottom:0pt;margin-top:0.8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0160" distB="0" distL="228600" distR="0" simplePos="0" locked="0" layoutInCell="1" allowOverlap="1" relativeHeight="579">
                <wp:simplePos x="0" y="0"/>
                <wp:positionH relativeFrom="column">
                  <wp:align>left</wp:align>
                </wp:positionH>
                <wp:positionV relativeFrom="line">
                  <wp:align>top</wp:align>
                </wp:positionV>
                <wp:extent cx="228600" cy="350520"/>
                <wp:effectExtent l="0" t="0" r="0" b="0"/>
                <wp:wrapSquare wrapText="right"/>
                <wp:docPr id="339" name="Frame2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8pt;mso-wrap-distance-bottom:0pt;margin-top:0.8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11722"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6" w:type="dxa"/>
            <w:gridSpan w:val="43"/>
            <w:tcBorders/>
            <w:shd w:fill="CCCCCC" w:val="clear"/>
            <w:vAlign w:val="center"/>
          </w:tcPr>
          <w:p>
            <w:pPr>
              <w:pStyle w:val="TableContents"/>
              <w:bidi w:val="0"/>
              <w:spacing w:before="0" w:after="0"/>
              <w:jc w:val="center"/>
              <w:rPr/>
            </w:pPr>
            <w:r>
              <w:rPr>
                <w:spacing w:val="11"/>
              </w:rPr>
              <w:t>The grant date fair value of equity awards made to the NEOs under the 2024 LTIP were as follows:</w:t>
            </w:r>
            <w:r>
              <w:rPr>
                <w:color w:val="FFFFFF"/>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66"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before="0" w:after="0"/>
              <w:jc w:val="center"/>
              <w:rPr>
                <w:spacing w:val="2"/>
              </w:rPr>
            </w:pPr>
            <w:r>
              <w:rPr>
                <w:spacing w:val="2"/>
              </w:rPr>
              <w:t xml:space="preserve">RSUs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before="0" w:after="0"/>
              <w:jc w:val="center"/>
              <w:rPr>
                <w:spacing w:val="2"/>
              </w:rPr>
            </w:pPr>
            <w:r>
              <w:rPr>
                <w:spacing w:val="2"/>
              </w:rPr>
              <w:t xml:space="preserve">SARs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lineRule="atLeast" w:line="176" w:before="0" w:after="0"/>
              <w:jc w:val="center"/>
              <w:rPr>
                <w:spacing w:val="2"/>
              </w:rPr>
            </w:pPr>
            <w:r>
              <w:rPr>
                <w:spacing w:val="2"/>
              </w:rPr>
              <w:t xml:space="preserve">rTSR PSUs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2"/>
              </w:rPr>
            </w:pPr>
            <w:r>
              <w:rPr>
                <w:spacing w:val="2"/>
              </w:rPr>
              <w:t xml:space="preserve">FCF PSUs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2"/>
              </w:rPr>
            </w:pPr>
            <w:r>
              <w:rPr>
                <w:spacing w:val="2"/>
              </w:rPr>
              <w:t xml:space="preserve">ROIC PSUs ($)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lineRule="atLeast" w:line="176" w:before="0" w:after="0"/>
              <w:jc w:val="center"/>
              <w:rPr>
                <w:spacing w:val="2"/>
              </w:rPr>
            </w:pPr>
            <w:r>
              <w:rPr>
                <w:spacing w:val="2"/>
              </w:rPr>
              <w:t xml:space="preserve">Total Award </w:t>
              <w:br/>
              <w:t xml:space="preserve">Value ($)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1,337,500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1,337,500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1,337,500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668,750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668,750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5,350,000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400,000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400,000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400,000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200,000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200,000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1,600,000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375,000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375,000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375,000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187,500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187,500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1,500,000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325,000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325,000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325,000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162,500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162,500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1,300,000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250,000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250,000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250,000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125,000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tcMar>
              <w:bottom w:w="51" w:type="dxa"/>
            </w:tcMar>
            <w:vAlign w:val="center"/>
          </w:tcPr>
          <w:p>
            <w:pPr>
              <w:pStyle w:val="TableContents"/>
              <w:bidi w:val="0"/>
              <w:spacing w:before="0" w:after="283"/>
              <w:jc w:val="right"/>
              <w:rPr/>
            </w:pPr>
            <w:r>
              <w:rPr/>
              <w:t>125,000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702076"/>
            </w:tcBorders>
            <w:shd w:fill="D8D8D8" w:val="clear"/>
            <w:tcMar>
              <w:bottom w:w="51" w:type="dxa"/>
            </w:tcMar>
            <w:vAlign w:val="center"/>
          </w:tcPr>
          <w:p>
            <w:pPr>
              <w:pStyle w:val="TableContents"/>
              <w:bidi w:val="0"/>
              <w:spacing w:lineRule="atLeast" w:line="142" w:before="0" w:after="0"/>
              <w:jc w:val="left"/>
              <w:rPr/>
            </w:pPr>
            <w:r>
              <w:rPr>
                <w:spacing w:val="2"/>
              </w:rPr>
              <w:t>Trui Hebbelinck</w:t>
            </w:r>
            <w:r>
              <w:rPr>
                <w:spacing w:val="1"/>
                <w:sz w:val="10"/>
              </w:rPr>
              <w:t>(1)</w:t>
            </w:r>
            <w:r>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225,000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225,000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225,000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112,500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702076"/>
            </w:tcBorders>
            <w:shd w:fill="D8D8D8" w:val="clear"/>
            <w:tcMar>
              <w:bottom w:w="51" w:type="dxa"/>
            </w:tcMar>
            <w:vAlign w:val="center"/>
          </w:tcPr>
          <w:p>
            <w:pPr>
              <w:pStyle w:val="TableContents"/>
              <w:bidi w:val="0"/>
              <w:spacing w:before="0" w:after="283"/>
              <w:jc w:val="right"/>
              <w:rPr/>
            </w:pPr>
            <w:r>
              <w:rPr/>
              <w:t>112,500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702076"/>
            </w:tcBorders>
            <w:shd w:fill="D8D8D8" w:val="clear"/>
            <w:tcMar>
              <w:bottom w:w="51" w:type="dxa"/>
            </w:tcMar>
            <w:vAlign w:val="center"/>
          </w:tcPr>
          <w:p>
            <w:pPr>
              <w:pStyle w:val="TableContents"/>
              <w:bidi w:val="0"/>
              <w:spacing w:before="0" w:after="283"/>
              <w:jc w:val="right"/>
              <w:rPr/>
            </w:pPr>
            <w:r>
              <w:rPr/>
              <w:t>900,000</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11226" w:type="dxa"/>
            <w:gridSpan w:val="43"/>
            <w:tcBorders>
              <w:bottom w:val="single" w:sz="6" w:space="0" w:color="702076"/>
            </w:tcBorders>
            <w:shd w:fill="E5E5E5" w:val="clear"/>
            <w:tcMar>
              <w:bottom w:w="51" w:type="dxa"/>
            </w:tcMar>
            <w:vAlign w:val="center"/>
          </w:tcPr>
          <w:p>
            <w:pPr>
              <w:pStyle w:val="TableContents"/>
              <w:bidi w:val="0"/>
              <w:spacing w:lineRule="atLeast" w:line="192" w:before="0" w:after="0"/>
              <w:ind w:left="320" w:right="0" w:hanging="0"/>
              <w:jc w:val="both"/>
              <w:rPr/>
            </w:pPr>
            <w:r>
              <w:rPr>
                <w:spacing w:val="2"/>
              </w:rPr>
              <w:t>As a result of her departure, Ms. Hebbelinck forfeited all of her awards under the 2024 LTIP and any prior LTIP grant set to vest after the end of her garden leave period on September 30, 2025.</w:t>
            </w:r>
            <w:r>
              <w:rPr/>
              <w:t xml:space="preserve"> </w:t>
            </w:r>
            <w:r>
              <mc:AlternateContent>
                <mc:Choice Requires="wps">
                  <w:drawing>
                    <wp:anchor behindDoc="0" distT="0" distB="0" distL="0" distR="0" simplePos="0" locked="0" layoutInCell="1" allowOverlap="1" relativeHeight="580">
                      <wp:simplePos x="0" y="0"/>
                      <wp:positionH relativeFrom="column">
                        <wp:align>left</wp:align>
                      </wp:positionH>
                      <wp:positionV relativeFrom="line">
                        <wp:posOffset>635</wp:posOffset>
                      </wp:positionV>
                      <wp:extent cx="203200" cy="525780"/>
                      <wp:effectExtent l="0" t="0" r="0" b="0"/>
                      <wp:wrapSquare wrapText="right"/>
                      <wp:docPr id="340" name="Frame22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E5E5E5" w:val="clear"/>
            <w:tcMar>
              <w:bottom w:w="28" w:type="dxa"/>
            </w:tcM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3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Service-Based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Restricted Stock Units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other than Mr. Kozy received an award of service-based RSUs vesting in substantially equal amounts on each of the first four anniversaries of the grant date. The CHCM Committee determined the number of RSUs awarded to each participant by dividing the award value by the most recent closing price of an Ordinary Share of LivaNova’s stock on the Nasdaq as of the grant date and rounding down to the nearest whole unit.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4"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Stock Appreciation Rights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other than Mr. Kozy received an award of SARs vesting in substantially equal amounts on each of the first four anniversaries of the grant date. The CHCM Committee determined the number of SARs awarded to each participant by dividing the award value by the Black-Scholes value of a SAR based on the closing price of an Ordinary Share of LivaNova’s stock on the Nasdaq as of the grant date and rounding down to the nearest whole unit.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Market Performance-Based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Relative Total Shareholder Return Performance Stock Units (“2024 rTSR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other than Mr. Kozy, received an award of PSUs subject to a three-year rTSR market condition and three-year service-based cliff vesting.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determined the number of 2024 rTSR PSUs awarded to each participant by dividing the award value by the most recent closing price of an Ordinary Share of LivaNova’s stock on the Nasdaq as of the grant date and rounding down to the nearest whole unit. The 2024 rTSR PSUs are scheduled to vest or lapse on March 30, 2027, based on how LivaNova’s total shareholder return for the three-year period from 2024 through 2026 compares to the total shareholder return for the same period of the S&amp;P Healthcare Equipment Select Constituents index.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2024, the CHCM Committee, in consultation with its independent compensation consultant, Pearl Meyer, decided to change from a comparator peer group (used in prior year rTSR PSUs) to a broader standardized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4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13" descr=""/>
                          <pic:cNvPicPr>
                            <a:picLocks noChangeAspect="1" noChangeArrowheads="1"/>
                          </pic:cNvPicPr>
                        </pic:nvPicPr>
                        <pic:blipFill>
                          <a:blip r:embed="rId11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4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14" descr=""/>
                    <pic:cNvPicPr>
                      <a:picLocks noChangeAspect="1" noChangeArrowheads="1"/>
                    </pic:cNvPicPr>
                  </pic:nvPicPr>
                  <pic:blipFill>
                    <a:blip r:embed="rId11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index to enhance the alignment of LivaNova’s performance measurement process with shareholder interests, improve benchmark stability, and simplify plan administration.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5154" w:type="dxa"/>
        <w:jc w:val="left"/>
        <w:tblInd w:w="1173" w:type="dxa"/>
        <w:tblLayout w:type="fixed"/>
        <w:tblCellMar>
          <w:top w:w="0" w:type="dxa"/>
          <w:left w:w="0" w:type="dxa"/>
          <w:bottom w:w="0" w:type="dxa"/>
          <w:right w:w="0" w:type="dxa"/>
        </w:tblCellMar>
      </w:tblPr>
      <w:tblGrid>
        <w:gridCol w:w="124"/>
        <w:gridCol w:w="109"/>
        <w:gridCol w:w="1900"/>
        <w:gridCol w:w="109"/>
        <w:gridCol w:w="109"/>
        <w:gridCol w:w="109"/>
        <w:gridCol w:w="24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900" w:type="dxa"/>
            <w:tcBorders/>
            <w:shd w:fill="702076" w:val="clear"/>
            <w:vAlign w:val="center"/>
          </w:tcPr>
          <w:p>
            <w:pPr>
              <w:pStyle w:val="TableContents"/>
              <w:bidi w:val="0"/>
              <w:spacing w:before="0" w:after="0"/>
              <w:jc w:val="center"/>
              <w:rPr>
                <w:spacing w:val="2"/>
              </w:rPr>
            </w:pPr>
            <w:r>
              <w:rPr>
                <w:spacing w:val="2"/>
              </w:rPr>
              <w:t xml:space="preserve">TSR Performance </w:t>
              <w:br/>
              <w:t xml:space="preserve">Percentile Rank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431" w:type="dxa"/>
            <w:tcBorders/>
            <w:shd w:fill="702076" w:val="clear"/>
            <w:vAlign w:val="center"/>
          </w:tcPr>
          <w:p>
            <w:pPr>
              <w:pStyle w:val="TableContents"/>
              <w:bidi w:val="0"/>
              <w:spacing w:before="0" w:after="0"/>
              <w:jc w:val="center"/>
              <w:rPr/>
            </w:pPr>
            <w:r>
              <w:rPr>
                <w:spacing w:val="2"/>
              </w:rPr>
              <w:t xml:space="preserve">Percent of Target PSUs </w:t>
              <w:br/>
              <w:t>Earned</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900" w:type="dxa"/>
            <w:tcBorders>
              <w:bottom w:val="single" w:sz="8" w:space="0" w:color="702076"/>
            </w:tcBorders>
            <w:tcMar>
              <w:bottom w:w="60" w:type="dxa"/>
            </w:tcMar>
            <w:vAlign w:val="center"/>
          </w:tcPr>
          <w:p>
            <w:pPr>
              <w:pStyle w:val="TableContents"/>
              <w:bidi w:val="0"/>
              <w:spacing w:before="0" w:after="0"/>
              <w:jc w:val="center"/>
              <w:rPr/>
            </w:pPr>
            <w:r>
              <w:rPr>
                <w:spacing w:val="2"/>
              </w:rPr>
              <w:t>≥</w:t>
            </w:r>
            <w:r>
              <w:rPr>
                <w:spacing w:val="2"/>
              </w:rPr>
              <w:t>90</w:t>
            </w:r>
            <w:r>
              <w:rPr>
                <w:spacing w:val="2"/>
                <w:sz w:val="13"/>
              </w:rPr>
              <w:t>th</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43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900" w:type="dxa"/>
            <w:tcBorders>
              <w:bottom w:val="single" w:sz="8" w:space="0" w:color="702076"/>
            </w:tcBorders>
            <w:tcMar>
              <w:bottom w:w="60" w:type="dxa"/>
            </w:tcMar>
            <w:vAlign w:val="center"/>
          </w:tcPr>
          <w:p>
            <w:pPr>
              <w:pStyle w:val="TableContents"/>
              <w:bidi w:val="0"/>
              <w:spacing w:before="0" w:after="0"/>
              <w:ind w:left="200" w:right="0" w:hanging="0"/>
              <w:jc w:val="center"/>
              <w:rPr/>
            </w:pPr>
            <w:r>
              <w:rPr>
                <w:spacing w:val="2"/>
              </w:rPr>
              <w:t>80</w:t>
            </w:r>
            <w:r>
              <w:rPr>
                <w:spacing w:val="2"/>
                <w:sz w:val="13"/>
              </w:rPr>
              <w:t>th</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43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900" w:type="dxa"/>
            <w:tcBorders>
              <w:bottom w:val="single" w:sz="8" w:space="0" w:color="702076"/>
            </w:tcBorders>
            <w:tcMar>
              <w:bottom w:w="60" w:type="dxa"/>
            </w:tcMar>
            <w:vAlign w:val="center"/>
          </w:tcPr>
          <w:p>
            <w:pPr>
              <w:pStyle w:val="TableContents"/>
              <w:bidi w:val="0"/>
              <w:spacing w:before="0" w:after="0"/>
              <w:ind w:left="200" w:right="0" w:hanging="0"/>
              <w:jc w:val="center"/>
              <w:rPr/>
            </w:pPr>
            <w:r>
              <w:rPr>
                <w:spacing w:val="2"/>
              </w:rPr>
              <w:t>50</w:t>
            </w:r>
            <w:r>
              <w:rPr>
                <w:spacing w:val="2"/>
                <w:sz w:val="13"/>
              </w:rPr>
              <w:t>th</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43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900" w:type="dxa"/>
            <w:tcBorders>
              <w:bottom w:val="single" w:sz="8" w:space="0" w:color="702076"/>
            </w:tcBorders>
            <w:tcMar>
              <w:bottom w:w="60" w:type="dxa"/>
            </w:tcMar>
            <w:vAlign w:val="center"/>
          </w:tcPr>
          <w:p>
            <w:pPr>
              <w:pStyle w:val="TableContents"/>
              <w:bidi w:val="0"/>
              <w:spacing w:before="0" w:after="0"/>
              <w:ind w:left="200" w:right="0" w:hanging="0"/>
              <w:jc w:val="center"/>
              <w:rPr/>
            </w:pPr>
            <w:r>
              <w:rPr>
                <w:spacing w:val="2"/>
              </w:rPr>
              <w:t>30</w:t>
            </w:r>
            <w:r>
              <w:rPr>
                <w:spacing w:val="2"/>
                <w:sz w:val="13"/>
              </w:rPr>
              <w:t>th</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43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40%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900" w:type="dxa"/>
            <w:tcBorders>
              <w:bottom w:val="single" w:sz="8" w:space="0" w:color="702076"/>
            </w:tcBorders>
            <w:tcMar>
              <w:bottom w:w="60" w:type="dxa"/>
            </w:tcMar>
            <w:vAlign w:val="center"/>
          </w:tcPr>
          <w:p>
            <w:pPr>
              <w:pStyle w:val="TableContents"/>
              <w:bidi w:val="0"/>
              <w:spacing w:before="0" w:after="0"/>
              <w:jc w:val="center"/>
              <w:rPr/>
            </w:pPr>
            <w:r>
              <w:rPr>
                <w:spacing w:val="2"/>
              </w:rPr>
              <w:t>&lt;30</w:t>
            </w:r>
            <w:r>
              <w:rPr>
                <w:spacing w:val="2"/>
                <w:sz w:val="13"/>
              </w:rPr>
              <w:t>th</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431" w:type="dxa"/>
            <w:tcBorders>
              <w:bottom w:val="single" w:sz="8" w:space="0" w:color="702076"/>
            </w:tcBorders>
            <w:tcMar>
              <w:bottom w:w="6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6"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Operating Performance-Based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Adjusted Free Cash Flow PSUs (“2024 FCF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other than Mr. Kozy received an award of PSUs subject to achievement of a three-year cumulative adjusted free cash flow target and three-year service-based cliff vesting.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determined the number of 2024 FCF PSUs awarded to each participant by dividing the award value by the most recent closing price of an Ordinary Share of LivaNova’s stock on the Nasdaq as of the grant date and rounding down to the nearest whole unit. The 2024 FCF PSUs are scheduled to vest or lapse on March 30, 2027, based on how the Company’s cumulative adjusted FCF for the three-year performance period ended December 31, 2026 compares to target. 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491"/>
        <w:gridCol w:w="212"/>
        <w:gridCol w:w="212"/>
        <w:gridCol w:w="212"/>
        <w:gridCol w:w="3407"/>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491" w:type="dxa"/>
            <w:tcBorders/>
            <w:shd w:fill="702076" w:val="clear"/>
            <w:vAlign w:val="center"/>
          </w:tcPr>
          <w:p>
            <w:pPr>
              <w:pStyle w:val="TableContents"/>
              <w:bidi w:val="0"/>
              <w:spacing w:lineRule="atLeast" w:line="150" w:before="0" w:after="0"/>
              <w:jc w:val="center"/>
              <w:rPr/>
            </w:pPr>
            <w:r>
              <w:rPr>
                <w:spacing w:val="2"/>
              </w:rPr>
              <w:t xml:space="preserve">FCF Achievement Relative to </w:t>
              <w:br/>
              <w:t>FCF Target</w:t>
            </w:r>
            <w:r>
              <w:rPr>
                <w:spacing w:val="2"/>
                <w:sz w:val="13"/>
              </w:rPr>
              <w:t>(1)</w:t>
            </w:r>
            <w:r>
              <w:rPr/>
              <w:t xml:space="preserve"> </w:t>
            </w:r>
          </w:p>
        </w:tc>
        <w:tc>
          <w:tcPr>
            <w:tcW w:w="212" w:type="dxa"/>
            <w:tcBorders/>
            <w:shd w:fill="702076" w:val="clear"/>
            <w:vAlign w:val="center"/>
          </w:tcPr>
          <w:p>
            <w:pPr>
              <w:pStyle w:val="TableContents"/>
              <w:bidi w:val="0"/>
              <w:spacing w:before="0" w:after="283"/>
              <w:jc w:val="left"/>
              <w:rPr/>
            </w:pPr>
            <w:r>
              <w:rPr/>
              <w:t>​</w:t>
            </w:r>
          </w:p>
        </w:tc>
        <w:tc>
          <w:tcPr>
            <w:tcW w:w="212" w:type="dxa"/>
            <w:tcBorders/>
            <w:shd w:fill="702076" w:val="clear"/>
            <w:vAlign w:val="center"/>
          </w:tcPr>
          <w:p>
            <w:pPr>
              <w:pStyle w:val="TableContents"/>
              <w:bidi w:val="0"/>
              <w:spacing w:before="0" w:after="283"/>
              <w:jc w:val="left"/>
              <w:rPr/>
            </w:pPr>
            <w:r>
              <w:rPr/>
              <w:t>​</w:t>
            </w:r>
          </w:p>
        </w:tc>
        <w:tc>
          <w:tcPr>
            <w:tcW w:w="212" w:type="dxa"/>
            <w:tcBorders/>
            <w:shd w:fill="702076" w:val="clear"/>
            <w:vAlign w:val="center"/>
          </w:tcPr>
          <w:p>
            <w:pPr>
              <w:pStyle w:val="TableContents"/>
              <w:bidi w:val="0"/>
              <w:spacing w:before="0" w:after="283"/>
              <w:jc w:val="left"/>
              <w:rPr/>
            </w:pPr>
            <w:r>
              <w:rPr/>
              <w:t>​</w:t>
            </w:r>
          </w:p>
        </w:tc>
        <w:tc>
          <w:tcPr>
            <w:tcW w:w="3407" w:type="dxa"/>
            <w:tcBorders/>
            <w:shd w:fill="702076" w:val="clear"/>
            <w:tcMar>
              <w:top w:w="28" w:type="dxa"/>
              <w:left w:w="28" w:type="dxa"/>
              <w:bottom w:w="28" w:type="dxa"/>
              <w:right w:w="28" w:type="dxa"/>
            </w:tcMar>
            <w:vAlign w:val="center"/>
          </w:tcPr>
          <w:p>
            <w:pPr>
              <w:pStyle w:val="TableContents"/>
              <w:bidi w:val="0"/>
              <w:spacing w:before="0" w:after="0"/>
              <w:jc w:val="center"/>
              <w:rPr/>
            </w:pPr>
            <w:r>
              <w:rPr>
                <w:spacing w:val="2"/>
              </w:rPr>
              <w:t>Percent of PSUs Earned</w:t>
            </w:r>
            <w:r>
              <w:rPr/>
              <w:t xml:space="preserve"> </w:t>
            </w:r>
          </w:p>
        </w:tc>
        <w:tc>
          <w:tcPr>
            <w:tcW w:w="109" w:type="dxa"/>
            <w:tcBorders/>
            <w:shd w:fill="702076" w:val="cle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4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w:t>
            </w:r>
            <w:r>
              <w:rPr>
                <w:spacing w:val="2"/>
              </w:rPr>
              <w:t xml:space="preserve">150% </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212"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3407"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4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125% </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212"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3407"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4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100% </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212"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3407"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4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60% </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212"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3407"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20%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4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&lt;60% </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212"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12" w:type="dxa"/>
            <w:tcBorders>
              <w:bottom w:val="single" w:sz="8" w:space="0" w:color="702076"/>
            </w:tcBorders>
            <w:tcMar>
              <w:bottom w:w="28" w:type="dxa"/>
            </w:tcMar>
            <w:vAlign w:val="center"/>
          </w:tcPr>
          <w:p>
            <w:pPr>
              <w:pStyle w:val="TableContents"/>
              <w:bidi w:val="0"/>
              <w:spacing w:before="0" w:after="283"/>
              <w:jc w:val="left"/>
              <w:rPr/>
            </w:pPr>
            <w:r>
              <w:rPr/>
              <w:t>​</w:t>
            </w:r>
          </w:p>
        </w:tc>
        <w:tc>
          <w:tcPr>
            <w:tcW w:w="3407" w:type="dxa"/>
            <w:tcBorders>
              <w:bottom w:val="single" w:sz="8" w:space="0" w:color="702076"/>
            </w:tcBorders>
            <w:tcMar>
              <w:bottom w:w="6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8534" w:type="dxa"/>
            <w:gridSpan w:val="5"/>
            <w:tcBorders>
              <w:bottom w:val="single" w:sz="8" w:space="0" w:color="702076"/>
            </w:tcBorders>
            <w:shd w:fill="E5E5E5" w:val="clear"/>
            <w:tcMar>
              <w:bottom w:w="60" w:type="dxa"/>
            </w:tcMar>
            <w:vAlign w:val="center"/>
          </w:tcPr>
          <w:p>
            <w:pPr>
              <w:pStyle w:val="TableContents"/>
              <w:bidi w:val="0"/>
              <w:spacing w:lineRule="atLeast" w:line="200" w:before="0" w:after="0"/>
              <w:ind w:left="400" w:right="0" w:hanging="0"/>
              <w:jc w:val="both"/>
              <w:rPr/>
            </w:pPr>
            <w:r>
              <w:rPr>
                <w:spacing w:val="2"/>
              </w:rPr>
              <w:t>Adjusted free cash flow is defined as net cash provided by operating activities less cash used for the purchase of property, plant, and equipment excluding the impact of 3T litigation settlement payments, cybersecurity incident insurance proceeds, CARES Act tax stimulus benefits, SNIA financing costs, and gains related to dividends received from investments and further adjusted as needed for other charges, expenses, or gains that may not be indicative of the Company’s operational performance.</w:t>
            </w:r>
            <w:r>
              <w:rPr/>
              <w:t xml:space="preserve"> </w:t>
            </w:r>
            <w:r>
              <mc:AlternateContent>
                <mc:Choice Requires="wps">
                  <w:drawing>
                    <wp:anchor behindDoc="0" distT="0" distB="0" distL="0" distR="0" simplePos="0" locked="0" layoutInCell="1" allowOverlap="1" relativeHeight="581">
                      <wp:simplePos x="0" y="0"/>
                      <wp:positionH relativeFrom="column">
                        <wp:align>left</wp:align>
                      </wp:positionH>
                      <wp:positionV relativeFrom="line">
                        <wp:posOffset>635</wp:posOffset>
                      </wp:positionV>
                      <wp:extent cx="254000" cy="350520"/>
                      <wp:effectExtent l="0" t="0" r="0" b="0"/>
                      <wp:wrapSquare wrapText="right"/>
                      <wp:docPr id="343"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26" w:after="283"/>
        <w:ind w:left="1173" w:right="0" w:hanging="0"/>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Return on Invested Capital PSUs (“2024 ROIC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other than Mr. Kozy received an award of PSUs subject to the achievement of a three-year threshold return on invested capital target (“ROIC Target”) and three-year service-based cliff vesting. The ROIC measure is designed to estimate core operating performance, excluding the impact of financing and capital structure decisions, and encourages effective financial stewardship.</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6"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CHCM Committee determined the number of 2024 ROIC PSUs awarded to each participant by dividing the award value by the most recent closing price of an Ordinary Share of LivaNova stock on the Nasdaq as of the grant date and rounding down to the nearest whole unit. The 2024 ROIC PSUs are scheduled to vest or lapse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4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15" descr=""/>
                          <pic:cNvPicPr>
                            <a:picLocks noChangeAspect="1" noChangeArrowheads="1"/>
                          </pic:cNvPicPr>
                        </pic:nvPicPr>
                        <pic:blipFill>
                          <a:blip r:embed="rId116"/>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47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4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16" descr=""/>
                    <pic:cNvPicPr>
                      <a:picLocks noChangeAspect="1" noChangeArrowheads="1"/>
                    </pic:cNvPicPr>
                  </pic:nvPicPr>
                  <pic:blipFill>
                    <a:blip r:embed="rId11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March 30, 2027, based on how the Company’s average ROIC calculated for the three-year performance period ended December 31, 2026 compares to a target ROIC level. 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729"/>
        <w:gridCol w:w="238"/>
        <w:gridCol w:w="238"/>
        <w:gridCol w:w="238"/>
        <w:gridCol w:w="3091"/>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729" w:type="dxa"/>
            <w:tcBorders/>
            <w:shd w:fill="702076" w:val="clear"/>
            <w:vAlign w:val="center"/>
          </w:tcPr>
          <w:p>
            <w:pPr>
              <w:pStyle w:val="TableContents"/>
              <w:bidi w:val="0"/>
              <w:spacing w:lineRule="atLeast" w:line="150" w:before="0" w:after="0"/>
              <w:jc w:val="center"/>
              <w:rPr/>
            </w:pPr>
            <w:r>
              <w:rPr>
                <w:spacing w:val="2"/>
              </w:rPr>
              <w:t xml:space="preserve">ROIC Achievement </w:t>
              <w:br/>
              <w:t>Relative to ROIC Target</w:t>
            </w:r>
            <w:r>
              <w:rPr>
                <w:spacing w:val="2"/>
                <w:sz w:val="13"/>
              </w:rPr>
              <w:t>(1)</w:t>
            </w:r>
            <w:r>
              <w:rPr/>
              <w:t xml:space="preserve"> </w:t>
            </w:r>
          </w:p>
        </w:tc>
        <w:tc>
          <w:tcPr>
            <w:tcW w:w="238" w:type="dxa"/>
            <w:tcBorders/>
            <w:shd w:fill="702076" w:val="clear"/>
            <w:vAlign w:val="center"/>
          </w:tcPr>
          <w:p>
            <w:pPr>
              <w:pStyle w:val="TableContents"/>
              <w:bidi w:val="0"/>
              <w:spacing w:before="0" w:after="283"/>
              <w:jc w:val="left"/>
              <w:rPr/>
            </w:pPr>
            <w:r>
              <w:rPr/>
              <w:t>​</w:t>
            </w:r>
          </w:p>
        </w:tc>
        <w:tc>
          <w:tcPr>
            <w:tcW w:w="238" w:type="dxa"/>
            <w:tcBorders/>
            <w:shd w:fill="702076" w:val="clear"/>
            <w:vAlign w:val="center"/>
          </w:tcPr>
          <w:p>
            <w:pPr>
              <w:pStyle w:val="TableContents"/>
              <w:bidi w:val="0"/>
              <w:spacing w:before="0" w:after="283"/>
              <w:jc w:val="left"/>
              <w:rPr/>
            </w:pPr>
            <w:r>
              <w:rPr/>
              <w:t>​</w:t>
            </w:r>
          </w:p>
        </w:tc>
        <w:tc>
          <w:tcPr>
            <w:tcW w:w="238" w:type="dxa"/>
            <w:tcBorders/>
            <w:shd w:fill="702076" w:val="clear"/>
            <w:vAlign w:val="center"/>
          </w:tcPr>
          <w:p>
            <w:pPr>
              <w:pStyle w:val="TableContents"/>
              <w:bidi w:val="0"/>
              <w:spacing w:before="0" w:after="283"/>
              <w:jc w:val="left"/>
              <w:rPr/>
            </w:pPr>
            <w:r>
              <w:rPr/>
              <w:t>​</w:t>
            </w:r>
          </w:p>
        </w:tc>
        <w:tc>
          <w:tcPr>
            <w:tcW w:w="3091" w:type="dxa"/>
            <w:tcBorders/>
            <w:shd w:fill="702076" w:val="clear"/>
            <w:vAlign w:val="center"/>
          </w:tcPr>
          <w:p>
            <w:pPr>
              <w:pStyle w:val="TableContents"/>
              <w:bidi w:val="0"/>
              <w:spacing w:before="0" w:after="0"/>
              <w:jc w:val="center"/>
              <w:rPr/>
            </w:pPr>
            <w:r>
              <w:rPr>
                <w:spacing w:val="2"/>
              </w:rPr>
              <w:t xml:space="preserve">Percent of Target </w:t>
              <w:br/>
              <w:t>PSUs Earned</w:t>
            </w:r>
            <w:r>
              <w:rPr/>
              <w:t xml:space="preserve"> </w:t>
            </w:r>
          </w:p>
        </w:tc>
        <w:tc>
          <w:tcPr>
            <w:tcW w:w="109" w:type="dxa"/>
            <w:tcBorders/>
            <w:shd w:fill="702076" w:val="cle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9"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Target ≥ +250 bps </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238"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30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9"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Target +125 bps </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238"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30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9"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Target </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238"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30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9"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Target – 125 bps </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238"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3091"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9" w:type="dxa"/>
            <w:tcBorders>
              <w:bottom w:val="single" w:sz="8" w:space="0" w:color="702076"/>
            </w:tcBorders>
            <w:tcMar>
              <w:bottom w:w="60" w:type="dxa"/>
            </w:tcMar>
            <w:vAlign w:val="center"/>
          </w:tcPr>
          <w:p>
            <w:pPr>
              <w:pStyle w:val="TableContents"/>
              <w:bidi w:val="0"/>
              <w:spacing w:before="0" w:after="0"/>
              <w:jc w:val="center"/>
              <w:rPr>
                <w:spacing w:val="2"/>
              </w:rPr>
            </w:pPr>
            <w:r>
              <w:rPr>
                <w:spacing w:val="2"/>
              </w:rPr>
              <w:t xml:space="preserve">Target ≤ 250 bps </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238"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238" w:type="dxa"/>
            <w:tcBorders>
              <w:bottom w:val="single" w:sz="8" w:space="0" w:color="702076"/>
            </w:tcBorders>
            <w:tcMar>
              <w:bottom w:w="28" w:type="dxa"/>
            </w:tcMar>
            <w:vAlign w:val="center"/>
          </w:tcPr>
          <w:p>
            <w:pPr>
              <w:pStyle w:val="TableContents"/>
              <w:bidi w:val="0"/>
              <w:spacing w:before="0" w:after="283"/>
              <w:jc w:val="left"/>
              <w:rPr/>
            </w:pPr>
            <w:r>
              <w:rPr/>
              <w:t>​</w:t>
            </w:r>
          </w:p>
        </w:tc>
        <w:tc>
          <w:tcPr>
            <w:tcW w:w="3091" w:type="dxa"/>
            <w:tcBorders>
              <w:bottom w:val="single" w:sz="8" w:space="0" w:color="702076"/>
            </w:tcBorders>
            <w:tcMar>
              <w:bottom w:w="6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8534" w:type="dxa"/>
            <w:gridSpan w:val="5"/>
            <w:tcBorders>
              <w:bottom w:val="single" w:sz="8" w:space="0" w:color="702076"/>
            </w:tcBorders>
            <w:shd w:fill="E5E5E5" w:val="clear"/>
            <w:tcMar>
              <w:bottom w:w="60" w:type="dxa"/>
            </w:tcMar>
            <w:vAlign w:val="center"/>
          </w:tcPr>
          <w:p>
            <w:pPr>
              <w:pStyle w:val="TableContents"/>
              <w:bidi w:val="0"/>
              <w:spacing w:lineRule="atLeast" w:line="200" w:before="0" w:after="0"/>
              <w:ind w:left="400" w:right="0" w:hanging="0"/>
              <w:jc w:val="both"/>
              <w:rPr/>
            </w:pPr>
            <w:r>
              <w:rPr>
                <w:spacing w:val="2"/>
              </w:rPr>
              <w:t>ROIC is defined as net operating profits divided by invested capital. The numerator, net operating profits, is defined as the Company’s adjusted operating income less share-based compensation expense and is tax affected by LivaNova’s adjusted tax rate. Adjusted operating income and adjusted tax rate are non-GAAP measures, provided in conjunction with the issuance of the Company’s quarterly earnings press release, while the denominator, invested capital, is defined as operating working capital plus other net operating assets. It excludes restricted cash, derivative assets and liabilities, long-term debt, and accrued legal settlements related to LivaNova’s 3T matter.</w:t>
            </w:r>
            <w:r>
              <w:rPr/>
              <w:t xml:space="preserve"> </w:t>
            </w:r>
            <w:r>
              <mc:AlternateContent>
                <mc:Choice Requires="wps">
                  <w:drawing>
                    <wp:anchor behindDoc="0" distT="0" distB="0" distL="0" distR="0" simplePos="0" locked="0" layoutInCell="1" allowOverlap="1" relativeHeight="582">
                      <wp:simplePos x="0" y="0"/>
                      <wp:positionH relativeFrom="column">
                        <wp:align>left</wp:align>
                      </wp:positionH>
                      <wp:positionV relativeFrom="line">
                        <wp:posOffset>635</wp:posOffset>
                      </wp:positionV>
                      <wp:extent cx="254000" cy="350520"/>
                      <wp:effectExtent l="0" t="0" r="0" b="0"/>
                      <wp:wrapSquare wrapText="right"/>
                      <wp:docPr id="346"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02076"/>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1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Special Inducement Grants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discussed above, under the terms of his offer letter, in connection with his appointment as CEO, Mr. Makatsaria was granted a one-time award of service-based restricted stock units and stock appreciation rights with a grant date fair value of $1,500,000 on March 30,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Mr. Tezel was granted a one-time award of service-based restricted stock units and stock appreciation rights with a grant date fair value of $500,000 on June 15, 2024 under the terms of his offer letter, in connection with his appointment as Chief Innovation Officer.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Vesting in 2024 of Performance Awards Made in Previous Years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rTSR PSUs Granted in 2022</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rTSR PSUs granted in March 2022 (the “2022 rTSR PSUs”) were subject to a three-year cliff vesting period with vesting contingent on the Company achieving a three-year (2022-2024) rTSR threshold level of at least the 30</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percentile of the 2022 rTSR comparator peer group. The Company ranked at the 36</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percentile of that group, and accordingly 58% of the 2022 rTSR PSUs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FCF PSUs Granted in 2022</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FCF PSUs granted in March 2022 (the “2022 FCF PSUs”) were subject to a three-year cliff vesting period with vesting contingent on the Company achieving a three-year (2022-2024) Adjusted FCF target level of $355 million. The Company reached 94% of this target ($333.8 million), and accordingly 88.1% of the 2022 FCF PSUs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ROIC PSUs Granted in 2022</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ROIC PSUs granted in March 2022 (the “2022 ROIC PSUs”) were subject to a three-year cliff vesting period with vesting contingent on the Company achieving a three-year (2022-2024) ROIC target level of 6.31%. The Company reached an ROIC of 5.77%, and accordingly 78.5% of the 2022 ROIC PSUs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Other Benefits and Perquisites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NEOs are provided with certain perquisites and other benefits to aid in the performance of their respective duties and to provide compensation competitive with that of executives with similar positions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48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4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17" descr=""/>
                          <pic:cNvPicPr>
                            <a:picLocks noChangeAspect="1" noChangeArrowheads="1"/>
                          </pic:cNvPicPr>
                        </pic:nvPicPr>
                        <pic:blipFill>
                          <a:blip r:embed="rId118"/>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4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18" descr=""/>
                    <pic:cNvPicPr>
                      <a:picLocks noChangeAspect="1" noChangeArrowheads="1"/>
                    </pic:cNvPicPr>
                  </pic:nvPicPr>
                  <pic:blipFill>
                    <a:blip r:embed="rId11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levels of responsibilities in their respective geographies. These benefits may include immigration assistance, car allowances, supplemental life insurance, supplemental health insurance, supplemental pension contributions, meal vouchers, and flexible benefit payments. Some of these are benefits received by all employees and so are not considered to be “perquisites” or “personal benefits” according to SEC rules, and, accordingly, do not appear in the Summary Compensation Table under </w:t>
      </w:r>
      <w:r>
        <w:rPr>
          <w:rFonts w:ascii="Tahoma;Geneva;sans-serif" w:hAnsi="Tahoma;Geneva;sans-serif"/>
          <w:b w:val="false"/>
          <w:i/>
          <w:caps w:val="false"/>
          <w:smallCaps w:val="false"/>
          <w:color w:val="000000"/>
          <w:sz w:val="20"/>
        </w:rPr>
        <w:t>All Other Compensation</w:t>
      </w:r>
      <w:r>
        <w:rPr>
          <w:rFonts w:ascii="Tahoma;Geneva;sans-serif" w:hAnsi="Tahoma;Geneva;sans-serif"/>
          <w:b w:val="false"/>
          <w:i w:val="false"/>
          <w:caps w:val="false"/>
          <w:smallCaps w:val="false"/>
          <w:color w:val="000000"/>
          <w:spacing w:val="2"/>
          <w:sz w:val="20"/>
        </w:rPr>
        <w:t xml:space="preserve">. However, some of the NEOs’ benefits are not offered to all other employees (e.g., car allowances) and accordingly are considered “perquisites” or “personal benefits” that are reflected in the Summary Compensation Table under </w:t>
      </w:r>
      <w:r>
        <w:rPr>
          <w:rFonts w:ascii="Tahoma;Geneva;sans-serif" w:hAnsi="Tahoma;Geneva;sans-serif"/>
          <w:b w:val="false"/>
          <w:i/>
          <w:caps w:val="false"/>
          <w:smallCaps w:val="false"/>
          <w:color w:val="000000"/>
          <w:sz w:val="20"/>
        </w:rPr>
        <w:t>All Other Compensation</w:t>
      </w:r>
      <w:r>
        <w:rPr>
          <w:rFonts w:ascii="Tahoma;Geneva;sans-serif" w:hAnsi="Tahoma;Geneva;sans-serif"/>
          <w:b w:val="false"/>
          <w:i w:val="false"/>
          <w:caps w:val="false"/>
          <w:smallCaps w:val="false"/>
          <w:color w:val="000000"/>
          <w:spacing w:val="2"/>
          <w:sz w:val="20"/>
        </w:rPr>
        <w:t xml:space="preserve"> and separately identified in footnotes as perquisites and other benefits.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Health/Welfare Plans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of LivaNova’s full-time US-based employees are eligible to participate in the Company’s health and welfare plans, including: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Medical, dental, and vision benefits;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2390" distB="0" distL="228600" distR="0" simplePos="0" locked="0" layoutInCell="1" allowOverlap="1" relativeHeight="583">
                <wp:simplePos x="0" y="0"/>
                <wp:positionH relativeFrom="column">
                  <wp:align>left</wp:align>
                </wp:positionH>
                <wp:positionV relativeFrom="line">
                  <wp:align>top</wp:align>
                </wp:positionV>
                <wp:extent cx="228600" cy="350520"/>
                <wp:effectExtent l="0" t="0" r="0" b="0"/>
                <wp:wrapSquare wrapText="right"/>
                <wp:docPr id="349" name="Frame2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Medical and dependent care flexible spending accounts;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84">
                <wp:simplePos x="0" y="0"/>
                <wp:positionH relativeFrom="column">
                  <wp:align>left</wp:align>
                </wp:positionH>
                <wp:positionV relativeFrom="line">
                  <wp:posOffset>635</wp:posOffset>
                </wp:positionV>
                <wp:extent cx="228600" cy="350520"/>
                <wp:effectExtent l="0" t="0" r="0" b="0"/>
                <wp:wrapSquare wrapText="right"/>
                <wp:docPr id="350" name="Frame2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Short-term and long-term disability insurance;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85">
                <wp:simplePos x="0" y="0"/>
                <wp:positionH relativeFrom="column">
                  <wp:align>left</wp:align>
                </wp:positionH>
                <wp:positionV relativeFrom="line">
                  <wp:posOffset>635</wp:posOffset>
                </wp:positionV>
                <wp:extent cx="228600" cy="350520"/>
                <wp:effectExtent l="0" t="0" r="0" b="0"/>
                <wp:wrapSquare wrapText="right"/>
                <wp:docPr id="351" name="Frame2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Group term life insurance.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86">
                <wp:simplePos x="0" y="0"/>
                <wp:positionH relativeFrom="column">
                  <wp:align>left</wp:align>
                </wp:positionH>
                <wp:positionV relativeFrom="line">
                  <wp:posOffset>635</wp:posOffset>
                </wp:positionV>
                <wp:extent cx="228600" cy="350520"/>
                <wp:effectExtent l="0" t="0" r="0" b="0"/>
                <wp:wrapSquare wrapText="right"/>
                <wp:docPr id="352" name="Frame2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Mr. Kozy chose to waive his right to participate in the standard employee benefits provided to LivaNova’s U.S. employees. Under the terms of his offer letter, he was entitled to tax advice and immigration support with respect to his business travel to the UK.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Outside the U.S., LivaNova employees are generally covered by a state-run health plan and may be eligible to participate in a supplemental health plan, depending on their geography and position in the Company. Until the end of her garden leave period, Ms. Hebbelinck is eligible to receive Company-paid supplemental private health insurance, group term life insurance, disability insurance, and tax assistance support.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Stock Ownership Guidelines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believes that meaningful equity ownership in the Company is an essential element in demonstrating the commitment of its directors and executive officers to creating value for its shareholders. As a result, the Company has established stock ownership requirements applicable to those individuals. Failure to maintain the required amount of equity ownership once attained may be a factor considered by the CHCM Committee in recommending and/or approving future awards for LivaNova’s executive officers.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market value of equity ownership in the Company is required to be at least: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Five times base salary for the CEO;</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587">
                <wp:simplePos x="0" y="0"/>
                <wp:positionH relativeFrom="column">
                  <wp:align>left</wp:align>
                </wp:positionH>
                <wp:positionV relativeFrom="line">
                  <wp:align>top</wp:align>
                </wp:positionV>
                <wp:extent cx="228600" cy="350520"/>
                <wp:effectExtent l="0" t="0" r="0" b="0"/>
                <wp:wrapSquare wrapText="right"/>
                <wp:docPr id="353" name="Frame2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Three times base salary for all executive officers, other than the CEO;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88">
                <wp:simplePos x="0" y="0"/>
                <wp:positionH relativeFrom="column">
                  <wp:align>left</wp:align>
                </wp:positionH>
                <wp:positionV relativeFrom="line">
                  <wp:posOffset>635</wp:posOffset>
                </wp:positionV>
                <wp:extent cx="228600" cy="350520"/>
                <wp:effectExtent l="0" t="0" r="0" b="0"/>
                <wp:wrapSquare wrapText="right"/>
                <wp:docPr id="354" name="Frame2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Five times the annual cash retainer for all non-executive directors.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89">
                <wp:simplePos x="0" y="0"/>
                <wp:positionH relativeFrom="column">
                  <wp:align>left</wp:align>
                </wp:positionH>
                <wp:positionV relativeFrom="line">
                  <wp:posOffset>635</wp:posOffset>
                </wp:positionV>
                <wp:extent cx="228600" cy="350520"/>
                <wp:effectExtent l="0" t="0" r="0" b="0"/>
                <wp:wrapSquare wrapText="right"/>
                <wp:docPr id="355" name="Frame2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market value of equity ownership for this purpose includes all (1) Ordinary Shares owned by the individual or held individually by or jointly with the individual’s spouse or children, and (2) all unvested, service-based restricted shares and restricted stock units owned by the individual. All shares and units are valued at the closing price of an Ordinary Share of LivaNova’s stock on the Nasdaq as of the relevant measurement date. Unearned, unvested PSUs and vested and unvested stock options are not counted towards the achievement of the applicable guidelines.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Until the relevant equity ownership threshold is achieved by each non-executive director and executive officer, such director or officer, as the case may be, should retain a minimum of the value equal to 100% of the net Ordinary Shares received (i.e., following tax withholding) until the relevant equity ownership threshold has been achieved. Following achievement of the relevant equity ownership threshold, Ordinary Shares in excess of such amount may be sold, subject to the Company’s Insider Trading Policy then in effect.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Clawback Policies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maintains two clawback polices — the LivaNova Compensation Recoupment Policy and the Incentive Compensation Clawback Policy.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5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19" descr=""/>
                          <pic:cNvPicPr>
                            <a:picLocks noChangeAspect="1" noChangeArrowheads="1"/>
                          </pic:cNvPicPr>
                        </pic:nvPicPr>
                        <pic:blipFill>
                          <a:blip r:embed="rId120"/>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49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HCMCR"/>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5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20" descr=""/>
                    <pic:cNvPicPr>
                      <a:picLocks noChangeAspect="1" noChangeArrowheads="1"/>
                    </pic:cNvPicPr>
                  </pic:nvPicPr>
                  <pic:blipFill>
                    <a:blip r:embed="rId12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LivaNova Compensation Recoupment Policy applies to both incentive cash bonus and service and performance-based equity incentive compensation awarded to executive officers, including all of LivaNova’s NEOs. Under the policy, to the extent permitted by applicable law and subject to the approval of the CHCM Committee, the Company may seek to recoup any incentive-based compensation awarded to any executive subject to the policy based 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achievement of financial results that are subsequently the subject of a restatement due to material noncompliance with any financial reporting requirement under either generally accepted accounting principles (“GAAP”) or the federal securities laws, other than as a result of changes to accounting rules and regulations, and regardless of individual fault;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590">
                <wp:simplePos x="0" y="0"/>
                <wp:positionH relativeFrom="column">
                  <wp:align>left</wp:align>
                </wp:positionH>
                <wp:positionV relativeFrom="line">
                  <wp:align>top</wp:align>
                </wp:positionV>
                <wp:extent cx="228600" cy="350520"/>
                <wp:effectExtent l="0" t="0" r="0" b="0"/>
                <wp:wrapSquare wrapText="right"/>
                <wp:docPr id="358" name="Frame2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subsequent finding by the CHCM Committee that financial information or performance metrics used to determine the amount of the incentive compensation are materially inaccurate, regardless of individual fault;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591">
                <wp:simplePos x="0" y="0"/>
                <wp:positionH relativeFrom="column">
                  <wp:align>left</wp:align>
                </wp:positionH>
                <wp:positionV relativeFrom="line">
                  <wp:align>top</wp:align>
                </wp:positionV>
                <wp:extent cx="228600" cy="350520"/>
                <wp:effectExtent l="0" t="0" r="0" b="0"/>
                <wp:wrapSquare wrapText="right"/>
                <wp:docPr id="359" name="Frame2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significant misconduct by an executive subject to the policy or an employee under the supervision of an executive subject to the policy, resulting in a violation of a significant Company policy, law or regulation that causes material harm to the Company. In addition, the existing equity grant agreements between the Company and its NEOs include recoupment provisions in specific circumstances, even after the awards have vested.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592">
                <wp:simplePos x="0" y="0"/>
                <wp:positionH relativeFrom="column">
                  <wp:align>left</wp:align>
                </wp:positionH>
                <wp:positionV relativeFrom="line">
                  <wp:align>top</wp:align>
                </wp:positionV>
                <wp:extent cx="228600" cy="350520"/>
                <wp:effectExtent l="0" t="0" r="0" b="0"/>
                <wp:wrapSquare wrapText="right"/>
                <wp:docPr id="360" name="Frame2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maintains the Incentive Compensation Clawback Policy, which was adopted in July 2023 pursuant to Nasdaq Rule 5608, consistent with the requirements of the Exchange Act Rule 10D-1.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Equity Grant Practices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typically grants equity awards, including SARs, to executive officers under the 2024 LTIP on the same date the Company grants annual equity awards for other employees, or, in the event of an executive who joins after approval of the annual awards, at the first predetermined equity award grant date following the commencement of their employment with the Company. The predetermined quarterly grant dates are March 30, June 15, September 15, and December 15. As the CHCM Committee has set these predetermined grant dates, the Committee does not take into account material nonpublic information when determining the timing of equity awards. Additionally, there is no formal policy providing any affirmative right to an LTIP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During fiscal year 2024, (1) none of the Company’s NEOs were awarded stock options or SARs with an effective grant date during any period beginning four business days before the filing or furnishing of a Form 10-Q, Form 10-K, or Form 8-K that disclosed material non-public information, and ending one business day after the filing or furnishing of such reports; and (2) the Company did not time the disclosure of material non-public information for the purpose of affecting the value of executive compensation.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Tax and Accounting Considerations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making its decisions regarding executive compensation, the CHCM Committee considers the tax deductibility of various aspects of the compensation program for LivaNova’s NEOs. However, the CHCM Committee believes that it must maintain flexibility in its approach to executive compensation in order to structure a program that it considers to be the most effective in attracting, motivating, developing, and retaining the Company’s key executives, and therefore, the deductibility of compensation is only one of several factors considered when making executive compensation decisions.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also considers the effect of certain accounting rules that apply to the various aspects of the compensation program for LivaNova’s NEOs. To that end, the CHCM Committee reviews potential accounting impacts in determining whether its compensation actions are in the best interests of the Company and its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Compensation and Human Capital Management Committee Report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Set out above is the CD&amp;A, which is a discussion of LivaNova’s executive compensation programs and policies written from the perspective of how the CHCM Committee and management view and use such programs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50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21" descr=""/>
                          <pic:cNvPicPr>
                            <a:picLocks noChangeAspect="1" noChangeArrowheads="1"/>
                          </pic:cNvPicPr>
                        </pic:nvPicPr>
                        <pic:blipFill>
                          <a:blip r:embed="rId122"/>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HCMCR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6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22" descr=""/>
                    <pic:cNvPicPr>
                      <a:picLocks noChangeAspect="1" noChangeArrowheads="1"/>
                    </pic:cNvPicPr>
                  </pic:nvPicPr>
                  <pic:blipFill>
                    <a:blip r:embed="rId12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9080"/>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policies. Given the CHCM Committee’s role in providing oversight of the design of those programs and policies, and in making specific compensation decisions for senior executives using those policies and programs, the CHCM Committee reviewed successive drafts of the Compensation Discussion and Analysis and discussed those with management. The CHCM Committee joins with management in welcoming shareholders to examine LivaNova’s pay practices and in affirming the commitment of these pay practices to the long-term interests of our shareholders. The CHCM Committee has reviewed and discussed the disclosure set forth above under the heading “Compensation Discussion and Analysis” with management and, based on the review and discussions, it has recommended to the Board that the “Compensation Discussion and Analysis” be included in LivaNova’s Form 10-K and the Company’s proxy statement for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Stacy Enxing Seng (Chair)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593">
                <wp:simplePos x="0" y="0"/>
                <wp:positionH relativeFrom="column">
                  <wp:align>left</wp:align>
                </wp:positionH>
                <wp:positionV relativeFrom="line">
                  <wp:align>top</wp:align>
                </wp:positionV>
                <wp:extent cx="228600" cy="350520"/>
                <wp:effectExtent l="0" t="0" r="0" b="0"/>
                <wp:wrapSquare wrapText="right"/>
                <wp:docPr id="363" name="Frame2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Francesco Bianchi</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94">
                <wp:simplePos x="0" y="0"/>
                <wp:positionH relativeFrom="column">
                  <wp:align>left</wp:align>
                </wp:positionH>
                <wp:positionV relativeFrom="line">
                  <wp:posOffset>635</wp:posOffset>
                </wp:positionV>
                <wp:extent cx="228600" cy="350520"/>
                <wp:effectExtent l="0" t="0" r="0" b="0"/>
                <wp:wrapSquare wrapText="right"/>
                <wp:docPr id="364" name="Frame2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Susan Podlogar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95">
                <wp:simplePos x="0" y="0"/>
                <wp:positionH relativeFrom="column">
                  <wp:align>left</wp:align>
                </wp:positionH>
                <wp:positionV relativeFrom="line">
                  <wp:posOffset>635</wp:posOffset>
                </wp:positionV>
                <wp:extent cx="228600" cy="350520"/>
                <wp:effectExtent l="0" t="0" r="0" b="0"/>
                <wp:wrapSquare wrapText="right"/>
                <wp:docPr id="365" name="Frame2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Peter Wilver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596">
                <wp:simplePos x="0" y="0"/>
                <wp:positionH relativeFrom="column">
                  <wp:align>left</wp:align>
                </wp:positionH>
                <wp:positionV relativeFrom="line">
                  <wp:posOffset>635</wp:posOffset>
                </wp:positionV>
                <wp:extent cx="228600" cy="350520"/>
                <wp:effectExtent l="0" t="0" r="0" b="0"/>
                <wp:wrapSquare wrapText="right"/>
                <wp:docPr id="366" name="Frame2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6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23" descr=""/>
                          <pic:cNvPicPr>
                            <a:picLocks noChangeAspect="1" noChangeArrowheads="1"/>
                          </pic:cNvPicPr>
                        </pic:nvPicPr>
                        <pic:blipFill>
                          <a:blip r:embed="rId124"/>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51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OTA1"/>
      <w:bookmarkEnd w:id="26"/>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6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24" descr=""/>
                    <pic:cNvPicPr>
                      <a:picLocks noChangeAspect="1" noChangeArrowheads="1"/>
                    </pic:cNvPicPr>
                  </pic:nvPicPr>
                  <pic:blipFill>
                    <a:blip r:embed="rId12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578" w:type="dxa"/>
        <w:jc w:val="left"/>
        <w:tblInd w:w="1173" w:type="dxa"/>
        <w:tblLayout w:type="fixed"/>
        <w:tblCellMar>
          <w:top w:w="0" w:type="dxa"/>
          <w:left w:w="0" w:type="dxa"/>
          <w:bottom w:w="0" w:type="dxa"/>
          <w:right w:w="0" w:type="dxa"/>
        </w:tblCellMar>
      </w:tblPr>
      <w:tblGrid>
        <w:gridCol w:w="124"/>
        <w:gridCol w:w="3300"/>
        <w:gridCol w:w="154"/>
      </w:tblGrid>
      <w:tr>
        <w:trPr/>
        <w:tc>
          <w:tcPr>
            <w:tcW w:w="124" w:type="dxa"/>
            <w:tcBorders/>
            <w:shd w:fill="702076" w:val="clear"/>
            <w:vAlign w:val="center"/>
          </w:tcPr>
          <w:p>
            <w:pPr>
              <w:pStyle w:val="TableContents"/>
              <w:bidi w:val="0"/>
              <w:spacing w:before="0" w:after="283"/>
              <w:jc w:val="left"/>
              <w:rPr/>
            </w:pPr>
            <w:r>
              <w:rPr/>
              <w:t>​</w:t>
            </w:r>
          </w:p>
        </w:tc>
        <w:tc>
          <w:tcPr>
            <w:tcW w:w="3300" w:type="dxa"/>
            <w:tcBorders/>
            <w:shd w:fill="702076" w:val="clear"/>
            <w:vAlign w:val="center"/>
          </w:tcPr>
          <w:p>
            <w:pPr>
              <w:pStyle w:val="TableContents"/>
              <w:bidi w:val="0"/>
              <w:spacing w:lineRule="atLeast" w:line="240" w:before="0" w:after="0"/>
              <w:jc w:val="center"/>
              <w:rPr/>
            </w:pPr>
            <w:r>
              <w:rPr>
                <w:spacing w:val="14"/>
              </w:rPr>
              <w:t>COMPENSATION TABLES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5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following table contains information about the compensation earned by each of LivaNova’s NEOs during each of the last three financial years unless such individual was an NEO for fewer than three years.</w:t>
      </w:r>
      <w:r>
        <w:rPr>
          <w:rFonts w:ascii="Arial Narrow;Arial;Tahoma;Geneva;sans-serif" w:hAnsi="Arial Narrow;Arial;Tahoma;Geneva;sans-serif"/>
          <w:b/>
          <w:i w:val="false"/>
          <w:caps w:val="false"/>
          <w:smallCaps w:val="false"/>
          <w:color w:val="000000"/>
          <w:spacing w:val="4"/>
          <w:sz w:val="20"/>
        </w:rPr>
        <w:t xml:space="preserve"> </w:t>
      </w:r>
    </w:p>
    <w:tbl>
      <w:tblPr>
        <w:tblW w:w="13477" w:type="dxa"/>
        <w:jc w:val="left"/>
        <w:tblInd w:w="1173" w:type="dxa"/>
        <w:tblLayout w:type="fixed"/>
        <w:tblCellMar>
          <w:top w:w="0" w:type="dxa"/>
          <w:left w:w="0" w:type="dxa"/>
          <w:bottom w:w="0" w:type="dxa"/>
          <w:right w:w="0" w:type="dxa"/>
        </w:tblCellMar>
      </w:tblPr>
      <w:tblGrid>
        <w:gridCol w:w="124"/>
        <w:gridCol w:w="109"/>
        <w:gridCol w:w="1071"/>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16"/>
        <w:gridCol w:w="116"/>
        <w:gridCol w:w="1142"/>
        <w:gridCol w:w="119"/>
        <w:gridCol w:w="109"/>
        <w:gridCol w:w="109"/>
        <w:gridCol w:w="109"/>
        <w:gridCol w:w="136"/>
        <w:gridCol w:w="136"/>
        <w:gridCol w:w="1112"/>
        <w:gridCol w:w="13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71" w:type="dxa"/>
            <w:tcBorders/>
            <w:shd w:fill="702076" w:val="clear"/>
            <w:tcMar>
              <w:top w:w="28" w:type="dxa"/>
              <w:left w:w="28" w:type="dxa"/>
              <w:bottom w:w="28" w:type="dxa"/>
              <w:right w:w="28" w:type="dxa"/>
            </w:tcMar>
            <w:vAlign w:val="center"/>
          </w:tcPr>
          <w:p>
            <w:pPr>
              <w:pStyle w:val="TableContents"/>
              <w:bidi w:val="0"/>
              <w:spacing w:before="0" w:after="283"/>
              <w:jc w:val="left"/>
              <w:rPr>
                <w:spacing w:val="2"/>
              </w:rPr>
            </w:pPr>
            <w:r>
              <w:rPr>
                <w:spacing w:val="2"/>
              </w:rPr>
              <w:t xml:space="preserve">Name | Principal Position </w:t>
              <w:br/>
              <w:t xml:space="preserve">and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Salary </w:t>
              <w:br/>
              <w:t>($)</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Bonus </w:t>
              <w:br/>
              <w:t>($)</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Stock </w:t>
              <w:br/>
              <w:t xml:space="preserve">Awards </w:t>
              <w:br/>
              <w:t>($)</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Option </w:t>
              <w:br/>
              <w:t xml:space="preserve">Awards </w:t>
              <w:br/>
              <w:t>($)</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3" w:type="dxa"/>
            <w:gridSpan w:val="4"/>
            <w:tcBorders/>
            <w:shd w:fill="702076" w:val="clear"/>
            <w:vAlign w:val="center"/>
          </w:tcPr>
          <w:p>
            <w:pPr>
              <w:pStyle w:val="TableContents"/>
              <w:bidi w:val="0"/>
              <w:spacing w:lineRule="atLeast" w:line="142" w:before="0" w:after="0"/>
              <w:jc w:val="center"/>
              <w:rPr/>
            </w:pPr>
            <w:r>
              <w:rPr>
                <w:spacing w:val="2"/>
              </w:rPr>
              <w:t xml:space="preserve">Non-Equity </w:t>
              <w:br/>
              <w:t xml:space="preserve">incentive </w:t>
              <w:br/>
              <w:t xml:space="preserve">Plan </w:t>
              <w:br/>
              <w:t xml:space="preserve">Compensation </w:t>
              <w:br/>
              <w:t>($)</w:t>
            </w:r>
            <w:r>
              <w:rPr>
                <w:spacing w:val="1"/>
                <w:sz w:val="10"/>
              </w:rPr>
              <w:t>(1)(4)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2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All Other </w:t>
              <w:br/>
              <w:t>Compensation</w:t>
            </w:r>
            <w:r>
              <w:rPr>
                <w:spacing w:val="1"/>
                <w:sz w:val="10"/>
              </w:rPr>
              <w:t>(1)(5)</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Total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D8D8D8" w:val="clear"/>
            <w:tcMar>
              <w:bottom w:w="32" w:type="dxa"/>
            </w:tcMar>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 xml:space="preserve">Vladimir Makatsaria | </w:t>
            </w:r>
            <w:r>
              <w:rPr>
                <w:i/>
              </w:rPr>
              <w:t>CEO</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772,615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5,221,154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2,087,474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1,072,540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356,889</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9,710,672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lineRule="atLeast" w:line="142" w:before="0" w:after="0"/>
              <w:jc w:val="left"/>
              <w:rPr/>
            </w:pPr>
            <w:r>
              <w:rPr>
                <w:spacing w:val="2"/>
              </w:rPr>
              <w:t xml:space="preserve">William Kozy | </w:t>
            </w:r>
            <w:r>
              <w:rPr>
                <w:i/>
              </w:rPr>
              <w:t>Former Interim CEO</w:t>
            </w:r>
            <w:r>
              <w:rPr>
                <w:i/>
                <w:sz w:val="10"/>
              </w:rPr>
              <w:t>(6)</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165,000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312,813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220,478</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128,813</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827,104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697,500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1,249,961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1,058,542</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54,722</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3,060,725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 xml:space="preserve">Alex Shvartsburg | </w:t>
            </w:r>
            <w:r>
              <w:rPr>
                <w:i/>
              </w:rPr>
              <w:t>CFO</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567,888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1,337,123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399,982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462,949</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61,747</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2,829,689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536,885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1,168,289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399,992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480,483</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185,531</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2,771,180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434,231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976,502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299,966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258,051</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159,916</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2,128,666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 xml:space="preserve">Ahmet Tezel | </w:t>
            </w:r>
            <w:r>
              <w:rPr>
                <w:i/>
              </w:rPr>
              <w:t>Chief Innovation Officer</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349,039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1,503,550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624,980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285,397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10,577</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2,773,543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 xml:space="preserve">Michael Hutchinson | </w:t>
            </w:r>
            <w:r>
              <w:rPr>
                <w:i/>
              </w:rPr>
              <w:t>Chief Legal Officer</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523,320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1,086,285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324,980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426,616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45,673</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2,406,874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505,077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730,181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249,983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451,424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35,686</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2,072,351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lineRule="atLeast" w:line="142" w:before="0" w:after="0"/>
              <w:jc w:val="left"/>
              <w:rPr/>
            </w:pPr>
            <w:r>
              <w:rPr>
                <w:spacing w:val="2"/>
              </w:rPr>
              <w:t xml:space="preserve">Franco Poletti | President, Cardiopulmonary </w:t>
            </w:r>
            <w:r>
              <w:rPr>
                <w:i/>
              </w:rPr>
              <w:t>Business Unit</w:t>
            </w:r>
            <w:r>
              <w:rPr>
                <w:i/>
                <w:sz w:val="10"/>
              </w:rPr>
              <w:t>(7)</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380,281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835,501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249,988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426,894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326,184</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2,218,848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702076" w:val="clear"/>
            <w:tcMar>
              <w:bottom w:w="51" w:type="dxa"/>
            </w:tcMar>
            <w:vAlign w:val="center"/>
          </w:tcPr>
          <w:p>
            <w:pPr>
              <w:pStyle w:val="TableContents"/>
              <w:bidi w:val="0"/>
              <w:spacing w:lineRule="atLeast" w:line="142" w:before="0" w:after="0"/>
              <w:jc w:val="left"/>
              <w:rPr/>
            </w:pPr>
            <w:r>
              <w:rPr>
                <w:spacing w:val="2"/>
              </w:rPr>
              <w:t xml:space="preserve">Trui Hebbelinck | </w:t>
            </w:r>
            <w:r>
              <w:rPr>
                <w:i/>
              </w:rPr>
              <w:t>Former CHRO</w:t>
            </w:r>
            <w:r>
              <w:rPr>
                <w:i/>
                <w:sz w:val="10"/>
              </w:rPr>
              <w:t>(8)</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316,934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752,154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224,978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208,303</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990,609</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2,492,978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396,347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657,120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224,994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354,284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144,415</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1,777,160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377,873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732,378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224,966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224,516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129,018</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1,688,751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D8D8D8" w:val="clear"/>
            <w:tcMar>
              <w:bottom w:w="51" w:type="dxa"/>
            </w:tcMar>
            <w:vAlign w:val="center"/>
          </w:tcPr>
          <w:p>
            <w:pPr>
              <w:pStyle w:val="TableContents"/>
              <w:bidi w:val="0"/>
              <w:spacing w:lineRule="atLeast" w:line="192" w:before="0" w:after="0"/>
              <w:ind w:left="320" w:right="0" w:hanging="0"/>
              <w:jc w:val="both"/>
              <w:rPr>
                <w:spacing w:val="2"/>
              </w:rPr>
            </w:pPr>
            <w:r>
              <w:rPr>
                <w:spacing w:val="2"/>
              </w:rPr>
              <w:t xml:space="preserve">For Messrs. Makatsaria and Tezel, the amounts represent their prorated salaries in 2024, starting March 1 and May 13 respectively. For Mr. Kozy, the amount represents his prorated salary until his last day as interim CEO on February 29, 2024. </w:t>
            </w:r>
            <w:r>
              <mc:AlternateContent>
                <mc:Choice Requires="wps">
                  <w:drawing>
                    <wp:anchor behindDoc="0" distT="0" distB="0" distL="0" distR="0" simplePos="0" locked="0" layoutInCell="1" allowOverlap="1" relativeHeight="597">
                      <wp:simplePos x="0" y="0"/>
                      <wp:positionH relativeFrom="column">
                        <wp:align>left</wp:align>
                      </wp:positionH>
                      <wp:positionV relativeFrom="line">
                        <wp:posOffset>635</wp:posOffset>
                      </wp:positionV>
                      <wp:extent cx="203200" cy="525780"/>
                      <wp:effectExtent l="0" t="0" r="0" b="0"/>
                      <wp:wrapSquare wrapText="right"/>
                      <wp:docPr id="369" name="Frame24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As provided in his offer letter, Mr. Makatsaria received a one-time signing bonus amounting to $200,000. If his employment is terminated by the Company for Cause (as defined in his offer letter) or by Mr. Makatsaria without Good Reason (as defined in his offer letter) before the second anniversary of his start date, he must repay the Company (i) 100% of the sign-on bonus if the termination occurs on or before the first anniversary of the start date, or (ii) 50% of the sign-on Bonus if the termination occurs after the first anniversary but on or before the second anniversary of his start date. </w:t>
            </w:r>
            <w:r>
              <mc:AlternateContent>
                <mc:Choice Requires="wps">
                  <w:drawing>
                    <wp:anchor behindDoc="0" distT="20320" distB="0" distL="0" distR="0" simplePos="0" locked="0" layoutInCell="1" allowOverlap="1" relativeHeight="598">
                      <wp:simplePos x="0" y="0"/>
                      <wp:positionH relativeFrom="column">
                        <wp:align>left</wp:align>
                      </wp:positionH>
                      <wp:positionV relativeFrom="line">
                        <wp:align>top</wp:align>
                      </wp:positionV>
                      <wp:extent cx="203200" cy="525780"/>
                      <wp:effectExtent l="0" t="0" r="0" b="0"/>
                      <wp:wrapSquare wrapText="right"/>
                      <wp:docPr id="370" name="Frame24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reflect the full grant-date fair value of PSUs, RSUs, and SARs granted and computed in accordance with Financial Accounting Standards Board Accounting Standards Codification (“FASB ASC”) Topic 718, rather than the amounts paid to or realized by the named individual. LivaNova provides information regarding the assumptions used to calculate the value of all PSUs, RSUs and SARs awards made to executive officers in Notes 2 and 13 to LivaNova audited financial statements in the Company’s U.S. Annual Report on Form 10-K for the year ended December 31, 2024. Under the terms of LivaNova’s PSU awards at grant, between 0% and 200% of the target number of shares subject to the awards can vest based on performance and the other vesting conditions applicable to the awards. For the PSUs awarded to LivaNova’s NEOs in 2024, the following table sets forth (i) the grant-date fair value of the awards determined in accordance with FASB ASC Topic 718, with these values determined based on a Monte Carlo simulation pricing model (included in the “Probable Outcome” column below) for the relative TSR PSUs and based on the last available stock price at grant date for the Adjusted Free Cash Flow and the ROIC PSUs, and (ii) the grant-date fair value of these awards assuming that the maximum level of performance was achieved.</w:t>
            </w:r>
            <w:r>
              <w:rPr/>
              <w:t xml:space="preserve"> </w:t>
            </w:r>
            <w:r>
              <mc:AlternateContent>
                <mc:Choice Requires="wps">
                  <w:drawing>
                    <wp:anchor behindDoc="0" distT="20320" distB="0" distL="0" distR="0" simplePos="0" locked="0" layoutInCell="1" allowOverlap="1" relativeHeight="599">
                      <wp:simplePos x="0" y="0"/>
                      <wp:positionH relativeFrom="column">
                        <wp:align>left</wp:align>
                      </wp:positionH>
                      <wp:positionV relativeFrom="line">
                        <wp:align>top</wp:align>
                      </wp:positionV>
                      <wp:extent cx="203200" cy="525780"/>
                      <wp:effectExtent l="0" t="0" r="0" b="0"/>
                      <wp:wrapSquare wrapText="right"/>
                      <wp:docPr id="371" name="Frame24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52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7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25" descr=""/>
                          <pic:cNvPicPr>
                            <a:picLocks noChangeAspect="1" noChangeArrowheads="1"/>
                          </pic:cNvPicPr>
                        </pic:nvPicPr>
                        <pic:blipFill>
                          <a:blip r:embed="rId12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7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26" descr=""/>
                    <pic:cNvPicPr>
                      <a:picLocks noChangeAspect="1" noChangeArrowheads="1"/>
                    </pic:cNvPicPr>
                  </pic:nvPicPr>
                  <pic:blipFill>
                    <a:blip r:embed="rId12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039"/>
        <w:gridCol w:w="109"/>
        <w:gridCol w:w="109"/>
        <w:gridCol w:w="109"/>
        <w:gridCol w:w="227"/>
        <w:gridCol w:w="227"/>
        <w:gridCol w:w="2234"/>
        <w:gridCol w:w="227"/>
        <w:gridCol w:w="109"/>
        <w:gridCol w:w="109"/>
        <w:gridCol w:w="109"/>
        <w:gridCol w:w="228"/>
        <w:gridCol w:w="228"/>
        <w:gridCol w:w="2239"/>
        <w:gridCol w:w="228"/>
        <w:gridCol w:w="109"/>
        <w:gridCol w:w="159"/>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39"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915" w:type="dxa"/>
            <w:gridSpan w:val="4"/>
            <w:tcBorders/>
            <w:shd w:fill="702076" w:val="clear"/>
            <w:vAlign w:val="center"/>
          </w:tcPr>
          <w:p>
            <w:pPr>
              <w:pStyle w:val="TableContents"/>
              <w:bidi w:val="0"/>
              <w:spacing w:before="0" w:after="0"/>
              <w:jc w:val="center"/>
              <w:rPr>
                <w:spacing w:val="2"/>
              </w:rPr>
            </w:pPr>
            <w:r>
              <w:rPr>
                <w:spacing w:val="2"/>
              </w:rPr>
              <w:t xml:space="preserve">PSUs – Probable Outcome of </w:t>
              <w:br/>
              <w:t xml:space="preserve">Performance Conditions PSUs </w:t>
              <w:br/>
              <w:t xml:space="preserve">Grant-Date Value ($)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923" w:type="dxa"/>
            <w:gridSpan w:val="4"/>
            <w:tcBorders/>
            <w:shd w:fill="702076" w:val="clear"/>
            <w:vAlign w:val="center"/>
          </w:tcPr>
          <w:p>
            <w:pPr>
              <w:pStyle w:val="TableContents"/>
              <w:bidi w:val="0"/>
              <w:spacing w:before="0" w:after="0"/>
              <w:jc w:val="center"/>
              <w:rPr>
                <w:spacing w:val="2"/>
              </w:rPr>
            </w:pPr>
            <w:r>
              <w:rPr>
                <w:spacing w:val="2"/>
              </w:rPr>
              <w:t xml:space="preserve">PSUs – Maximum Outcome of </w:t>
              <w:br/>
              <w:t xml:space="preserve">Performance Conditions PSUs </w:t>
              <w:br/>
              <w:t xml:space="preserve">Grant-Date Value ($) </w:t>
            </w:r>
          </w:p>
        </w:tc>
        <w:tc>
          <w:tcPr>
            <w:tcW w:w="109" w:type="dxa"/>
            <w:tcBorders/>
            <w:shd w:fill="702076" w:val="clear"/>
            <w:vAlign w:val="center"/>
          </w:tcPr>
          <w:p>
            <w:pPr>
              <w:pStyle w:val="TableContents"/>
              <w:bidi w:val="0"/>
              <w:spacing w:before="0" w:after="283"/>
              <w:jc w:val="left"/>
              <w:rPr/>
            </w:pPr>
            <w:r>
              <w:rPr/>
              <w:t>​</w:t>
            </w:r>
          </w:p>
        </w:tc>
        <w:tc>
          <w:tcPr>
            <w:tcW w:w="159"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3,133,697</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5,350,000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937,152</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1,600,000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878,607</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1,500,000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761,330</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1,300,000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585,566</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Trui Hebbelinck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527,163</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900,000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8754"/>
        <w:gridCol w:w="154"/>
      </w:tblGrid>
      <w:tr>
        <w:trPr/>
        <w:tc>
          <w:tcPr>
            <w:tcW w:w="124" w:type="dxa"/>
            <w:tcBorders/>
            <w:shd w:fill="D8D8D8" w:val="clear"/>
            <w:vAlign w:val="center"/>
          </w:tcPr>
          <w:p>
            <w:pPr>
              <w:pStyle w:val="TableContents"/>
              <w:bidi w:val="0"/>
              <w:spacing w:before="0" w:after="283"/>
              <w:jc w:val="left"/>
              <w:rPr/>
            </w:pPr>
            <w:r>
              <w:rPr/>
              <w:t>​</w:t>
            </w:r>
          </w:p>
        </w:tc>
        <w:tc>
          <w:tcPr>
            <w:tcW w:w="8754" w:type="dxa"/>
            <w:tcBorders/>
            <w:shd w:fill="D8D8D8" w:val="clear"/>
            <w:vAlign w:val="center"/>
          </w:tcPr>
          <w:p>
            <w:pPr>
              <w:pStyle w:val="TableContents"/>
              <w:bidi w:val="0"/>
              <w:spacing w:lineRule="atLeast" w:line="192" w:before="0" w:after="0"/>
              <w:ind w:left="300" w:right="0" w:hanging="0"/>
              <w:jc w:val="both"/>
              <w:rPr/>
            </w:pPr>
            <w:r>
              <w:rPr>
                <w:spacing w:val="2"/>
              </w:rPr>
              <w:t>In granting equity awards, the CHCM Committee values PSUs at the most recent closing price of an Ordinary Share of LivaNova stock on the Nasdaq as of the grant date with the value of PSUs based at the “target” level of performance. Under applicable accounting rules, however, the grant-date fair value of the rTSR PSUs awarded to LivaNova’s NEOs is calculated using a Monte Carlo simulation pricing model. The rTSR PSUs are included as compensation for LivaNova’s NEOs in the “Summary Compensation Table” based on this valuation methodology.</w:t>
            </w:r>
            <w:r>
              <w:rPr/>
              <w:t xml:space="preserve">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8754" w:type="dxa"/>
            <w:tcBorders/>
            <w:shd w:fill="D8D8D8" w:val="clear"/>
            <w:vAlign w:val="center"/>
          </w:tcPr>
          <w:p>
            <w:pPr>
              <w:pStyle w:val="TableContents"/>
              <w:bidi w:val="0"/>
              <w:spacing w:lineRule="atLeast" w:line="192" w:before="0" w:after="0"/>
              <w:ind w:left="300" w:right="0" w:hanging="0"/>
              <w:jc w:val="both"/>
              <w:rPr/>
            </w:pPr>
            <w:r>
              <w:rPr>
                <w:spacing w:val="2"/>
              </w:rPr>
              <w:t>The following table shows the values of the rTSR PSU awards approved by the CHCM Committee in 2024 that were used to determine the number of shares subject to the awards at “target” without taking the Monte Carlo simulation pricing model into account, as well as the accounting grant-date fair value of the rTSR PSUs required to be used under applicable SEC rules to report in the “Summary Compensation Table” ​(including the impact of the Monte Carlo simulation pricing model).</w:t>
            </w:r>
            <w:r>
              <w:rPr/>
              <w:t xml:space="preserve"> </w:t>
            </w:r>
          </w:p>
        </w:tc>
        <w:tc>
          <w:tcPr>
            <w:tcW w:w="154" w:type="dxa"/>
            <w:tcBorders/>
            <w:shd w:fill="D8D8D8"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2024"/>
        <w:gridCol w:w="140"/>
        <w:gridCol w:w="140"/>
        <w:gridCol w:w="140"/>
        <w:gridCol w:w="193"/>
        <w:gridCol w:w="193"/>
        <w:gridCol w:w="1891"/>
        <w:gridCol w:w="193"/>
        <w:gridCol w:w="140"/>
        <w:gridCol w:w="140"/>
        <w:gridCol w:w="140"/>
        <w:gridCol w:w="248"/>
        <w:gridCol w:w="248"/>
        <w:gridCol w:w="2444"/>
        <w:gridCol w:w="254"/>
        <w:gridCol w:w="109"/>
        <w:gridCol w:w="162"/>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024"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40" w:type="dxa"/>
            <w:tcBorders/>
            <w:shd w:fill="702076" w:val="clear"/>
            <w:vAlign w:val="center"/>
          </w:tcPr>
          <w:p>
            <w:pPr>
              <w:pStyle w:val="TableContents"/>
              <w:bidi w:val="0"/>
              <w:spacing w:before="0" w:after="283"/>
              <w:jc w:val="left"/>
              <w:rPr/>
            </w:pPr>
            <w:r>
              <w:rPr/>
              <w:t>​</w:t>
            </w:r>
          </w:p>
        </w:tc>
        <w:tc>
          <w:tcPr>
            <w:tcW w:w="140" w:type="dxa"/>
            <w:tcBorders/>
            <w:shd w:fill="BFBFBF" w:val="clear"/>
            <w:vAlign w:val="center"/>
          </w:tcPr>
          <w:p>
            <w:pPr>
              <w:pStyle w:val="TableContents"/>
              <w:bidi w:val="0"/>
              <w:spacing w:before="0" w:after="283"/>
              <w:jc w:val="left"/>
              <w:rPr/>
            </w:pPr>
            <w:r>
              <w:rPr/>
              <w:t>​</w:t>
            </w:r>
          </w:p>
        </w:tc>
        <w:tc>
          <w:tcPr>
            <w:tcW w:w="140" w:type="dxa"/>
            <w:tcBorders/>
            <w:shd w:fill="702076" w:val="clear"/>
            <w:vAlign w:val="center"/>
          </w:tcPr>
          <w:p>
            <w:pPr>
              <w:pStyle w:val="TableContents"/>
              <w:bidi w:val="0"/>
              <w:spacing w:before="0" w:after="283"/>
              <w:jc w:val="left"/>
              <w:rPr/>
            </w:pPr>
            <w:r>
              <w:rPr/>
              <w:t>​</w:t>
            </w:r>
          </w:p>
        </w:tc>
        <w:tc>
          <w:tcPr>
            <w:tcW w:w="2470" w:type="dxa"/>
            <w:gridSpan w:val="4"/>
            <w:tcBorders/>
            <w:shd w:fill="702076" w:val="clear"/>
            <w:vAlign w:val="center"/>
          </w:tcPr>
          <w:p>
            <w:pPr>
              <w:pStyle w:val="TableContents"/>
              <w:bidi w:val="0"/>
              <w:spacing w:before="0" w:after="0"/>
              <w:jc w:val="center"/>
              <w:rPr>
                <w:spacing w:val="2"/>
              </w:rPr>
            </w:pPr>
            <w:r>
              <w:rPr>
                <w:spacing w:val="2"/>
              </w:rPr>
              <w:t xml:space="preserve">rTSR PSUs Value Based on </w:t>
              <w:br/>
              <w:t xml:space="preserve">Grant Date Stock Price ($) </w:t>
            </w:r>
          </w:p>
        </w:tc>
        <w:tc>
          <w:tcPr>
            <w:tcW w:w="140" w:type="dxa"/>
            <w:tcBorders/>
            <w:shd w:fill="702076" w:val="clear"/>
            <w:vAlign w:val="center"/>
          </w:tcPr>
          <w:p>
            <w:pPr>
              <w:pStyle w:val="TableContents"/>
              <w:bidi w:val="0"/>
              <w:spacing w:before="0" w:after="283"/>
              <w:jc w:val="left"/>
              <w:rPr/>
            </w:pPr>
            <w:r>
              <w:rPr/>
              <w:t>​</w:t>
            </w:r>
          </w:p>
        </w:tc>
        <w:tc>
          <w:tcPr>
            <w:tcW w:w="140" w:type="dxa"/>
            <w:tcBorders/>
            <w:shd w:fill="BFBFBF" w:val="clear"/>
            <w:vAlign w:val="center"/>
          </w:tcPr>
          <w:p>
            <w:pPr>
              <w:pStyle w:val="TableContents"/>
              <w:bidi w:val="0"/>
              <w:spacing w:before="0" w:after="283"/>
              <w:jc w:val="left"/>
              <w:rPr/>
            </w:pPr>
            <w:r>
              <w:rPr/>
              <w:t>​</w:t>
            </w:r>
          </w:p>
        </w:tc>
        <w:tc>
          <w:tcPr>
            <w:tcW w:w="140" w:type="dxa"/>
            <w:tcBorders/>
            <w:shd w:fill="702076" w:val="clear"/>
            <w:vAlign w:val="center"/>
          </w:tcPr>
          <w:p>
            <w:pPr>
              <w:pStyle w:val="TableContents"/>
              <w:bidi w:val="0"/>
              <w:spacing w:before="0" w:after="283"/>
              <w:jc w:val="left"/>
              <w:rPr/>
            </w:pPr>
            <w:r>
              <w:rPr/>
              <w:t>​</w:t>
            </w:r>
          </w:p>
        </w:tc>
        <w:tc>
          <w:tcPr>
            <w:tcW w:w="3194" w:type="dxa"/>
            <w:gridSpan w:val="4"/>
            <w:tcBorders/>
            <w:shd w:fill="702076" w:val="clear"/>
            <w:vAlign w:val="center"/>
          </w:tcPr>
          <w:p>
            <w:pPr>
              <w:pStyle w:val="TableContents"/>
              <w:bidi w:val="0"/>
              <w:spacing w:before="0" w:after="0"/>
              <w:jc w:val="center"/>
              <w:rPr>
                <w:spacing w:val="2"/>
              </w:rPr>
            </w:pPr>
            <w:r>
              <w:rPr>
                <w:spacing w:val="2"/>
              </w:rPr>
              <w:t xml:space="preserve">rTSR PSUs — Value included in Summary </w:t>
              <w:br/>
              <w:t xml:space="preserve">Compensation Table ($) </w:t>
            </w:r>
          </w:p>
        </w:tc>
        <w:tc>
          <w:tcPr>
            <w:tcW w:w="109" w:type="dxa"/>
            <w:tcBorders/>
            <w:shd w:fill="702076" w:val="clear"/>
            <w:vAlign w:val="center"/>
          </w:tcPr>
          <w:p>
            <w:pPr>
              <w:pStyle w:val="TableContents"/>
              <w:bidi w:val="0"/>
              <w:spacing w:before="0" w:after="283"/>
              <w:jc w:val="left"/>
              <w:rPr/>
            </w:pPr>
            <w:r>
              <w:rPr/>
              <w:t>​</w:t>
            </w:r>
          </w:p>
        </w:tc>
        <w:tc>
          <w:tcPr>
            <w:tcW w:w="162"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1,337,500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1,796,283</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400,000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537,180</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375,000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503,631</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325,000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436,430</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Franco Poletti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250,000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335,680</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Trui Hebbelinck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225,000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302,173</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28" w:type="dxa"/>
            <w:gridSpan w:val="15"/>
            <w:tcBorders>
              <w:bottom w:val="single" w:sz="6" w:space="0" w:color="BFBFBF"/>
            </w:tcBorders>
            <w:shd w:fill="D8D8D8" w:val="clear"/>
            <w:tcMar>
              <w:bottom w:w="51" w:type="dxa"/>
            </w:tcMar>
            <w:vAlign w:val="center"/>
          </w:tcPr>
          <w:p>
            <w:pPr>
              <w:pStyle w:val="TableContents"/>
              <w:bidi w:val="0"/>
              <w:spacing w:lineRule="atLeast" w:line="160" w:before="0" w:after="0"/>
              <w:ind w:left="320" w:right="0" w:hanging="0"/>
              <w:jc w:val="left"/>
              <w:rPr>
                <w:spacing w:val="2"/>
              </w:rPr>
            </w:pPr>
            <w:r>
              <w:rPr>
                <w:spacing w:val="2"/>
              </w:rPr>
              <w:t xml:space="preserve">Values in this column reflect payments in respect of the relevant year’s short-term incentive plan. </w:t>
            </w:r>
            <w:r>
              <mc:AlternateContent>
                <mc:Choice Requires="wps">
                  <w:drawing>
                    <wp:anchor behindDoc="0" distT="0" distB="0" distL="0" distR="0" simplePos="0" locked="0" layoutInCell="1" allowOverlap="1" relativeHeight="600">
                      <wp:simplePos x="0" y="0"/>
                      <wp:positionH relativeFrom="column">
                        <wp:align>left</wp:align>
                      </wp:positionH>
                      <wp:positionV relativeFrom="line">
                        <wp:posOffset>635</wp:posOffset>
                      </wp:positionV>
                      <wp:extent cx="203200" cy="525780"/>
                      <wp:effectExtent l="0" t="0" r="0" b="0"/>
                      <wp:wrapSquare wrapText="right"/>
                      <wp:docPr id="374" name="Frame24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amounts reported in the “All Other Compensation” column represent the aggregate dollar amount for all other benefits and payment received by LivaNova’s NEOs. The following table shows the nature of the benefits and payments and specific amounts for each of the Company’s NEOs in 2024:</w:t>
            </w:r>
            <w:r>
              <w:rPr/>
              <w:t xml:space="preserve"> </w:t>
            </w:r>
            <w:r>
              <mc:AlternateContent>
                <mc:Choice Requires="wps">
                  <w:drawing>
                    <wp:anchor behindDoc="0" distT="20320" distB="0" distL="0" distR="0" simplePos="0" locked="0" layoutInCell="1" allowOverlap="1" relativeHeight="601">
                      <wp:simplePos x="0" y="0"/>
                      <wp:positionH relativeFrom="column">
                        <wp:align>left</wp:align>
                      </wp:positionH>
                      <wp:positionV relativeFrom="line">
                        <wp:align>top</wp:align>
                      </wp:positionV>
                      <wp:extent cx="203200" cy="525780"/>
                      <wp:effectExtent l="0" t="0" r="0" b="0"/>
                      <wp:wrapSquare wrapText="right"/>
                      <wp:docPr id="375" name="Frame24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62" w:type="dxa"/>
            <w:tcBorders/>
            <w:shd w:fill="D8D8D8" w:val="clear"/>
            <w:vAlign w:val="center"/>
          </w:tcPr>
          <w:p>
            <w:pPr>
              <w:pStyle w:val="TableContents"/>
              <w:bidi w:val="0"/>
              <w:spacing w:before="0" w:after="283"/>
              <w:jc w:val="left"/>
              <w:rPr/>
            </w:pPr>
            <w:r>
              <w:rPr/>
              <w:t>​</w:t>
            </w:r>
          </w:p>
        </w:tc>
      </w:tr>
    </w:tbl>
    <w:tbl>
      <w:tblPr>
        <w:tblW w:w="11304"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41"/>
        <w:gridCol w:w="141"/>
        <w:gridCol w:w="993"/>
        <w:gridCol w:w="143"/>
        <w:gridCol w:w="109"/>
        <w:gridCol w:w="109"/>
        <w:gridCol w:w="109"/>
        <w:gridCol w:w="115"/>
        <w:gridCol w:w="115"/>
        <w:gridCol w:w="810"/>
        <w:gridCol w:w="117"/>
        <w:gridCol w:w="109"/>
        <w:gridCol w:w="109"/>
        <w:gridCol w:w="109"/>
        <w:gridCol w:w="127"/>
        <w:gridCol w:w="127"/>
        <w:gridCol w:w="1037"/>
        <w:gridCol w:w="129"/>
        <w:gridCol w:w="109"/>
        <w:gridCol w:w="109"/>
        <w:gridCol w:w="109"/>
        <w:gridCol w:w="129"/>
        <w:gridCol w:w="129"/>
        <w:gridCol w:w="769"/>
        <w:gridCol w:w="132"/>
        <w:gridCol w:w="109"/>
        <w:gridCol w:w="109"/>
        <w:gridCol w:w="109"/>
        <w:gridCol w:w="109"/>
        <w:gridCol w:w="109"/>
        <w:gridCol w:w="886"/>
        <w:gridCol w:w="10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66"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18"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Supplemental </w:t>
              <w:br/>
              <w:t xml:space="preserve">Health </w:t>
              <w:br/>
              <w:t xml:space="preserve">Insurance </w:t>
              <w:br/>
              <w:t>($)</w:t>
            </w:r>
            <w:r>
              <w:rPr>
                <w:spacing w:val="1"/>
                <w:sz w:val="10"/>
              </w:rPr>
              <w:t>(a)</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7"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Car Benefit/ </w:t>
              <w:br/>
              <w:t xml:space="preserve">Allowance </w:t>
              <w:br/>
              <w:t>($)</w:t>
            </w:r>
            <w:r>
              <w:rPr>
                <w:spacing w:val="1"/>
                <w:sz w:val="10"/>
              </w:rPr>
              <w:t>(b)</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20" w:type="dxa"/>
            <w:gridSpan w:val="4"/>
            <w:tcBorders/>
            <w:shd w:fill="702076" w:val="clear"/>
            <w:vAlign w:val="center"/>
          </w:tcPr>
          <w:p>
            <w:pPr>
              <w:pStyle w:val="TableContents"/>
              <w:bidi w:val="0"/>
              <w:spacing w:lineRule="atLeast" w:line="142" w:before="0" w:after="0"/>
              <w:jc w:val="center"/>
              <w:rPr/>
            </w:pPr>
            <w:r>
              <w:rPr>
                <w:spacing w:val="2"/>
              </w:rPr>
              <w:t xml:space="preserve">Contribution </w:t>
              <w:br/>
              <w:t xml:space="preserve">Plan –  </w:t>
              <w:br/>
              <w:t xml:space="preserve">registrant </w:t>
              <w:br/>
              <w:t xml:space="preserve">Contributions </w:t>
              <w:br/>
              <w:t>($)</w:t>
            </w:r>
            <w:r>
              <w:rPr>
                <w:spacing w:val="1"/>
                <w:sz w:val="10"/>
              </w:rPr>
              <w:t>(c)</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Tax </w:t>
              <w:br/>
              <w:t>Assistance</w:t>
            </w:r>
            <w:r>
              <w:rPr>
                <w:spacing w:val="1"/>
                <w:sz w:val="10"/>
              </w:rPr>
              <w:t>(d)</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Other </w:t>
              <w:br/>
              <w:t>($)</w:t>
            </w:r>
            <w:r>
              <w:rPr>
                <w:spacing w:val="1"/>
                <w:sz w:val="10"/>
              </w:rPr>
              <w:t>(e)</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Total </w:t>
              <w:b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18,883</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80,245</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7,806</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356,889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William Kozy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1,917</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126,896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128,813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15,343</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30,952</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5,000</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10,452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61,747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10,577</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10,577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24,424</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12,416</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8,833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45,673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6,901</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11,309</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103,052</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204,922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326,184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Trui Hebbelinck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11,425</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12,650</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28" w:type="dxa"/>
            </w:tcMar>
            <w:vAlign w:val="center"/>
          </w:tcPr>
          <w:p>
            <w:pPr>
              <w:pStyle w:val="TableContents"/>
              <w:bidi w:val="0"/>
              <w:spacing w:before="0" w:after="283"/>
              <w:jc w:val="left"/>
              <w:rPr/>
            </w:pPr>
            <w:r>
              <w:rPr/>
              <w:t>​</w:t>
            </w:r>
          </w:p>
        </w:tc>
        <w:tc>
          <w:tcPr>
            <w:tcW w:w="127" w:type="dxa"/>
            <w:tcBorders>
              <w:bottom w:val="single" w:sz="6" w:space="0" w:color="BFBFBF"/>
            </w:tcBorders>
            <w:tcMar>
              <w:bottom w:w="51" w:type="dxa"/>
            </w:tcMar>
            <w:vAlign w:val="center"/>
          </w:tcPr>
          <w:p>
            <w:pPr>
              <w:pStyle w:val="TableContents"/>
              <w:bidi w:val="0"/>
              <w:spacing w:before="0" w:after="283"/>
              <w:jc w:val="right"/>
              <w:rPr/>
            </w:pPr>
            <w:r>
              <w:rPr/>
              <w:t>​</w:t>
            </w:r>
          </w:p>
        </w:tc>
        <w:tc>
          <w:tcPr>
            <w:tcW w:w="1037" w:type="dxa"/>
            <w:tcBorders>
              <w:bottom w:val="single" w:sz="6" w:space="0" w:color="BFBFBF"/>
            </w:tcBorders>
            <w:tcMar>
              <w:bottom w:w="51" w:type="dxa"/>
            </w:tcMar>
            <w:vAlign w:val="center"/>
          </w:tcPr>
          <w:p>
            <w:pPr>
              <w:pStyle w:val="TableContents"/>
              <w:bidi w:val="0"/>
              <w:spacing w:before="0" w:after="283"/>
              <w:jc w:val="right"/>
              <w:rPr/>
            </w:pPr>
            <w:r>
              <w:rPr/>
              <w:t>78,786</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51" w:type="dxa"/>
            </w:tcMar>
            <w:vAlign w:val="center"/>
          </w:tcPr>
          <w:p>
            <w:pPr>
              <w:pStyle w:val="TableContents"/>
              <w:bidi w:val="0"/>
              <w:spacing w:before="0" w:after="283"/>
              <w:jc w:val="right"/>
              <w:rPr/>
            </w:pPr>
            <w:r>
              <w:rPr/>
              <w:t>​</w:t>
            </w:r>
          </w:p>
        </w:tc>
        <w:tc>
          <w:tcPr>
            <w:tcW w:w="769" w:type="dxa"/>
            <w:tcBorders>
              <w:bottom w:val="single" w:sz="6" w:space="0" w:color="BFBFBF"/>
            </w:tcBorders>
            <w:tcMar>
              <w:bottom w:w="51" w:type="dxa"/>
            </w:tcMar>
            <w:vAlign w:val="center"/>
          </w:tcPr>
          <w:p>
            <w:pPr>
              <w:pStyle w:val="TableContents"/>
              <w:bidi w:val="0"/>
              <w:spacing w:before="0" w:after="283"/>
              <w:jc w:val="right"/>
              <w:rPr/>
            </w:pPr>
            <w:r>
              <w:rPr/>
              <w:t>1,227</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886,521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990,609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ind w:left="480" w:right="0" w:hanging="0"/>
              <w:jc w:val="both"/>
              <w:rPr>
                <w:spacing w:val="2"/>
              </w:rPr>
            </w:pPr>
            <w:r>
              <w:rPr>
                <w:spacing w:val="2"/>
              </w:rPr>
              <w:t xml:space="preserve">Represents the private medical insurance provided for Messrs. Makatsaria, Shvartsburg, Poletti and Hutchinson and Ms. Hebbelinck. </w:t>
            </w:r>
            <w:r>
              <mc:AlternateContent>
                <mc:Choice Requires="wps">
                  <w:drawing>
                    <wp:anchor behindDoc="0" distT="0" distB="0" distL="101600" distR="0" simplePos="0" locked="0" layoutInCell="1" allowOverlap="1" relativeHeight="602">
                      <wp:simplePos x="0" y="0"/>
                      <wp:positionH relativeFrom="column">
                        <wp:align>left</wp:align>
                      </wp:positionH>
                      <wp:positionV relativeFrom="line">
                        <wp:posOffset>635</wp:posOffset>
                      </wp:positionV>
                      <wp:extent cx="203200" cy="525780"/>
                      <wp:effectExtent l="0" t="0" r="0" b="0"/>
                      <wp:wrapSquare wrapText="right"/>
                      <wp:docPr id="376" name="Frame25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the lease cost of the car provided to Mr. Poletti and the car allowance paid to Ms. Hebbelinck; these benefits are customary for UK and Italian executive compensation packages. </w:t>
            </w:r>
            <w:r>
              <mc:AlternateContent>
                <mc:Choice Requires="wps">
                  <w:drawing>
                    <wp:anchor behindDoc="0" distT="20320" distB="0" distL="101600" distR="0" simplePos="0" locked="0" layoutInCell="1" allowOverlap="1" relativeHeight="603">
                      <wp:simplePos x="0" y="0"/>
                      <wp:positionH relativeFrom="column">
                        <wp:align>left</wp:align>
                      </wp:positionH>
                      <wp:positionV relativeFrom="line">
                        <wp:align>top</wp:align>
                      </wp:positionV>
                      <wp:extent cx="203200" cy="525780"/>
                      <wp:effectExtent l="0" t="0" r="0" b="0"/>
                      <wp:wrapSquare wrapText="right"/>
                      <wp:docPr id="377" name="Frame25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Company-matching contributions to a defined contribution retirement plan (see — 2024 Nonqualified Deferred Compensation). For Messrs. Makatsaria and Shvartsburg, includes contributions pursuant to both the Company sponsored 401(k) plan and non-qualified deferred compensation plan. For Messrs. Tezel and Hutchinson. includes only Company contributions pursuant to the Company sponsored 401(k) plan. For Mr. Poletti, includes the Italian qualified end of service fund (so called TFR) which is equal to 1/13.5 of his recurring compensation item (salary and bonus) and additional supplementary pension per national collective agreement, customary for an executive in Italy. For Ms. Hebbelinck, includes contributions pursuant to a personal pension plan sponsored by the Company. </w:t>
            </w:r>
            <w:r>
              <mc:AlternateContent>
                <mc:Choice Requires="wps">
                  <w:drawing>
                    <wp:anchor behindDoc="0" distT="20320" distB="0" distL="101600" distR="0" simplePos="0" locked="0" layoutInCell="1" allowOverlap="1" relativeHeight="604">
                      <wp:simplePos x="0" y="0"/>
                      <wp:positionH relativeFrom="column">
                        <wp:align>left</wp:align>
                      </wp:positionH>
                      <wp:positionV relativeFrom="line">
                        <wp:align>top</wp:align>
                      </wp:positionV>
                      <wp:extent cx="203200" cy="525780"/>
                      <wp:effectExtent l="0" t="0" r="0" b="0"/>
                      <wp:wrapSquare wrapText="right"/>
                      <wp:docPr id="378" name="Frame25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fees associated with tax assistance provided to the relevant NEO to manage their tax compliance in several jurisdictions, including the U.S. and the UK. </w:t>
            </w:r>
            <w:r>
              <mc:AlternateContent>
                <mc:Choice Requires="wps">
                  <w:drawing>
                    <wp:anchor behindDoc="0" distT="20320" distB="0" distL="101600" distR="0" simplePos="0" locked="0" layoutInCell="1" allowOverlap="1" relativeHeight="605">
                      <wp:simplePos x="0" y="0"/>
                      <wp:positionH relativeFrom="column">
                        <wp:align>left</wp:align>
                      </wp:positionH>
                      <wp:positionV relativeFrom="line">
                        <wp:align>top</wp:align>
                      </wp:positionV>
                      <wp:extent cx="203200" cy="525780"/>
                      <wp:effectExtent l="0" t="0" r="0" b="0"/>
                      <wp:wrapSquare wrapText="right"/>
                      <wp:docPr id="379" name="Frame25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8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27" descr=""/>
                          <pic:cNvPicPr>
                            <a:picLocks noChangeAspect="1" noChangeArrowheads="1"/>
                          </pic:cNvPicPr>
                        </pic:nvPicPr>
                        <pic:blipFill>
                          <a:blip r:embed="rId128"/>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53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8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28" descr=""/>
                    <pic:cNvPicPr>
                      <a:picLocks noChangeAspect="1" noChangeArrowheads="1"/>
                    </pic:cNvPicPr>
                  </pic:nvPicPr>
                  <pic:blipFill>
                    <a:blip r:embed="rId12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ind w:left="480" w:right="0" w:hanging="0"/>
              <w:jc w:val="left"/>
              <w:rPr>
                <w:spacing w:val="2"/>
              </w:rPr>
            </w:pPr>
            <w:r>
              <w:rPr>
                <w:spacing w:val="2"/>
              </w:rPr>
              <w:t xml:space="preserve">For Mr. Makatsaria, represents his relocation assistance payment and temporary living expenses while in between permanent housing. If his employment ends by the Company for cause or by the executive without good reason before the second anniversary of his start date, the following repayment terms apply: 100% if termination occurs within the first year, or 50% if termination occurs between the first and second years. For Mr. Kozy, represents his prorated non-executive director fees paid from March 1, 2025 through December 31, 2025. For Mr. Shvartsburg, represents relocation benefits ($957) and long-term disability insurance premium ($9,495). For Mr. Poletti represents fixed allowance that was paid while performing the role of CP Business Unit General Manager ad interim ($113,570), waiver that was paid to him as part of his transition from an open term agreement to a fixed term agreement ($5,408), a flexible benefit ($973), travel allowance ($8,115), and cash in lieu of vacation accrued in 2024 and prior years ($76,856). For Ms. Hebbelinck, represents ex-gratia severance payment ($296,436), value of the accrued garden leave payment ($509,143), tax assistance and filing for UK tax year 2024/2025 and 2025/2025 ($7,666), private medical cost for the period from her last working date and the end of garden leave ($16,333), outplacement counselling ($25,000), and legal fees ($31,943). </w:t>
            </w:r>
            <w:r>
              <mc:AlternateContent>
                <mc:Choice Requires="wps">
                  <w:drawing>
                    <wp:anchor behindDoc="0" distT="0" distB="0" distL="101600" distR="0" simplePos="0" locked="0" layoutInCell="1" allowOverlap="1" relativeHeight="606">
                      <wp:simplePos x="0" y="0"/>
                      <wp:positionH relativeFrom="column">
                        <wp:align>left</wp:align>
                      </wp:positionH>
                      <wp:positionV relativeFrom="line">
                        <wp:posOffset>635</wp:posOffset>
                      </wp:positionV>
                      <wp:extent cx="203200" cy="525780"/>
                      <wp:effectExtent l="0" t="0" r="0" b="0"/>
                      <wp:wrapSquare wrapText="right"/>
                      <wp:docPr id="382" name="Frame25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192" w:before="0" w:after="283"/>
                              <w:jc w:val="left"/>
                              <w:rPr/>
                            </w:pPr>
                            <w:r>
                              <w:rPr>
                                <w:spacing w:val="2"/>
                              </w:rPr>
                              <w:t>(e)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left"/>
              <w:rPr>
                <w:spacing w:val="2"/>
              </w:rPr>
            </w:pPr>
            <w:r>
              <w:rPr>
                <w:spacing w:val="2"/>
              </w:rPr>
              <w:t xml:space="preserve">Mr. Kozy served as Board Chair and Interim Chief Executive Officer until February 29, 2024 and as the Company’s Board Chair and non-executive director from March 1, 2024. </w:t>
            </w:r>
            <w:r>
              <mc:AlternateContent>
                <mc:Choice Requires="wps">
                  <w:drawing>
                    <wp:anchor behindDoc="0" distT="20320" distB="0" distL="0" distR="0" simplePos="0" locked="0" layoutInCell="1" allowOverlap="1" relativeHeight="607">
                      <wp:simplePos x="0" y="0"/>
                      <wp:positionH relativeFrom="column">
                        <wp:align>left</wp:align>
                      </wp:positionH>
                      <wp:positionV relativeFrom="line">
                        <wp:align>top</wp:align>
                      </wp:positionV>
                      <wp:extent cx="203200" cy="525780"/>
                      <wp:effectExtent l="0" t="0" r="0" b="0"/>
                      <wp:wrapSquare wrapText="right"/>
                      <wp:docPr id="383" name="Frame25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left"/>
              <w:rPr>
                <w:spacing w:val="2"/>
              </w:rPr>
            </w:pPr>
            <w:r>
              <w:rPr>
                <w:spacing w:val="2"/>
              </w:rPr>
              <w:t xml:space="preserve">Mr. Poletti served as General Manager CP ad interim before his appointment as CP Business Unit President on August 1, 2025. For purposes of reporting his compensation, LivaNova used an exchange rate of $1.08162 per Euro reflecting the applicable period average published rate from the Company’s OneStream Finance System between January 1, 2024 and December 31, 2024. </w:t>
            </w:r>
            <w:r>
              <mc:AlternateContent>
                <mc:Choice Requires="wps">
                  <w:drawing>
                    <wp:anchor behindDoc="0" distT="20320" distB="0" distL="0" distR="0" simplePos="0" locked="0" layoutInCell="1" allowOverlap="1" relativeHeight="608">
                      <wp:simplePos x="0" y="0"/>
                      <wp:positionH relativeFrom="column">
                        <wp:align>left</wp:align>
                      </wp:positionH>
                      <wp:positionV relativeFrom="line">
                        <wp:align>top</wp:align>
                      </wp:positionV>
                      <wp:extent cx="203200" cy="525780"/>
                      <wp:effectExtent l="0" t="0" r="0" b="0"/>
                      <wp:wrapSquare wrapText="right"/>
                      <wp:docPr id="384" name="Frame25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left"/>
              <w:rPr/>
            </w:pPr>
            <w:r>
              <w:rPr>
                <w:spacing w:val="2"/>
              </w:rPr>
              <w:t>Ms. Hebbelinck served as Chief Human Resources Officer until September 30, 2024. For purposes of reporting her 2024 compensation, LivaNova used an exchange rate of $1.277743 per British Pound, reflecting the applicable period average published rate from the Company’s OneStream Finance System between January 1, 2024 and December 31, 2024.</w:t>
            </w:r>
            <w:r>
              <w:rPr/>
              <w:t xml:space="preserve"> </w:t>
            </w:r>
            <w:r>
              <mc:AlternateContent>
                <mc:Choice Requires="wps">
                  <w:drawing>
                    <wp:anchor behindDoc="0" distT="20320" distB="0" distL="0" distR="0" simplePos="0" locked="0" layoutInCell="1" allowOverlap="1" relativeHeight="609">
                      <wp:simplePos x="0" y="0"/>
                      <wp:positionH relativeFrom="column">
                        <wp:align>left</wp:align>
                      </wp:positionH>
                      <wp:positionV relativeFrom="line">
                        <wp:align>top</wp:align>
                      </wp:positionV>
                      <wp:extent cx="203200" cy="525780"/>
                      <wp:effectExtent l="0" t="0" r="0" b="0"/>
                      <wp:wrapSquare wrapText="right"/>
                      <wp:docPr id="385" name="Frame25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30"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2024 Grants of Plan-Based Awards Table</w:t>
      </w:r>
      <w:r>
        <w:rPr>
          <w:rFonts w:ascii="Arial;Tahoma;Geneva;sans-serif" w:hAnsi="Arial;Tahoma;Geneva;sans-serif"/>
          <w:b/>
          <w:i/>
          <w:caps w:val="false"/>
          <w:smallCaps w:val="false"/>
          <w:color w:val="000000"/>
          <w:spacing w:val="4"/>
          <w:sz w:val="20"/>
        </w:rPr>
        <w:t xml:space="preserve"> </w:t>
      </w:r>
    </w:p>
    <w:tbl>
      <w:tblPr>
        <w:tblW w:w="16802" w:type="dxa"/>
        <w:jc w:val="left"/>
        <w:tblInd w:w="1173" w:type="dxa"/>
        <w:tblLayout w:type="fixed"/>
        <w:tblCellMar>
          <w:top w:w="0" w:type="dxa"/>
          <w:left w:w="0" w:type="dxa"/>
          <w:bottom w:w="0" w:type="dxa"/>
          <w:right w:w="0" w:type="dxa"/>
        </w:tblCellMar>
      </w:tblPr>
      <w:tblGrid>
        <w:gridCol w:w="124"/>
        <w:gridCol w:w="109"/>
        <w:gridCol w:w="592"/>
        <w:gridCol w:w="109"/>
        <w:gridCol w:w="109"/>
        <w:gridCol w:w="109"/>
        <w:gridCol w:w="173"/>
        <w:gridCol w:w="173"/>
        <w:gridCol w:w="552"/>
        <w:gridCol w:w="176"/>
        <w:gridCol w:w="109"/>
        <w:gridCol w:w="109"/>
        <w:gridCol w:w="109"/>
        <w:gridCol w:w="109"/>
        <w:gridCol w:w="109"/>
        <w:gridCol w:w="886"/>
        <w:gridCol w:w="109"/>
        <w:gridCol w:w="109"/>
        <w:gridCol w:w="109"/>
        <w:gridCol w:w="109"/>
        <w:gridCol w:w="109"/>
        <w:gridCol w:w="109"/>
        <w:gridCol w:w="1066"/>
        <w:gridCol w:w="109"/>
        <w:gridCol w:w="109"/>
        <w:gridCol w:w="109"/>
        <w:gridCol w:w="109"/>
        <w:gridCol w:w="1074"/>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19"/>
        <w:gridCol w:w="119"/>
        <w:gridCol w:w="837"/>
        <w:gridCol w:w="120"/>
        <w:gridCol w:w="109"/>
        <w:gridCol w:w="109"/>
        <w:gridCol w:w="109"/>
        <w:gridCol w:w="109"/>
        <w:gridCol w:w="109"/>
        <w:gridCol w:w="646"/>
        <w:gridCol w:w="109"/>
        <w:gridCol w:w="109"/>
        <w:gridCol w:w="109"/>
        <w:gridCol w:w="109"/>
        <w:gridCol w:w="2243"/>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tcMar>
              <w:top w:w="28" w:type="dxa"/>
              <w:left w:w="28" w:type="dxa"/>
              <w:bottom w:w="28" w:type="dxa"/>
              <w:right w:w="28" w:type="dxa"/>
            </w:tcMar>
            <w:vAlign w:val="center"/>
          </w:tcPr>
          <w:p>
            <w:pPr>
              <w:pStyle w:val="TableContents"/>
              <w:bidi w:val="0"/>
              <w:spacing w:before="0" w:after="0"/>
              <w:jc w:val="left"/>
              <w:rPr>
                <w:spacing w:val="1"/>
              </w:rPr>
            </w:pPr>
            <w:r>
              <w:rPr>
                <w:spacing w:val="1"/>
              </w:rPr>
              <w:t xml:space="preserve">Date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334" w:type="dxa"/>
            <w:gridSpan w:val="18"/>
            <w:tcBorders/>
            <w:shd w:fill="70207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Estimated Future Payouts Under </w:t>
              <w:br/>
              <w:t xml:space="preserve">Non-Equity Incentive Plan Awards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3914" w:type="dxa"/>
            <w:gridSpan w:val="15"/>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Estimated Future Payouts Under </w:t>
              <w:br/>
              <w:t xml:space="preserve">Equity Incentive Plan: Performance </w:t>
              <w:br/>
              <w:t xml:space="preserve">Stock Units (PSUs) (#)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093"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Stock </w:t>
              <w:br/>
              <w:t xml:space="preserve">Awards: </w:t>
              <w:br/>
              <w:t xml:space="preserve">Number of </w:t>
              <w:br/>
              <w:t xml:space="preserve">Shares of </w:t>
              <w:br/>
              <w:t xml:space="preserve">Service </w:t>
              <w:br/>
              <w:t xml:space="preserve">Based </w:t>
              <w:br/>
              <w:t xml:space="preserve">RSUs </w:t>
              <w:b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195"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973"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pPr>
            <w:r>
              <w:rPr>
                <w:spacing w:val="1"/>
              </w:rPr>
              <w:t xml:space="preserve">Exercise </w:t>
              <w:br/>
              <w:t xml:space="preserve">or Base </w:t>
              <w:br/>
              <w:t xml:space="preserve">Price of </w:t>
              <w:br/>
              <w:t xml:space="preserve">SAR </w:t>
              <w:br/>
              <w:t xml:space="preserve">Awards </w:t>
              <w:br/>
              <w:t>($/S)</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2243" w:type="dxa"/>
            <w:gridSpan w:val="11"/>
            <w:vMerge w:val="restart"/>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Grant Date </w:t>
              <w:br/>
              <w:t xml:space="preserve">Fair Value </w:t>
              <w:br/>
              <w:t xml:space="preserve">of Stock </w:t>
              <w:br/>
              <w:t xml:space="preserve">and SAR </w:t>
              <w:br/>
              <w:t>Awards</w:t>
            </w:r>
            <w:r>
              <w:rPr>
                <w:spacing w:val="1"/>
                <w:sz w:val="9"/>
              </w:rPr>
              <w:t>(1)</w:t>
            </w:r>
            <w:r>
              <w:rPr>
                <w:spacing w:val="1"/>
              </w:rPr>
              <w:t xml:space="preserve"> </w:t>
              <w:br/>
              <w:t>($)</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54" w:type="dxa"/>
            <w:vMerge w:val="restart"/>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74" w:type="dxa"/>
            <w:gridSpan w:val="4"/>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Threshold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213" w:type="dxa"/>
            <w:gridSpan w:val="4"/>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Target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393" w:type="dxa"/>
            <w:gridSpan w:val="4"/>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Maximum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74" w:type="dxa"/>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Threshold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93" w:type="dxa"/>
            <w:gridSpan w:val="4"/>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Target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93" w:type="dxa"/>
            <w:gridSpan w:val="4"/>
            <w:tcBorders/>
            <w:shd w:fill="D4BCD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Maximum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continue"/>
            <w:tcBorders/>
            <w:shd w:fill="702076" w:val="clear"/>
            <w:vAlign w:val="center"/>
          </w:tcPr>
          <w:p>
            <w:pPr>
              <w:pStyle w:val="Normal"/>
              <w:bidi w:val="0"/>
              <w:jc w:val="left"/>
              <w:rPr/>
            </w:pPr>
            <w:r>
              <w:rPr/>
            </w:r>
          </w:p>
        </w:tc>
        <w:tc>
          <w:tcPr>
            <w:tcW w:w="1093" w:type="dxa"/>
            <w:gridSpan w:val="4"/>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195"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973"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2243" w:type="dxa"/>
            <w:gridSpan w:val="11"/>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4" w:type="dxa"/>
            <w:vMerge w:val="continue"/>
            <w:tcBorders/>
            <w:shd w:fill="702076"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306" w:type="dxa"/>
            <w:gridSpan w:val="75"/>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630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Vladimir Makatsaria</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855,295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1,554,926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23,908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668,707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23,908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668.707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23,909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47,818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1,796,283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37,316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(5</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2,087,457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51" w:type="dxa"/>
            </w:tcMar>
            <w:vAlign w:val="center"/>
          </w:tcPr>
          <w:p>
            <w:pPr>
              <w:pStyle w:val="TableContents"/>
              <w:bidi w:val="0"/>
              <w:spacing w:before="0" w:after="283"/>
              <w:jc w:val="right"/>
              <w:rPr/>
            </w:pPr>
            <w:r>
              <w:rPr/>
              <w:t>​</w:t>
            </w:r>
          </w:p>
        </w:tc>
        <w:tc>
          <w:tcPr>
            <w:tcW w:w="837" w:type="dxa"/>
            <w:tcBorders>
              <w:bottom w:val="single" w:sz="6" w:space="0" w:color="BFBFBF"/>
            </w:tcBorders>
            <w:tcMar>
              <w:bottom w:w="51" w:type="dxa"/>
            </w:tcMar>
            <w:vAlign w:val="center"/>
          </w:tcPr>
          <w:p>
            <w:pPr>
              <w:pStyle w:val="TableContents"/>
              <w:bidi w:val="0"/>
              <w:spacing w:before="0" w:after="283"/>
              <w:jc w:val="right"/>
              <w:rPr/>
            </w:pPr>
            <w:r>
              <w:rPr/>
              <w:t>81,577</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(6</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2,087,474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630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William Kozy</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175,820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319,641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5,874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(7</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312,813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630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Alex Shvartsburg</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369,178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692,209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199,986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199,986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14,300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537,180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399,971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120" w:type="dxa"/>
            </w:tcMar>
            <w:vAlign w:val="center"/>
          </w:tcPr>
          <w:p>
            <w:pPr>
              <w:pStyle w:val="TableContents"/>
              <w:bidi w:val="0"/>
              <w:spacing w:before="0" w:after="283"/>
              <w:jc w:val="right"/>
              <w:rPr/>
            </w:pPr>
            <w:r>
              <w:rPr/>
              <w:t>​</w:t>
            </w:r>
          </w:p>
        </w:tc>
        <w:tc>
          <w:tcPr>
            <w:tcW w:w="552" w:type="dxa"/>
            <w:tcBorders>
              <w:bottom w:val="single" w:sz="6" w:space="0" w:color="BFBFBF"/>
            </w:tcBorders>
            <w:tcMar>
              <w:bottom w:w="120"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88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10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120"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7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7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120" w:type="dxa"/>
            </w:tcMar>
            <w:vAlign w:val="center"/>
          </w:tcPr>
          <w:p>
            <w:pPr>
              <w:pStyle w:val="TableContents"/>
              <w:bidi w:val="0"/>
              <w:spacing w:before="0" w:after="283"/>
              <w:jc w:val="right"/>
              <w:rPr/>
            </w:pPr>
            <w:r>
              <w:rPr/>
              <w:t>​</w:t>
            </w:r>
          </w:p>
        </w:tc>
        <w:tc>
          <w:tcPr>
            <w:tcW w:w="837" w:type="dxa"/>
            <w:tcBorders>
              <w:bottom w:val="single" w:sz="6" w:space="0" w:color="BFBFBF"/>
            </w:tcBorders>
            <w:tcMar>
              <w:bottom w:w="120" w:type="dxa"/>
            </w:tcMar>
            <w:vAlign w:val="center"/>
          </w:tcPr>
          <w:p>
            <w:pPr>
              <w:pStyle w:val="TableContents"/>
              <w:bidi w:val="0"/>
              <w:spacing w:before="0" w:after="283"/>
              <w:jc w:val="right"/>
              <w:rPr/>
            </w:pPr>
            <w:r>
              <w:rPr/>
              <w:t>15,631</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646" w:type="dxa"/>
            <w:tcBorders>
              <w:bottom w:val="single" w:sz="6" w:space="0" w:color="BFBFBF"/>
            </w:tcBorders>
            <w:tcMar>
              <w:bottom w:w="120"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399,982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54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8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29" descr=""/>
                          <pic:cNvPicPr>
                            <a:picLocks noChangeAspect="1" noChangeArrowheads="1"/>
                          </pic:cNvPicPr>
                        </pic:nvPicPr>
                        <pic:blipFill>
                          <a:blip r:embed="rId130"/>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8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30" descr=""/>
                    <pic:cNvPicPr>
                      <a:picLocks noChangeAspect="1" noChangeArrowheads="1"/>
                    </pic:cNvPicPr>
                  </pic:nvPicPr>
                  <pic:blipFill>
                    <a:blip r:embed="rId13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16322" w:type="dxa"/>
        <w:jc w:val="left"/>
        <w:tblInd w:w="1173" w:type="dxa"/>
        <w:tblLayout w:type="fixed"/>
        <w:tblCellMar>
          <w:top w:w="0" w:type="dxa"/>
          <w:left w:w="0" w:type="dxa"/>
          <w:bottom w:w="0" w:type="dxa"/>
          <w:right w:w="0" w:type="dxa"/>
        </w:tblCellMar>
      </w:tblPr>
      <w:tblGrid>
        <w:gridCol w:w="124"/>
        <w:gridCol w:w="109"/>
        <w:gridCol w:w="592"/>
        <w:gridCol w:w="109"/>
        <w:gridCol w:w="109"/>
        <w:gridCol w:w="109"/>
        <w:gridCol w:w="173"/>
        <w:gridCol w:w="173"/>
        <w:gridCol w:w="552"/>
        <w:gridCol w:w="176"/>
        <w:gridCol w:w="109"/>
        <w:gridCol w:w="109"/>
        <w:gridCol w:w="109"/>
        <w:gridCol w:w="109"/>
        <w:gridCol w:w="109"/>
        <w:gridCol w:w="886"/>
        <w:gridCol w:w="109"/>
        <w:gridCol w:w="109"/>
        <w:gridCol w:w="109"/>
        <w:gridCol w:w="109"/>
        <w:gridCol w:w="109"/>
        <w:gridCol w:w="109"/>
        <w:gridCol w:w="886"/>
        <w:gridCol w:w="109"/>
        <w:gridCol w:w="109"/>
        <w:gridCol w:w="109"/>
        <w:gridCol w:w="109"/>
        <w:gridCol w:w="1074"/>
        <w:gridCol w:w="109"/>
        <w:gridCol w:w="109"/>
        <w:gridCol w:w="109"/>
        <w:gridCol w:w="109"/>
        <w:gridCol w:w="109"/>
        <w:gridCol w:w="64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19"/>
        <w:gridCol w:w="119"/>
        <w:gridCol w:w="837"/>
        <w:gridCol w:w="120"/>
        <w:gridCol w:w="109"/>
        <w:gridCol w:w="109"/>
        <w:gridCol w:w="109"/>
        <w:gridCol w:w="109"/>
        <w:gridCol w:w="109"/>
        <w:gridCol w:w="646"/>
        <w:gridCol w:w="109"/>
        <w:gridCol w:w="109"/>
        <w:gridCol w:w="109"/>
        <w:gridCol w:w="109"/>
        <w:gridCol w:w="2063"/>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tcMar>
              <w:top w:w="28" w:type="dxa"/>
              <w:left w:w="28" w:type="dxa"/>
              <w:bottom w:w="28" w:type="dxa"/>
              <w:right w:w="28" w:type="dxa"/>
            </w:tcMar>
            <w:vAlign w:val="center"/>
          </w:tcPr>
          <w:p>
            <w:pPr>
              <w:pStyle w:val="TableContents"/>
              <w:bidi w:val="0"/>
              <w:spacing w:before="0" w:after="0"/>
              <w:jc w:val="left"/>
              <w:rPr>
                <w:spacing w:val="1"/>
              </w:rPr>
            </w:pPr>
            <w:r>
              <w:rPr>
                <w:spacing w:val="1"/>
              </w:rPr>
              <w:t xml:space="preserve">Date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154" w:type="dxa"/>
            <w:gridSpan w:val="18"/>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Estimated Future Payouts Under </w:t>
              <w:br/>
              <w:t xml:space="preserve">Non-Equity Incentive Plan Awards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3794" w:type="dxa"/>
            <w:gridSpan w:val="15"/>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Estimated Future Payouts Under </w:t>
              <w:br/>
              <w:t xml:space="preserve">Equity Incentive Plan: Performance </w:t>
              <w:br/>
              <w:t xml:space="preserve">Stock Units (PSUs) (#)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093"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Stock </w:t>
              <w:br/>
              <w:t xml:space="preserve">Awards: </w:t>
              <w:br/>
              <w:t xml:space="preserve">Number of </w:t>
              <w:br/>
              <w:t xml:space="preserve">Shares of </w:t>
              <w:br/>
              <w:t xml:space="preserve">Service </w:t>
              <w:br/>
              <w:t xml:space="preserve">Based </w:t>
              <w:br/>
              <w:t xml:space="preserve">RSUs </w:t>
              <w:b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195"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973" w:type="dxa"/>
            <w:gridSpan w:val="4"/>
            <w:vMerge w:val="restart"/>
            <w:tcBorders/>
            <w:shd w:fill="702076" w:val="clear"/>
            <w:tcMar>
              <w:top w:w="28" w:type="dxa"/>
              <w:left w:w="28" w:type="dxa"/>
              <w:bottom w:w="28" w:type="dxa"/>
              <w:right w:w="28" w:type="dxa"/>
            </w:tcMar>
            <w:vAlign w:val="center"/>
          </w:tcPr>
          <w:p>
            <w:pPr>
              <w:pStyle w:val="TableContents"/>
              <w:bidi w:val="0"/>
              <w:spacing w:lineRule="atLeast" w:line="157" w:before="0" w:after="0"/>
              <w:jc w:val="center"/>
              <w:rPr/>
            </w:pPr>
            <w:r>
              <w:rPr>
                <w:spacing w:val="1"/>
              </w:rPr>
              <w:t xml:space="preserve">Exercise </w:t>
              <w:br/>
              <w:t xml:space="preserve">or Base </w:t>
              <w:br/>
              <w:t xml:space="preserve">Price of </w:t>
              <w:br/>
              <w:t xml:space="preserve">SAR </w:t>
              <w:br/>
              <w:t xml:space="preserve">Awards </w:t>
              <w:br/>
              <w:t>($/S)</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2063" w:type="dxa"/>
            <w:gridSpan w:val="11"/>
            <w:vMerge w:val="restart"/>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Grant Date </w:t>
              <w:br/>
              <w:t xml:space="preserve">Fair Value </w:t>
              <w:br/>
              <w:t xml:space="preserve">of Stock </w:t>
              <w:br/>
              <w:t xml:space="preserve">and SAR </w:t>
              <w:br/>
              <w:t>Awards</w:t>
            </w:r>
            <w:r>
              <w:rPr>
                <w:spacing w:val="1"/>
                <w:sz w:val="9"/>
              </w:rPr>
              <w:t>(1)</w:t>
            </w:r>
            <w:r>
              <w:rPr>
                <w:spacing w:val="1"/>
              </w:rPr>
              <w:t xml:space="preserve"> </w:t>
              <w:br/>
              <w:t>($)</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54" w:type="dxa"/>
            <w:vMerge w:val="restart"/>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74" w:type="dxa"/>
            <w:gridSpan w:val="4"/>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213" w:type="dxa"/>
            <w:gridSpan w:val="4"/>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213" w:type="dxa"/>
            <w:gridSpan w:val="4"/>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74" w:type="dxa"/>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973" w:type="dxa"/>
            <w:gridSpan w:val="4"/>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093" w:type="dxa"/>
            <w:gridSpan w:val="4"/>
            <w:tcBorders/>
            <w:shd w:fill="D4BCD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continue"/>
            <w:tcBorders/>
            <w:shd w:fill="702076" w:val="clear"/>
            <w:vAlign w:val="center"/>
          </w:tcPr>
          <w:p>
            <w:pPr>
              <w:pStyle w:val="Normal"/>
              <w:bidi w:val="0"/>
              <w:jc w:val="left"/>
              <w:rPr/>
            </w:pPr>
            <w:r>
              <w:rPr/>
            </w:r>
          </w:p>
        </w:tc>
        <w:tc>
          <w:tcPr>
            <w:tcW w:w="1093" w:type="dxa"/>
            <w:gridSpan w:val="4"/>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195"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973"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2063" w:type="dxa"/>
            <w:gridSpan w:val="11"/>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4" w:type="dxa"/>
            <w:vMerge w:val="continue"/>
            <w:tcBorders/>
            <w:shd w:fill="702076"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826" w:type="dxa"/>
            <w:gridSpan w:val="75"/>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82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Franco Poletti</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323,404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606,382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1,117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62,485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1,117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62,485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4,468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167,840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124,970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51" w:type="dxa"/>
            </w:tcMar>
            <w:vAlign w:val="center"/>
          </w:tcPr>
          <w:p>
            <w:pPr>
              <w:pStyle w:val="TableContents"/>
              <w:bidi w:val="0"/>
              <w:spacing w:before="0" w:after="283"/>
              <w:jc w:val="right"/>
              <w:rPr/>
            </w:pPr>
            <w:r>
              <w:rPr/>
              <w:t>​</w:t>
            </w:r>
          </w:p>
        </w:tc>
        <w:tc>
          <w:tcPr>
            <w:tcW w:w="837" w:type="dxa"/>
            <w:tcBorders>
              <w:bottom w:val="single" w:sz="6" w:space="0" w:color="BFBFBF"/>
            </w:tcBorders>
            <w:tcMar>
              <w:bottom w:w="51" w:type="dxa"/>
            </w:tcMar>
            <w:vAlign w:val="center"/>
          </w:tcPr>
          <w:p>
            <w:pPr>
              <w:pStyle w:val="TableContents"/>
              <w:bidi w:val="0"/>
              <w:spacing w:before="0" w:after="283"/>
              <w:jc w:val="right"/>
              <w:rPr/>
            </w:pPr>
            <w:r>
              <w:rPr/>
              <w:t>4,706</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9/15/2024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1,287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2,574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9/15/2024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1,287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2,574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9/15/2024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167,840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9/15/2024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124,965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9/15/2024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51" w:type="dxa"/>
            </w:tcMar>
            <w:vAlign w:val="center"/>
          </w:tcPr>
          <w:p>
            <w:pPr>
              <w:pStyle w:val="TableContents"/>
              <w:bidi w:val="0"/>
              <w:spacing w:before="0" w:after="283"/>
              <w:jc w:val="right"/>
              <w:rPr/>
            </w:pPr>
            <w:r>
              <w:rPr/>
              <w:t>​</w:t>
            </w:r>
          </w:p>
        </w:tc>
        <w:tc>
          <w:tcPr>
            <w:tcW w:w="837" w:type="dxa"/>
            <w:tcBorders>
              <w:bottom w:val="single" w:sz="6" w:space="0" w:color="BFBFBF"/>
            </w:tcBorders>
            <w:tcMar>
              <w:bottom w:w="51" w:type="dxa"/>
            </w:tcMar>
            <w:vAlign w:val="center"/>
          </w:tcPr>
          <w:p>
            <w:pPr>
              <w:pStyle w:val="TableContents"/>
              <w:bidi w:val="0"/>
              <w:spacing w:before="0" w:after="283"/>
              <w:jc w:val="right"/>
              <w:rPr/>
            </w:pPr>
            <w:r>
              <w:rPr/>
              <w:t>5,885</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48.53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82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Michael Hutchinson</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340,204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637,882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2,904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5,808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162,450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2,904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5,808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162,450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5,809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11,618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436,430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5,809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324,955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51" w:type="dxa"/>
            </w:tcMar>
            <w:vAlign w:val="center"/>
          </w:tcPr>
          <w:p>
            <w:pPr>
              <w:pStyle w:val="TableContents"/>
              <w:bidi w:val="0"/>
              <w:spacing w:before="0" w:after="283"/>
              <w:jc w:val="right"/>
              <w:rPr/>
            </w:pPr>
            <w:r>
              <w:rPr/>
              <w:t>​</w:t>
            </w:r>
          </w:p>
        </w:tc>
        <w:tc>
          <w:tcPr>
            <w:tcW w:w="837" w:type="dxa"/>
            <w:tcBorders>
              <w:bottom w:val="single" w:sz="6" w:space="0" w:color="BFBFBF"/>
            </w:tcBorders>
            <w:tcMar>
              <w:bottom w:w="51" w:type="dxa"/>
            </w:tcMar>
            <w:vAlign w:val="center"/>
          </w:tcPr>
          <w:p>
            <w:pPr>
              <w:pStyle w:val="TableContents"/>
              <w:bidi w:val="0"/>
              <w:spacing w:before="0" w:after="283"/>
              <w:jc w:val="right"/>
              <w:rPr/>
            </w:pPr>
            <w:r>
              <w:rPr/>
              <w:t>12,700</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324,980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82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Ahmet Tezel</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227,589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426,729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6/15/2024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3,559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187,488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6/15/2024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3,559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187,488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6/15/2024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7,118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14,236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503,631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6/15/2024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11,863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(8</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624,943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6/15/2024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51" w:type="dxa"/>
            </w:tcMar>
            <w:vAlign w:val="center"/>
          </w:tcPr>
          <w:p>
            <w:pPr>
              <w:pStyle w:val="TableContents"/>
              <w:bidi w:val="0"/>
              <w:spacing w:before="0" w:after="283"/>
              <w:jc w:val="right"/>
              <w:rPr/>
            </w:pPr>
            <w:r>
              <w:rPr/>
              <w:t>​</w:t>
            </w:r>
          </w:p>
        </w:tc>
        <w:tc>
          <w:tcPr>
            <w:tcW w:w="837" w:type="dxa"/>
            <w:tcBorders>
              <w:bottom w:val="single" w:sz="6" w:space="0" w:color="BFBFBF"/>
            </w:tcBorders>
            <w:tcMar>
              <w:bottom w:w="51" w:type="dxa"/>
            </w:tcMar>
            <w:vAlign w:val="center"/>
          </w:tcPr>
          <w:p>
            <w:pPr>
              <w:pStyle w:val="TableContents"/>
              <w:bidi w:val="0"/>
              <w:spacing w:before="0" w:after="283"/>
              <w:jc w:val="right"/>
              <w:rPr/>
            </w:pPr>
            <w:r>
              <w:rPr/>
              <w:t>25,383</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52.68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(9</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624,980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826" w:type="dxa"/>
            <w:gridSpan w:val="75"/>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Trui Hebbelinck</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51" w:type="dxa"/>
            </w:tcMar>
            <w:vAlign w:val="center"/>
          </w:tcPr>
          <w:p>
            <w:pPr>
              <w:pStyle w:val="TableContents"/>
              <w:bidi w:val="0"/>
              <w:spacing w:before="0" w:after="283"/>
              <w:jc w:val="right"/>
              <w:rPr/>
            </w:pPr>
            <w:r>
              <w:rPr/>
              <w:t>​</w:t>
            </w:r>
          </w:p>
        </w:tc>
        <w:tc>
          <w:tcPr>
            <w:tcW w:w="552" w:type="dxa"/>
            <w:tcBorders>
              <w:bottom w:val="single" w:sz="6" w:space="0" w:color="BFBFBF"/>
            </w:tcBorders>
            <w:tcMar>
              <w:bottom w:w="5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208,303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390,568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2,011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112,495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2,011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112,495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8,044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302,173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224,991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3/30/2024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120" w:type="dxa"/>
            </w:tcMar>
            <w:vAlign w:val="center"/>
          </w:tcPr>
          <w:p>
            <w:pPr>
              <w:pStyle w:val="TableContents"/>
              <w:bidi w:val="0"/>
              <w:spacing w:before="0" w:after="283"/>
              <w:jc w:val="right"/>
              <w:rPr/>
            </w:pPr>
            <w:r>
              <w:rPr/>
              <w:t>​</w:t>
            </w:r>
          </w:p>
        </w:tc>
        <w:tc>
          <w:tcPr>
            <w:tcW w:w="552" w:type="dxa"/>
            <w:tcBorders>
              <w:bottom w:val="single" w:sz="6" w:space="0" w:color="BFBFBF"/>
            </w:tcBorders>
            <w:tcMar>
              <w:bottom w:w="120"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88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88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4" w:type="dxa"/>
            <w:tcBorders>
              <w:bottom w:val="single" w:sz="6" w:space="0" w:color="BFBFBF"/>
            </w:tcBorders>
            <w:tcMar>
              <w:bottom w:w="120"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64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7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120" w:type="dxa"/>
            </w:tcMar>
            <w:vAlign w:val="center"/>
          </w:tcPr>
          <w:p>
            <w:pPr>
              <w:pStyle w:val="TableContents"/>
              <w:bidi w:val="0"/>
              <w:spacing w:before="0" w:after="283"/>
              <w:jc w:val="right"/>
              <w:rPr/>
            </w:pPr>
            <w:r>
              <w:rPr/>
              <w:t>​</w:t>
            </w:r>
          </w:p>
        </w:tc>
        <w:tc>
          <w:tcPr>
            <w:tcW w:w="837" w:type="dxa"/>
            <w:tcBorders>
              <w:bottom w:val="single" w:sz="6" w:space="0" w:color="BFBFBF"/>
            </w:tcBorders>
            <w:tcMar>
              <w:bottom w:w="120" w:type="dxa"/>
            </w:tcMar>
            <w:vAlign w:val="center"/>
          </w:tcPr>
          <w:p>
            <w:pPr>
              <w:pStyle w:val="TableContents"/>
              <w:bidi w:val="0"/>
              <w:spacing w:before="0" w:after="283"/>
              <w:jc w:val="right"/>
              <w:rPr/>
            </w:pPr>
            <w:r>
              <w:rPr/>
              <w:t>8,792</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646" w:type="dxa"/>
            <w:tcBorders>
              <w:bottom w:val="single" w:sz="6" w:space="0" w:color="BFBFBF"/>
            </w:tcBorders>
            <w:tcMar>
              <w:bottom w:w="120"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224,978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spacing w:val="2"/>
              </w:rPr>
            </w:pPr>
            <w:r>
              <w:rPr>
                <w:spacing w:val="2"/>
              </w:rPr>
              <w:t xml:space="preserve">The amounts reported represent the fair value of the RSU and SARs awards computed in accordance with FASB ASC Topic 718 on the grant date. The fair value for RSU awards is calculated by multiplying the number of units in each award by the closing price of an Ordinary Share of LivaNova’s stock on the Nasdaq on the grant date, eventually discounted in case of a market price condition. The fair value for SARs awards is calculated by multiplying the number of rights subject to the award by the Black-Scholes value of an option for an Ordinary Share of LivaNova’s stock on the grant date. For a further discussion of the accounting treatment of the RSU and SAR awards, see “Note 13. Stock-Based Incentive Plans” included in the consolidated financial statements accompanying LivaNova’s U.S. Annual Report on Form 10-K for the year ended December 31, 2024. </w:t>
            </w:r>
            <w:r>
              <mc:AlternateContent>
                <mc:Choice Requires="wps">
                  <w:drawing>
                    <wp:anchor behindDoc="0" distT="0" distB="0" distL="0" distR="0" simplePos="0" locked="0" layoutInCell="1" allowOverlap="1" relativeHeight="610">
                      <wp:simplePos x="0" y="0"/>
                      <wp:positionH relativeFrom="column">
                        <wp:align>left</wp:align>
                      </wp:positionH>
                      <wp:positionV relativeFrom="line">
                        <wp:posOffset>635</wp:posOffset>
                      </wp:positionV>
                      <wp:extent cx="203200" cy="525780"/>
                      <wp:effectExtent l="0" t="0" r="0" b="0"/>
                      <wp:wrapSquare wrapText="right"/>
                      <wp:docPr id="388" name="Frame25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spacing w:val="2"/>
              </w:rPr>
            </w:pPr>
            <w:r>
              <w:rPr>
                <w:spacing w:val="2"/>
              </w:rPr>
              <w:t xml:space="preserve">Represents award of Adjusted FCF PSUs. </w:t>
            </w:r>
            <w:r>
              <mc:AlternateContent>
                <mc:Choice Requires="wps">
                  <w:drawing>
                    <wp:anchor behindDoc="0" distT="20320" distB="0" distL="0" distR="0" simplePos="0" locked="0" layoutInCell="1" allowOverlap="1" relativeHeight="611">
                      <wp:simplePos x="0" y="0"/>
                      <wp:positionH relativeFrom="column">
                        <wp:align>left</wp:align>
                      </wp:positionH>
                      <wp:positionV relativeFrom="line">
                        <wp:align>top</wp:align>
                      </wp:positionV>
                      <wp:extent cx="203200" cy="525780"/>
                      <wp:effectExtent l="0" t="0" r="0" b="0"/>
                      <wp:wrapSquare wrapText="right"/>
                      <wp:docPr id="389" name="Frame25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spacing w:val="2"/>
              </w:rPr>
            </w:pPr>
            <w:r>
              <w:rPr>
                <w:spacing w:val="2"/>
              </w:rPr>
              <w:t xml:space="preserve">Represents award of ROIC PSUs. </w:t>
            </w:r>
            <w:r>
              <mc:AlternateContent>
                <mc:Choice Requires="wps">
                  <w:drawing>
                    <wp:anchor behindDoc="0" distT="20320" distB="0" distL="0" distR="0" simplePos="0" locked="0" layoutInCell="1" allowOverlap="1" relativeHeight="612">
                      <wp:simplePos x="0" y="0"/>
                      <wp:positionH relativeFrom="column">
                        <wp:align>left</wp:align>
                      </wp:positionH>
                      <wp:positionV relativeFrom="line">
                        <wp:align>top</wp:align>
                      </wp:positionV>
                      <wp:extent cx="203200" cy="525780"/>
                      <wp:effectExtent l="0" t="0" r="0" b="0"/>
                      <wp:wrapSquare wrapText="right"/>
                      <wp:docPr id="390" name="Frame26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16pt;mso-position-horizontal:left;mso-position-horizontal-relative:text">
                      <v:textbox>
                        <w:txbxContent>
                          <w:p>
                            <w:pPr>
                              <w:pStyle w:val="TextBody"/>
                              <w:bidi w:val="0"/>
                              <w:spacing w:lineRule="atLeast" w:line="160" w:before="0" w:after="283"/>
                              <w:jc w:val="left"/>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39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31" descr=""/>
                          <pic:cNvPicPr>
                            <a:picLocks noChangeAspect="1" noChangeArrowheads="1"/>
                          </pic:cNvPicPr>
                        </pic:nvPicPr>
                        <pic:blipFill>
                          <a:blip r:embed="rId132"/>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55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39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32" descr=""/>
                    <pic:cNvPicPr>
                      <a:picLocks noChangeAspect="1" noChangeArrowheads="1"/>
                    </pic:cNvPicPr>
                  </pic:nvPicPr>
                  <pic:blipFill>
                    <a:blip r:embed="rId13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spacing w:val="2"/>
              </w:rPr>
            </w:pPr>
            <w:r>
              <w:rPr>
                <w:spacing w:val="2"/>
              </w:rPr>
              <w:t xml:space="preserve">Represents award of rTSR PSUs. The amounts reported represent the fair value of the PSU awards computed in accordance with FASB ASC Topic 718 on the grant date. The Company received a computed Monte Carlo fair value from an outside source that computed the fair value of the PSU contracts using the risk-neutral approach (i.e., assuming hedging and selling of the contract). </w:t>
            </w:r>
            <w:r>
              <mc:AlternateContent>
                <mc:Choice Requires="wps">
                  <w:drawing>
                    <wp:anchor behindDoc="0" distT="0" distB="0" distL="0" distR="0" simplePos="0" locked="0" layoutInCell="1" allowOverlap="1" relativeHeight="613">
                      <wp:simplePos x="0" y="0"/>
                      <wp:positionH relativeFrom="column">
                        <wp:align>left</wp:align>
                      </wp:positionH>
                      <wp:positionV relativeFrom="line">
                        <wp:posOffset>635</wp:posOffset>
                      </wp:positionV>
                      <wp:extent cx="203200" cy="525780"/>
                      <wp:effectExtent l="0" t="0" r="0" b="0"/>
                      <wp:wrapSquare wrapText="right"/>
                      <wp:docPr id="393" name="Frame26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Represents the sum of 13,407 RSUs granted as part of Mr. Makatsaria’s inducement award and 23,909 RSUs as part of his 2024 annual LTIP grant. </w:t>
            </w:r>
            <w:r>
              <mc:AlternateContent>
                <mc:Choice Requires="wps">
                  <w:drawing>
                    <wp:anchor behindDoc="0" distT="20320" distB="0" distL="0" distR="0" simplePos="0" locked="0" layoutInCell="1" allowOverlap="1" relativeHeight="614">
                      <wp:simplePos x="0" y="0"/>
                      <wp:positionH relativeFrom="column">
                        <wp:align>left</wp:align>
                      </wp:positionH>
                      <wp:positionV relativeFrom="line">
                        <wp:align>top</wp:align>
                      </wp:positionV>
                      <wp:extent cx="203200" cy="525780"/>
                      <wp:effectExtent l="0" t="0" r="0" b="0"/>
                      <wp:wrapSquare wrapText="right"/>
                      <wp:docPr id="394" name="Frame26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Represents the sum of 29,309 SARs granted as part of Mr. Makatsaria’s inducement award and 52,268 SARs as part of his 2024 annual LTIP grant. </w:t>
            </w:r>
            <w:r>
              <mc:AlternateContent>
                <mc:Choice Requires="wps">
                  <w:drawing>
                    <wp:anchor behindDoc="0" distT="20320" distB="0" distL="0" distR="0" simplePos="0" locked="0" layoutInCell="1" allowOverlap="1" relativeHeight="615">
                      <wp:simplePos x="0" y="0"/>
                      <wp:positionH relativeFrom="column">
                        <wp:align>left</wp:align>
                      </wp:positionH>
                      <wp:positionV relativeFrom="line">
                        <wp:align>top</wp:align>
                      </wp:positionV>
                      <wp:extent cx="203200" cy="525780"/>
                      <wp:effectExtent l="0" t="0" r="0" b="0"/>
                      <wp:wrapSquare wrapText="right"/>
                      <wp:docPr id="395" name="Frame26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Represents the sum of the prorated Chairman equity grant from March 1, 2024 until the date of 2024 AGM (1,034 RSUs) and the full Chairman grant for 2025 (4,840 RSUs). </w:t>
            </w:r>
            <w:r>
              <mc:AlternateContent>
                <mc:Choice Requires="wps">
                  <w:drawing>
                    <wp:anchor behindDoc="0" distT="20320" distB="0" distL="0" distR="0" simplePos="0" locked="0" layoutInCell="1" allowOverlap="1" relativeHeight="616">
                      <wp:simplePos x="0" y="0"/>
                      <wp:positionH relativeFrom="column">
                        <wp:align>left</wp:align>
                      </wp:positionH>
                      <wp:positionV relativeFrom="line">
                        <wp:align>top</wp:align>
                      </wp:positionV>
                      <wp:extent cx="203200" cy="525780"/>
                      <wp:effectExtent l="0" t="0" r="0" b="0"/>
                      <wp:wrapSquare wrapText="right"/>
                      <wp:docPr id="396" name="Frame26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Represents the sum of 4,745 RSUs granted as part of Mr. Tezel’s inducement award and 7,118 RSUs as part of his 2024 annual LTIP grant. </w:t>
            </w:r>
            <w:r>
              <mc:AlternateContent>
                <mc:Choice Requires="wps">
                  <w:drawing>
                    <wp:anchor behindDoc="0" distT="20320" distB="0" distL="0" distR="0" simplePos="0" locked="0" layoutInCell="1" allowOverlap="1" relativeHeight="617">
                      <wp:simplePos x="0" y="0"/>
                      <wp:positionH relativeFrom="column">
                        <wp:align>left</wp:align>
                      </wp:positionH>
                      <wp:positionV relativeFrom="line">
                        <wp:align>top</wp:align>
                      </wp:positionV>
                      <wp:extent cx="203200" cy="525780"/>
                      <wp:effectExtent l="0" t="0" r="0" b="0"/>
                      <wp:wrapSquare wrapText="right"/>
                      <wp:docPr id="397" name="Frame26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Represents the sum of 10,153 SARs granted as part of Mr. Tezel’s inducement award and 10,153 SARs as part of his 2024 annual LTIP grant.</w:t>
            </w:r>
            <w:r>
              <w:rPr/>
              <w:t xml:space="preserve"> </w:t>
            </w:r>
            <w:r>
              <mc:AlternateContent>
                <mc:Choice Requires="wps">
                  <w:drawing>
                    <wp:anchor behindDoc="0" distT="20320" distB="0" distL="0" distR="0" simplePos="0" locked="0" layoutInCell="1" allowOverlap="1" relativeHeight="618">
                      <wp:simplePos x="0" y="0"/>
                      <wp:positionH relativeFrom="column">
                        <wp:align>left</wp:align>
                      </wp:positionH>
                      <wp:positionV relativeFrom="line">
                        <wp:align>top</wp:align>
                      </wp:positionV>
                      <wp:extent cx="203200" cy="525780"/>
                      <wp:effectExtent l="0" t="0" r="0" b="0"/>
                      <wp:wrapSquare wrapText="right"/>
                      <wp:docPr id="398" name="Frame26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06"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2024 Outstanding Equity Awards at Year End</w:t>
      </w:r>
      <w:r>
        <w:rPr>
          <w:rFonts w:ascii="Arial;Tahoma;Geneva;sans-serif" w:hAnsi="Arial;Tahoma;Geneva;sans-serif"/>
          <w:b/>
          <w:i/>
          <w:caps w:val="false"/>
          <w:smallCaps w:val="false"/>
          <w:color w:val="000000"/>
          <w:spacing w:val="4"/>
          <w:sz w:val="20"/>
        </w:rPr>
        <w:t xml:space="preserve"> </w:t>
      </w:r>
    </w:p>
    <w:tbl>
      <w:tblPr>
        <w:tblW w:w="13661" w:type="dxa"/>
        <w:jc w:val="left"/>
        <w:tblInd w:w="1173" w:type="dxa"/>
        <w:tblLayout w:type="fixed"/>
        <w:tblCellMar>
          <w:top w:w="0" w:type="dxa"/>
          <w:left w:w="0" w:type="dxa"/>
          <w:bottom w:w="0" w:type="dxa"/>
          <w:right w:w="0" w:type="dxa"/>
        </w:tblCellMar>
      </w:tblPr>
      <w:tblGrid>
        <w:gridCol w:w="124"/>
        <w:gridCol w:w="109"/>
        <w:gridCol w:w="1301"/>
        <w:gridCol w:w="109"/>
        <w:gridCol w:w="109"/>
        <w:gridCol w:w="109"/>
        <w:gridCol w:w="149"/>
        <w:gridCol w:w="149"/>
        <w:gridCol w:w="1049"/>
        <w:gridCol w:w="151"/>
        <w:gridCol w:w="109"/>
        <w:gridCol w:w="109"/>
        <w:gridCol w:w="109"/>
        <w:gridCol w:w="109"/>
        <w:gridCol w:w="226"/>
        <w:gridCol w:w="646"/>
        <w:gridCol w:w="109"/>
        <w:gridCol w:w="109"/>
        <w:gridCol w:w="109"/>
        <w:gridCol w:w="109"/>
        <w:gridCol w:w="109"/>
        <w:gridCol w:w="109"/>
        <w:gridCol w:w="778"/>
        <w:gridCol w:w="109"/>
        <w:gridCol w:w="109"/>
        <w:gridCol w:w="109"/>
        <w:gridCol w:w="109"/>
        <w:gridCol w:w="109"/>
        <w:gridCol w:w="109"/>
        <w:gridCol w:w="766"/>
        <w:gridCol w:w="109"/>
        <w:gridCol w:w="109"/>
        <w:gridCol w:w="109"/>
        <w:gridCol w:w="109"/>
        <w:gridCol w:w="109"/>
        <w:gridCol w:w="109"/>
        <w:gridCol w:w="256"/>
        <w:gridCol w:w="109"/>
        <w:gridCol w:w="109"/>
        <w:gridCol w:w="109"/>
        <w:gridCol w:w="109"/>
        <w:gridCol w:w="109"/>
        <w:gridCol w:w="109"/>
        <w:gridCol w:w="1066"/>
        <w:gridCol w:w="109"/>
        <w:gridCol w:w="109"/>
        <w:gridCol w:w="109"/>
        <w:gridCol w:w="109"/>
        <w:gridCol w:w="109"/>
        <w:gridCol w:w="109"/>
        <w:gridCol w:w="766"/>
        <w:gridCol w:w="10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01" w:type="dxa"/>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Exercisable</w:t>
            </w:r>
            <w:r>
              <w:rPr>
                <w:spacing w:val="1"/>
                <w:sz w:val="9"/>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8"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Unexercisable</w:t>
            </w:r>
            <w:r>
              <w:rPr>
                <w:spacing w:val="1"/>
                <w:sz w:val="9"/>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0"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05"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Shares or </w:t>
              <w:br/>
              <w:t xml:space="preserve">Units of </w:t>
              <w:br/>
              <w:t xml:space="preserve">Stock </w:t>
              <w:br/>
              <w:t xml:space="preserve">That </w:t>
              <w:br/>
              <w:t xml:space="preserve">Have Not </w:t>
              <w:br/>
              <w:t xml:space="preserve">Vested </w:t>
              <w:br/>
              <w:t>(#)</w:t>
            </w:r>
            <w:r>
              <w:rPr>
                <w:spacing w:val="1"/>
                <w:sz w:val="9"/>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256"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Market </w:t>
              <w:br/>
              <w:t xml:space="preserve">Value of </w:t>
              <w:br/>
              <w:t xml:space="preserve">Shares or </w:t>
              <w:br/>
              <w:t xml:space="preserve">Units of </w:t>
              <w:br/>
              <w:t xml:space="preserve">Stock That </w:t>
              <w:br/>
              <w:t xml:space="preserve">Have Not </w:t>
              <w:br/>
              <w:t xml:space="preserve">Vested </w:t>
              <w:br/>
              <w:t>($)</w:t>
            </w:r>
            <w:r>
              <w:rPr>
                <w:spacing w:val="1"/>
                <w:sz w:val="9"/>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3"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65" w:type="dxa"/>
            <w:gridSpan w:val="57"/>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316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Vladimir Makatsaria</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81,577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37,316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1,728,104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553,590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23,909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1,107,226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553,590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316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William Kozy</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9"/>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5,874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272,025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316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Alex Shvartsburg</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7,838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43.57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6,328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2,109</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73.25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5,833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80.26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12/15/2027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5,076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88.38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3/15/2028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15,631</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4,874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97.25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4,258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4,257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82.04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5,023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15,066</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7,092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328,431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853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39,502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1,828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84,655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331,117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165,558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165,558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331,117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4,728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218,954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80"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80" w:type="dxa"/>
            </w:tcMar>
            <w:vAlign w:val="center"/>
          </w:tcPr>
          <w:p>
            <w:pPr>
              <w:pStyle w:val="TableContents"/>
              <w:bidi w:val="0"/>
              <w:spacing w:before="0" w:after="283"/>
              <w:jc w:val="right"/>
              <w:rPr/>
            </w:pPr>
            <w:r>
              <w:rPr/>
              <w:t>​</w:t>
            </w:r>
          </w:p>
        </w:tc>
        <w:tc>
          <w:tcPr>
            <w:tcW w:w="1049" w:type="dxa"/>
            <w:tcBorders>
              <w:bottom w:val="single" w:sz="6" w:space="0" w:color="BFBFBF"/>
            </w:tcBorders>
            <w:tcMar>
              <w:bottom w:w="8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78"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10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4,728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218,954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56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39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33" descr=""/>
                          <pic:cNvPicPr>
                            <a:picLocks noChangeAspect="1" noChangeArrowheads="1"/>
                          </pic:cNvPicPr>
                        </pic:nvPicPr>
                        <pic:blipFill>
                          <a:blip r:embed="rId13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0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34" descr=""/>
                    <pic:cNvPicPr>
                      <a:picLocks noChangeAspect="1" noChangeArrowheads="1"/>
                    </pic:cNvPicPr>
                  </pic:nvPicPr>
                  <pic:blipFill>
                    <a:blip r:embed="rId13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13131" w:type="dxa"/>
        <w:jc w:val="left"/>
        <w:tblInd w:w="1173" w:type="dxa"/>
        <w:tblLayout w:type="fixed"/>
        <w:tblCellMar>
          <w:top w:w="0" w:type="dxa"/>
          <w:left w:w="0" w:type="dxa"/>
          <w:bottom w:w="0" w:type="dxa"/>
          <w:right w:w="0" w:type="dxa"/>
        </w:tblCellMar>
      </w:tblPr>
      <w:tblGrid>
        <w:gridCol w:w="124"/>
        <w:gridCol w:w="109"/>
        <w:gridCol w:w="1301"/>
        <w:gridCol w:w="109"/>
        <w:gridCol w:w="109"/>
        <w:gridCol w:w="109"/>
        <w:gridCol w:w="149"/>
        <w:gridCol w:w="149"/>
        <w:gridCol w:w="1049"/>
        <w:gridCol w:w="151"/>
        <w:gridCol w:w="109"/>
        <w:gridCol w:w="109"/>
        <w:gridCol w:w="109"/>
        <w:gridCol w:w="109"/>
        <w:gridCol w:w="226"/>
        <w:gridCol w:w="646"/>
        <w:gridCol w:w="109"/>
        <w:gridCol w:w="109"/>
        <w:gridCol w:w="109"/>
        <w:gridCol w:w="109"/>
        <w:gridCol w:w="109"/>
        <w:gridCol w:w="109"/>
        <w:gridCol w:w="778"/>
        <w:gridCol w:w="109"/>
        <w:gridCol w:w="109"/>
        <w:gridCol w:w="109"/>
        <w:gridCol w:w="109"/>
        <w:gridCol w:w="109"/>
        <w:gridCol w:w="109"/>
        <w:gridCol w:w="646"/>
        <w:gridCol w:w="109"/>
        <w:gridCol w:w="109"/>
        <w:gridCol w:w="109"/>
        <w:gridCol w:w="109"/>
        <w:gridCol w:w="109"/>
        <w:gridCol w:w="109"/>
        <w:gridCol w:w="256"/>
        <w:gridCol w:w="109"/>
        <w:gridCol w:w="109"/>
        <w:gridCol w:w="109"/>
        <w:gridCol w:w="109"/>
        <w:gridCol w:w="109"/>
        <w:gridCol w:w="109"/>
        <w:gridCol w:w="886"/>
        <w:gridCol w:w="109"/>
        <w:gridCol w:w="109"/>
        <w:gridCol w:w="109"/>
        <w:gridCol w:w="109"/>
        <w:gridCol w:w="116"/>
        <w:gridCol w:w="116"/>
        <w:gridCol w:w="692"/>
        <w:gridCol w:w="11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01" w:type="dxa"/>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Exercisable</w:t>
            </w:r>
            <w:r>
              <w:rPr>
                <w:spacing w:val="1"/>
                <w:sz w:val="9"/>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8"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Unexercisable</w:t>
            </w:r>
            <w:r>
              <w:rPr>
                <w:spacing w:val="1"/>
                <w:sz w:val="9"/>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0"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05"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97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Shares or </w:t>
              <w:br/>
              <w:t xml:space="preserve">Units of </w:t>
              <w:br/>
              <w:t xml:space="preserve">Stock </w:t>
              <w:br/>
              <w:t xml:space="preserve">That </w:t>
              <w:br/>
              <w:t xml:space="preserve">Have Not </w:t>
              <w:br/>
              <w:t xml:space="preserve">Vested </w:t>
              <w:br/>
              <w:t>(#)</w:t>
            </w:r>
            <w:r>
              <w:rPr>
                <w:spacing w:val="1"/>
                <w:sz w:val="9"/>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256"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Market </w:t>
              <w:br/>
              <w:t xml:space="preserve">Value of </w:t>
              <w:br/>
              <w:t xml:space="preserve">Shares or </w:t>
              <w:br/>
              <w:t xml:space="preserve">Units of </w:t>
              <w:br/>
              <w:t xml:space="preserve">Stock That </w:t>
              <w:br/>
              <w:t xml:space="preserve">Have Not </w:t>
              <w:br/>
              <w:t xml:space="preserve">Vested </w:t>
              <w:br/>
              <w:t>($)</w:t>
            </w:r>
            <w:r>
              <w:rPr>
                <w:spacing w:val="1"/>
                <w:sz w:val="9"/>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43"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635" w:type="dxa"/>
            <w:gridSpan w:val="57"/>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9,456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437,907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(13</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1,610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74,559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1,434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66,409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2,120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98,177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63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Franco Poletti</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4,706</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711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2,130</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829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829</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82.04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1,516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505</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73.25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3,357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43.57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1,674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97.25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2,036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88.38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3/15/2028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2,910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56.17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5/5/2027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2,140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57.60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3/11/2026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5,885</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48.53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9/15/2034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103,457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967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44,782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975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45,152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343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15,884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201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9,308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2,575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119,248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1,117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51,728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1,117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51,728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2,234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103,457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1,287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59,601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1,287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59,601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2,575</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119,248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63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Michael Hutchinson</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12,700</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3,139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9,416</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4,507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208,719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5,809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269,015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4,432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205,246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2,904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134,484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2,904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134,484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5,809</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269,015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80"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80" w:type="dxa"/>
            </w:tcMar>
            <w:vAlign w:val="center"/>
          </w:tcPr>
          <w:p>
            <w:pPr>
              <w:pStyle w:val="TableContents"/>
              <w:bidi w:val="0"/>
              <w:spacing w:before="0" w:after="283"/>
              <w:jc w:val="right"/>
              <w:rPr/>
            </w:pPr>
            <w:r>
              <w:rPr/>
              <w:t>​</w:t>
            </w:r>
          </w:p>
        </w:tc>
        <w:tc>
          <w:tcPr>
            <w:tcW w:w="1049" w:type="dxa"/>
            <w:tcBorders>
              <w:bottom w:val="single" w:sz="6" w:space="0" w:color="BFBFBF"/>
            </w:tcBorders>
            <w:tcMar>
              <w:bottom w:w="8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78"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88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2,955</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136,846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0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35" descr=""/>
                          <pic:cNvPicPr>
                            <a:picLocks noChangeAspect="1" noChangeArrowheads="1"/>
                          </pic:cNvPicPr>
                        </pic:nvPicPr>
                        <pic:blipFill>
                          <a:blip r:embed="rId136"/>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57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0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36" descr=""/>
                    <pic:cNvPicPr>
                      <a:picLocks noChangeAspect="1" noChangeArrowheads="1"/>
                    </pic:cNvPicPr>
                  </pic:nvPicPr>
                  <pic:blipFill>
                    <a:blip r:embed="rId13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13251" w:type="dxa"/>
        <w:jc w:val="left"/>
        <w:tblInd w:w="1173" w:type="dxa"/>
        <w:tblLayout w:type="fixed"/>
        <w:tblCellMar>
          <w:top w:w="0" w:type="dxa"/>
          <w:left w:w="0" w:type="dxa"/>
          <w:bottom w:w="0" w:type="dxa"/>
          <w:right w:w="0" w:type="dxa"/>
        </w:tblCellMar>
      </w:tblPr>
      <w:tblGrid>
        <w:gridCol w:w="124"/>
        <w:gridCol w:w="109"/>
        <w:gridCol w:w="1301"/>
        <w:gridCol w:w="109"/>
        <w:gridCol w:w="109"/>
        <w:gridCol w:w="109"/>
        <w:gridCol w:w="149"/>
        <w:gridCol w:w="149"/>
        <w:gridCol w:w="1049"/>
        <w:gridCol w:w="151"/>
        <w:gridCol w:w="109"/>
        <w:gridCol w:w="109"/>
        <w:gridCol w:w="109"/>
        <w:gridCol w:w="109"/>
        <w:gridCol w:w="226"/>
        <w:gridCol w:w="646"/>
        <w:gridCol w:w="109"/>
        <w:gridCol w:w="109"/>
        <w:gridCol w:w="109"/>
        <w:gridCol w:w="109"/>
        <w:gridCol w:w="109"/>
        <w:gridCol w:w="109"/>
        <w:gridCol w:w="778"/>
        <w:gridCol w:w="109"/>
        <w:gridCol w:w="109"/>
        <w:gridCol w:w="109"/>
        <w:gridCol w:w="109"/>
        <w:gridCol w:w="109"/>
        <w:gridCol w:w="109"/>
        <w:gridCol w:w="766"/>
        <w:gridCol w:w="109"/>
        <w:gridCol w:w="109"/>
        <w:gridCol w:w="109"/>
        <w:gridCol w:w="109"/>
        <w:gridCol w:w="109"/>
        <w:gridCol w:w="109"/>
        <w:gridCol w:w="256"/>
        <w:gridCol w:w="109"/>
        <w:gridCol w:w="109"/>
        <w:gridCol w:w="109"/>
        <w:gridCol w:w="109"/>
        <w:gridCol w:w="109"/>
        <w:gridCol w:w="109"/>
        <w:gridCol w:w="886"/>
        <w:gridCol w:w="109"/>
        <w:gridCol w:w="109"/>
        <w:gridCol w:w="109"/>
        <w:gridCol w:w="109"/>
        <w:gridCol w:w="116"/>
        <w:gridCol w:w="116"/>
        <w:gridCol w:w="692"/>
        <w:gridCol w:w="11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01" w:type="dxa"/>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Exercisable</w:t>
            </w:r>
            <w:r>
              <w:rPr>
                <w:spacing w:val="1"/>
                <w:sz w:val="9"/>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8"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Unexercisable</w:t>
            </w:r>
            <w:r>
              <w:rPr>
                <w:spacing w:val="1"/>
                <w:sz w:val="9"/>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0"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05"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Shares or </w:t>
              <w:br/>
              <w:t xml:space="preserve">Units of </w:t>
              <w:br/>
              <w:t xml:space="preserve">Stock </w:t>
              <w:br/>
              <w:t xml:space="preserve">That </w:t>
              <w:br/>
              <w:t xml:space="preserve">Have Not </w:t>
              <w:br/>
              <w:t xml:space="preserve">Vested </w:t>
              <w:br/>
              <w:t>(#)</w:t>
            </w:r>
            <w:r>
              <w:rPr>
                <w:spacing w:val="1"/>
                <w:sz w:val="9"/>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256" w:type="dxa"/>
            <w:tcBorders/>
            <w:shd w:fill="702076" w:val="clear"/>
            <w:tcMar>
              <w:top w:w="28" w:type="dxa"/>
              <w:left w:w="28" w:type="dxa"/>
              <w:bottom w:w="28" w:type="dxa"/>
              <w:right w:w="28" w:type="dxa"/>
            </w:tcMar>
            <w:vAlign w:val="center"/>
          </w:tcPr>
          <w:p>
            <w:pPr>
              <w:pStyle w:val="TableContents"/>
              <w:bidi w:val="0"/>
              <w:spacing w:before="0" w:after="283"/>
              <w:jc w:val="righ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Market </w:t>
              <w:br/>
              <w:t xml:space="preserve">Value of </w:t>
              <w:br/>
              <w:t xml:space="preserve">Shares or </w:t>
              <w:br/>
              <w:t xml:space="preserve">Units of </w:t>
              <w:br/>
              <w:t xml:space="preserve">Stock That </w:t>
              <w:br/>
              <w:t xml:space="preserve">Have Not </w:t>
              <w:br/>
              <w:t xml:space="preserve">Vested </w:t>
              <w:br/>
              <w:t>($)</w:t>
            </w:r>
            <w:r>
              <w:rPr>
                <w:spacing w:val="1"/>
                <w:sz w:val="9"/>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43"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755" w:type="dxa"/>
            <w:gridSpan w:val="57"/>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2,955</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136,846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5,910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273,692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75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Ahmet Tezel</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25,383</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52.68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6/15/2034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11,863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549,376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3,559</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164,817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(23</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3,559</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164,817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(24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7,118</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329,635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2755" w:type="dxa"/>
            <w:gridSpan w:val="57"/>
            <w:tcBorders>
              <w:bottom w:val="single" w:sz="6" w:space="0" w:color="BFBFBF"/>
            </w:tcBorders>
            <w:shd w:fill="702076" w:val="clear"/>
            <w:tcMar>
              <w:bottom w:w="51" w:type="dxa"/>
            </w:tcMar>
            <w:vAlign w:val="center"/>
          </w:tcPr>
          <w:p>
            <w:pPr>
              <w:pStyle w:val="TableContents"/>
              <w:bidi w:val="0"/>
              <w:spacing w:before="0" w:after="0"/>
              <w:jc w:val="left"/>
              <w:rPr/>
            </w:pPr>
            <w:r>
              <w:rPr>
                <w:spacing w:val="2"/>
              </w:rPr>
              <w:t>Trui Hebbelinck</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2,825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2,825</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3,193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3,193</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82.04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5,062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1,687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73.25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12,562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43.57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8,792</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51" w:type="dxa"/>
            </w:tcMar>
            <w:vAlign w:val="center"/>
          </w:tcPr>
          <w:p>
            <w:pPr>
              <w:pStyle w:val="TableContents"/>
              <w:bidi w:val="0"/>
              <w:spacing w:before="0" w:after="0"/>
              <w:jc w:val="center"/>
              <w:rPr>
                <w:spacing w:val="2"/>
              </w:rPr>
            </w:pPr>
            <w:r>
              <w:rPr>
                <w:spacing w:val="2"/>
              </w:rPr>
              <w:t xml:space="preserve">5,183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51" w:type="dxa"/>
            </w:tcMar>
            <w:vAlign w:val="center"/>
          </w:tcPr>
          <w:p>
            <w:pPr>
              <w:pStyle w:val="TableContents"/>
              <w:bidi w:val="0"/>
              <w:spacing w:before="0" w:after="283"/>
              <w:jc w:val="right"/>
              <w:rPr/>
            </w:pPr>
            <w:r>
              <w:rPr/>
              <w:t>​</w:t>
            </w:r>
          </w:p>
        </w:tc>
        <w:tc>
          <w:tcPr>
            <w:tcW w:w="1049" w:type="dxa"/>
            <w:tcBorders>
              <w:bottom w:val="single" w:sz="6" w:space="0" w:color="BFBFBF"/>
            </w:tcBorders>
            <w:tcMar>
              <w:bottom w:w="51"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646" w:type="dxa"/>
            <w:tcBorders>
              <w:bottom w:val="single" w:sz="6" w:space="0" w:color="BFBFBF"/>
            </w:tcBorders>
            <w:tcMar>
              <w:bottom w:w="51" w:type="dxa"/>
            </w:tcMar>
            <w:vAlign w:val="center"/>
          </w:tcPr>
          <w:p>
            <w:pPr>
              <w:pStyle w:val="TableContents"/>
              <w:bidi w:val="0"/>
              <w:spacing w:before="0" w:after="283"/>
              <w:jc w:val="right"/>
              <w:rPr/>
            </w:pPr>
            <w:r>
              <w:rPr/>
              <w:t>97.25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78" w:type="dxa"/>
            <w:tcBorders>
              <w:bottom w:val="single" w:sz="6" w:space="0" w:color="BFBFBF"/>
            </w:tcBorders>
            <w:tcMar>
              <w:bottom w:w="51" w:type="dxa"/>
            </w:tcMar>
            <w:vAlign w:val="center"/>
          </w:tcPr>
          <w:p>
            <w:pPr>
              <w:pStyle w:val="TableContents"/>
              <w:bidi w:val="0"/>
              <w:spacing w:before="0" w:after="283"/>
              <w:jc w:val="right"/>
              <w:rPr/>
            </w:pPr>
            <w:r>
              <w:rPr/>
              <w:t>3/30/2029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1,006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46,588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1,330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61,592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686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31,769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682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31,583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right"/>
              <w:rPr/>
            </w:pPr>
            <w:r>
              <w:rPr/>
              <w:t>​</w:t>
            </w:r>
          </w:p>
        </w:tc>
        <w:tc>
          <w:tcPr>
            <w:tcW w:w="692" w:type="dxa"/>
            <w:tcBorders>
              <w:bottom w:val="single" w:sz="6" w:space="0" w:color="BFBFBF"/>
            </w:tcBorders>
            <w:tcMar>
              <w:bottom w:w="28" w:type="dxa"/>
            </w:tcMar>
            <w:vAlign w:val="center"/>
          </w:tcPr>
          <w:p>
            <w:pPr>
              <w:pStyle w:val="TableContents"/>
              <w:bidi w:val="0"/>
              <w:spacing w:before="0" w:after="283"/>
              <w:jc w:val="righ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(13</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1,076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49,830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1,207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55,896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80"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80" w:type="dxa"/>
            </w:tcMar>
            <w:vAlign w:val="center"/>
          </w:tcPr>
          <w:p>
            <w:pPr>
              <w:pStyle w:val="TableContents"/>
              <w:bidi w:val="0"/>
              <w:spacing w:before="0" w:after="283"/>
              <w:jc w:val="right"/>
              <w:rPr/>
            </w:pPr>
            <w:r>
              <w:rPr/>
              <w:t>​</w:t>
            </w:r>
          </w:p>
        </w:tc>
        <w:tc>
          <w:tcPr>
            <w:tcW w:w="1049" w:type="dxa"/>
            <w:tcBorders>
              <w:bottom w:val="single" w:sz="6" w:space="0" w:color="BFBFBF"/>
            </w:tcBorders>
            <w:tcMar>
              <w:bottom w:w="8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78"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0"/>
              <w:jc w:val="right"/>
              <w:rPr/>
            </w:pPr>
            <w:r>
              <w:rPr/>
              <w:t>​</w:t>
            </w:r>
          </w:p>
        </w:tc>
        <w:tc>
          <w:tcPr>
            <w:tcW w:w="256" w:type="dxa"/>
            <w:tcBorders>
              <w:bottom w:val="single" w:sz="6" w:space="0" w:color="BFBFBF"/>
            </w:tcBorders>
            <w:tcMar>
              <w:bottom w:w="51" w:type="dxa"/>
            </w:tcMar>
            <w:vAlign w:val="center"/>
          </w:tcPr>
          <w:p>
            <w:pPr>
              <w:pStyle w:val="TableContents"/>
              <w:bidi w:val="0"/>
              <w:spacing w:before="0" w:after="0"/>
              <w:jc w:val="right"/>
              <w:rPr>
                <w:sz w:val="12"/>
              </w:rPr>
            </w:pPr>
            <w:r>
              <w:rPr>
                <w:sz w:val="10"/>
              </w:rPr>
              <w:t>(15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88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692" w:type="dxa"/>
            <w:tcBorders>
              <w:bottom w:val="single" w:sz="6" w:space="0" w:color="BFBFBF"/>
            </w:tcBorders>
            <w:tcMar>
              <w:bottom w:w="51" w:type="dxa"/>
            </w:tcMar>
            <w:vAlign w:val="center"/>
          </w:tcPr>
          <w:p>
            <w:pPr>
              <w:pStyle w:val="TableContents"/>
              <w:bidi w:val="0"/>
              <w:spacing w:before="0" w:after="283"/>
              <w:jc w:val="right"/>
              <w:rPr/>
            </w:pPr>
            <w:r>
              <w:rPr/>
              <w:t>1,590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73,633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82" w:type="dxa"/>
            </w:tcMar>
            <w:vAlign w:val="center"/>
          </w:tcPr>
          <w:p>
            <w:pPr>
              <w:pStyle w:val="TableContents"/>
              <w:bidi w:val="0"/>
              <w:spacing w:lineRule="atLeast" w:line="192" w:before="0" w:after="0"/>
              <w:ind w:left="440" w:right="0" w:hanging="0"/>
              <w:jc w:val="both"/>
              <w:rPr>
                <w:spacing w:val="2"/>
              </w:rPr>
            </w:pPr>
            <w:r>
              <w:rPr>
                <w:spacing w:val="2"/>
              </w:rPr>
              <w:t xml:space="preserve">The SARs may be exercised up to three months after a termination and in no event (even with continued employment) after the expiration date. </w:t>
            </w:r>
            <w:r>
              <mc:AlternateContent>
                <mc:Choice Requires="wps">
                  <w:drawing>
                    <wp:anchor behindDoc="0" distT="0" distB="0" distL="0" distR="0" simplePos="0" locked="0" layoutInCell="1" allowOverlap="1" relativeHeight="619">
                      <wp:simplePos x="0" y="0"/>
                      <wp:positionH relativeFrom="column">
                        <wp:align>left</wp:align>
                      </wp:positionH>
                      <wp:positionV relativeFrom="line">
                        <wp:posOffset>635</wp:posOffset>
                      </wp:positionV>
                      <wp:extent cx="279400" cy="350520"/>
                      <wp:effectExtent l="0" t="0" r="0" b="0"/>
                      <wp:wrapSquare wrapText="right"/>
                      <wp:docPr id="403" name="Frame267"/>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All SARs vest 25% per year on each of the first four anniversaries of the grant date and have a 10-year term. For Ms. Hebbelinck, the expiration date reported is based on the original 10-year term from grant date. However, all of Ms. Hebbelinck’ s SARs will now expire three months following her termination date with the Company. </w:t>
            </w:r>
            <w:r>
              <mc:AlternateContent>
                <mc:Choice Requires="wps">
                  <w:drawing>
                    <wp:anchor behindDoc="0" distT="20320" distB="0" distL="0" distR="0" simplePos="0" locked="0" layoutInCell="1" allowOverlap="1" relativeHeight="620">
                      <wp:simplePos x="0" y="0"/>
                      <wp:positionH relativeFrom="column">
                        <wp:align>left</wp:align>
                      </wp:positionH>
                      <wp:positionV relativeFrom="line">
                        <wp:align>top</wp:align>
                      </wp:positionV>
                      <wp:extent cx="279400" cy="350520"/>
                      <wp:effectExtent l="0" t="0" r="0" b="0"/>
                      <wp:wrapSquare wrapText="right"/>
                      <wp:docPr id="404" name="Frame268"/>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All RSUs vest 25% per year on each of the first four anniversaries of the grant date, except for the SARs granted to Mr. Kozy that have a 1-year vesting period. </w:t>
            </w:r>
            <w:r>
              <mc:AlternateContent>
                <mc:Choice Requires="wps">
                  <w:drawing>
                    <wp:anchor behindDoc="0" distT="20320" distB="0" distL="0" distR="0" simplePos="0" locked="0" layoutInCell="1" allowOverlap="1" relativeHeight="621">
                      <wp:simplePos x="0" y="0"/>
                      <wp:positionH relativeFrom="column">
                        <wp:align>left</wp:align>
                      </wp:positionH>
                      <wp:positionV relativeFrom="line">
                        <wp:align>top</wp:align>
                      </wp:positionV>
                      <wp:extent cx="279400" cy="350520"/>
                      <wp:effectExtent l="0" t="0" r="0" b="0"/>
                      <wp:wrapSquare wrapText="right"/>
                      <wp:docPr id="405" name="Frame269"/>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Market value of the outstanding RSUs. Amounts calculated using $46.31, the closing price of LivaNova’s Ordinary Shares on December 31, 2024, multiplied by the number of units that have not yet vested. </w:t>
            </w:r>
            <w:r>
              <mc:AlternateContent>
                <mc:Choice Requires="wps">
                  <w:drawing>
                    <wp:anchor behindDoc="0" distT="20320" distB="0" distL="0" distR="0" simplePos="0" locked="0" layoutInCell="1" allowOverlap="1" relativeHeight="622">
                      <wp:simplePos x="0" y="0"/>
                      <wp:positionH relativeFrom="column">
                        <wp:align>left</wp:align>
                      </wp:positionH>
                      <wp:positionV relativeFrom="line">
                        <wp:align>top</wp:align>
                      </wp:positionV>
                      <wp:extent cx="279400" cy="350520"/>
                      <wp:effectExtent l="0" t="0" r="0" b="0"/>
                      <wp:wrapSquare wrapText="right"/>
                      <wp:docPr id="406" name="Frame270"/>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2021. </w:t>
            </w:r>
            <w:r>
              <mc:AlternateContent>
                <mc:Choice Requires="wps">
                  <w:drawing>
                    <wp:anchor behindDoc="0" distT="20320" distB="0" distL="0" distR="0" simplePos="0" locked="0" layoutInCell="1" allowOverlap="1" relativeHeight="623">
                      <wp:simplePos x="0" y="0"/>
                      <wp:positionH relativeFrom="column">
                        <wp:align>left</wp:align>
                      </wp:positionH>
                      <wp:positionV relativeFrom="line">
                        <wp:align>top</wp:align>
                      </wp:positionV>
                      <wp:extent cx="279400" cy="350520"/>
                      <wp:effectExtent l="0" t="0" r="0" b="0"/>
                      <wp:wrapSquare wrapText="right"/>
                      <wp:docPr id="407" name="Frame271"/>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2022. </w:t>
            </w:r>
            <w:r>
              <mc:AlternateContent>
                <mc:Choice Requires="wps">
                  <w:drawing>
                    <wp:anchor behindDoc="0" distT="20320" distB="0" distL="0" distR="0" simplePos="0" locked="0" layoutInCell="1" allowOverlap="1" relativeHeight="624">
                      <wp:simplePos x="0" y="0"/>
                      <wp:positionH relativeFrom="column">
                        <wp:align>left</wp:align>
                      </wp:positionH>
                      <wp:positionV relativeFrom="line">
                        <wp:align>top</wp:align>
                      </wp:positionV>
                      <wp:extent cx="279400" cy="350520"/>
                      <wp:effectExtent l="0" t="0" r="0" b="0"/>
                      <wp:wrapSquare wrapText="right"/>
                      <wp:docPr id="408" name="Frame272"/>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December 15, 2022. </w:t>
            </w:r>
            <w:r>
              <mc:AlternateContent>
                <mc:Choice Requires="wps">
                  <w:drawing>
                    <wp:anchor behindDoc="0" distT="20320" distB="0" distL="0" distR="0" simplePos="0" locked="0" layoutInCell="1" allowOverlap="1" relativeHeight="625">
                      <wp:simplePos x="0" y="0"/>
                      <wp:positionH relativeFrom="column">
                        <wp:align>left</wp:align>
                      </wp:positionH>
                      <wp:positionV relativeFrom="line">
                        <wp:align>top</wp:align>
                      </wp:positionV>
                      <wp:extent cx="279400" cy="350520"/>
                      <wp:effectExtent l="0" t="0" r="0" b="0"/>
                      <wp:wrapSquare wrapText="right"/>
                      <wp:docPr id="409" name="Frame273"/>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2023. </w:t>
            </w:r>
            <w:r>
              <mc:AlternateContent>
                <mc:Choice Requires="wps">
                  <w:drawing>
                    <wp:anchor behindDoc="0" distT="20320" distB="0" distL="0" distR="0" simplePos="0" locked="0" layoutInCell="1" allowOverlap="1" relativeHeight="626">
                      <wp:simplePos x="0" y="0"/>
                      <wp:positionH relativeFrom="column">
                        <wp:align>left</wp:align>
                      </wp:positionH>
                      <wp:positionV relativeFrom="line">
                        <wp:align>top</wp:align>
                      </wp:positionV>
                      <wp:extent cx="279400" cy="350520"/>
                      <wp:effectExtent l="0" t="0" r="0" b="0"/>
                      <wp:wrapSquare wrapText="right"/>
                      <wp:docPr id="410" name="Frame274"/>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December 15, 2023. </w:t>
            </w:r>
            <w:r>
              <mc:AlternateContent>
                <mc:Choice Requires="wps">
                  <w:drawing>
                    <wp:anchor behindDoc="0" distT="20320" distB="0" distL="0" distR="0" simplePos="0" locked="0" layoutInCell="1" allowOverlap="1" relativeHeight="627">
                      <wp:simplePos x="0" y="0"/>
                      <wp:positionH relativeFrom="column">
                        <wp:align>left</wp:align>
                      </wp:positionH>
                      <wp:positionV relativeFrom="line">
                        <wp:align>top</wp:align>
                      </wp:positionV>
                      <wp:extent cx="279400" cy="350520"/>
                      <wp:effectExtent l="0" t="0" r="0" b="0"/>
                      <wp:wrapSquare wrapText="right"/>
                      <wp:docPr id="411" name="Frame275"/>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2024. </w:t>
            </w:r>
            <w:r>
              <mc:AlternateContent>
                <mc:Choice Requires="wps">
                  <w:drawing>
                    <wp:anchor behindDoc="0" distT="20320" distB="0" distL="0" distR="0" simplePos="0" locked="0" layoutInCell="1" allowOverlap="1" relativeHeight="628">
                      <wp:simplePos x="0" y="0"/>
                      <wp:positionH relativeFrom="column">
                        <wp:align>left</wp:align>
                      </wp:positionH>
                      <wp:positionV relativeFrom="line">
                        <wp:align>top</wp:align>
                      </wp:positionV>
                      <wp:extent cx="279400" cy="525780"/>
                      <wp:effectExtent l="0" t="0" r="0" b="0"/>
                      <wp:wrapSquare wrapText="right"/>
                      <wp:docPr id="412" name="Frame276"/>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(10)</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June 15, 2024. </w:t>
            </w:r>
            <w:r>
              <mc:AlternateContent>
                <mc:Choice Requires="wps">
                  <w:drawing>
                    <wp:anchor behindDoc="0" distT="20320" distB="0" distL="0" distR="0" simplePos="0" locked="0" layoutInCell="1" allowOverlap="1" relativeHeight="629">
                      <wp:simplePos x="0" y="0"/>
                      <wp:positionH relativeFrom="column">
                        <wp:align>left</wp:align>
                      </wp:positionH>
                      <wp:positionV relativeFrom="line">
                        <wp:align>top</wp:align>
                      </wp:positionV>
                      <wp:extent cx="279400" cy="525780"/>
                      <wp:effectExtent l="0" t="0" r="0" b="0"/>
                      <wp:wrapSquare wrapText="right"/>
                      <wp:docPr id="413" name="Frame277"/>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22pt;mso-position-horizontal:left;mso-position-horizontal-relative:text">
                      <v:textbox>
                        <w:txbxContent>
                          <w:p>
                            <w:pPr>
                              <w:pStyle w:val="TextBody"/>
                              <w:bidi w:val="0"/>
                              <w:spacing w:lineRule="atLeast" w:line="160" w:before="0" w:after="283"/>
                              <w:jc w:val="left"/>
                              <w:rPr/>
                            </w:pPr>
                            <w:r>
                              <w:rPr>
                                <w:spacing w:val="2"/>
                              </w:rPr>
                              <w:t>(11)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September 15, 2024. </w:t>
            </w:r>
            <w:r>
              <mc:AlternateContent>
                <mc:Choice Requires="wps">
                  <w:drawing>
                    <wp:anchor behindDoc="0" distT="20320" distB="0" distL="0" distR="0" simplePos="0" locked="0" layoutInCell="1" allowOverlap="1" relativeHeight="630">
                      <wp:simplePos x="0" y="0"/>
                      <wp:positionH relativeFrom="column">
                        <wp:align>left</wp:align>
                      </wp:positionH>
                      <wp:positionV relativeFrom="line">
                        <wp:align>top</wp:align>
                      </wp:positionV>
                      <wp:extent cx="279400" cy="525780"/>
                      <wp:effectExtent l="0" t="0" r="0" b="0"/>
                      <wp:wrapSquare wrapText="right"/>
                      <wp:docPr id="414" name="Frame278"/>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2022, subject to achievement of a three-year cumulative adjusted ROIC Target with three-year cliff vesting. The number in the column represents the results of the target units granted multiplied by the achievement of 78.5% based on the 2022 ROIC PSUs results. </w:t>
            </w:r>
            <w:r>
              <mc:AlternateContent>
                <mc:Choice Requires="wps">
                  <w:drawing>
                    <wp:anchor behindDoc="0" distT="20320" distB="0" distL="0" distR="0" simplePos="0" locked="0" layoutInCell="1" allowOverlap="1" relativeHeight="631">
                      <wp:simplePos x="0" y="0"/>
                      <wp:positionH relativeFrom="column">
                        <wp:align>left</wp:align>
                      </wp:positionH>
                      <wp:positionV relativeFrom="line">
                        <wp:align>top</wp:align>
                      </wp:positionV>
                      <wp:extent cx="279400" cy="525780"/>
                      <wp:effectExtent l="0" t="0" r="0" b="0"/>
                      <wp:wrapSquare wrapText="right"/>
                      <wp:docPr id="415" name="Frame279"/>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22pt;mso-position-horizontal:left;mso-position-horizontal-relative:text">
                      <v:textbox>
                        <w:txbxContent>
                          <w:p>
                            <w:pPr>
                              <w:pStyle w:val="TextBody"/>
                              <w:bidi w:val="0"/>
                              <w:spacing w:lineRule="atLeast" w:line="192" w:before="0" w:after="283"/>
                              <w:jc w:val="both"/>
                              <w:rPr/>
                            </w:pPr>
                            <w:r>
                              <w:rPr>
                                <w:spacing w:val="2"/>
                              </w:rPr>
                              <w:t>(13)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58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1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37" descr=""/>
                          <pic:cNvPicPr>
                            <a:picLocks noChangeAspect="1" noChangeArrowheads="1"/>
                          </pic:cNvPicPr>
                        </pic:nvPicPr>
                        <pic:blipFill>
                          <a:blip r:embed="rId138"/>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1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38" descr=""/>
                    <pic:cNvPicPr>
                      <a:picLocks noChangeAspect="1" noChangeArrowheads="1"/>
                    </pic:cNvPicPr>
                  </pic:nvPicPr>
                  <pic:blipFill>
                    <a:blip r:embed="rId13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82" w:type="dxa"/>
            </w:tcMar>
            <w:vAlign w:val="center"/>
          </w:tcPr>
          <w:p>
            <w:pPr>
              <w:pStyle w:val="TableContents"/>
              <w:bidi w:val="0"/>
              <w:spacing w:lineRule="atLeast" w:line="192" w:before="0" w:after="0"/>
              <w:ind w:left="440" w:right="0" w:hanging="0"/>
              <w:jc w:val="both"/>
              <w:rPr>
                <w:spacing w:val="2"/>
              </w:rPr>
            </w:pPr>
            <w:r>
              <w:rPr>
                <w:spacing w:val="2"/>
              </w:rPr>
              <w:t xml:space="preserve">FCF PSUs granted at target on March 30, 2022, subject to achievement of a three-year cumulative adjusted ROIC Target with three-year cliff vesting. The number in the column represents the results of the target units granted multiplied by the achievement of 88.1% based on the 2022 FCF PSUs results. </w:t>
            </w:r>
            <w:r>
              <mc:AlternateContent>
                <mc:Choice Requires="wps">
                  <w:drawing>
                    <wp:anchor behindDoc="0" distT="0" distB="0" distL="0" distR="0" simplePos="0" locked="0" layoutInCell="1" allowOverlap="1" relativeHeight="632">
                      <wp:simplePos x="0" y="0"/>
                      <wp:positionH relativeFrom="column">
                        <wp:align>left</wp:align>
                      </wp:positionH>
                      <wp:positionV relativeFrom="line">
                        <wp:posOffset>635</wp:posOffset>
                      </wp:positionV>
                      <wp:extent cx="279400" cy="525780"/>
                      <wp:effectExtent l="0" t="0" r="0" b="0"/>
                      <wp:wrapSquare wrapText="right"/>
                      <wp:docPr id="418" name="Frame280"/>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rTSR PSUs granted at target on March 30, 2022, subject to a market condition based on rTSR with three-year cliff vesting. The number in the column represents the results of the target units granted multiplied by the achievement of 58% based on the 2022 rTSR PSUs results </w:t>
            </w:r>
            <w:r>
              <mc:AlternateContent>
                <mc:Choice Requires="wps">
                  <w:drawing>
                    <wp:anchor behindDoc="0" distT="20320" distB="0" distL="0" distR="0" simplePos="0" locked="0" layoutInCell="1" allowOverlap="1" relativeHeight="633">
                      <wp:simplePos x="0" y="0"/>
                      <wp:positionH relativeFrom="column">
                        <wp:align>left</wp:align>
                      </wp:positionH>
                      <wp:positionV relativeFrom="line">
                        <wp:align>top</wp:align>
                      </wp:positionV>
                      <wp:extent cx="279400" cy="525780"/>
                      <wp:effectExtent l="0" t="0" r="0" b="0"/>
                      <wp:wrapSquare wrapText="right"/>
                      <wp:docPr id="419" name="Frame281"/>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2023, subject to achievement of a three-year cumulative adjusted ROIC Target with three-year cliff vesting. </w:t>
            </w:r>
            <w:r>
              <mc:AlternateContent>
                <mc:Choice Requires="wps">
                  <w:drawing>
                    <wp:anchor behindDoc="0" distT="20320" distB="0" distL="0" distR="0" simplePos="0" locked="0" layoutInCell="1" allowOverlap="1" relativeHeight="634">
                      <wp:simplePos x="0" y="0"/>
                      <wp:positionH relativeFrom="column">
                        <wp:align>left</wp:align>
                      </wp:positionH>
                      <wp:positionV relativeFrom="line">
                        <wp:align>top</wp:align>
                      </wp:positionV>
                      <wp:extent cx="279400" cy="525780"/>
                      <wp:effectExtent l="0" t="0" r="0" b="0"/>
                      <wp:wrapSquare wrapText="right"/>
                      <wp:docPr id="420" name="Frame282"/>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March 30, 2023, subject to achievement of a three-year cumulative adjusted ROIC Target with three-year cliff vesting. </w:t>
            </w:r>
            <w:r>
              <mc:AlternateContent>
                <mc:Choice Requires="wps">
                  <w:drawing>
                    <wp:anchor behindDoc="0" distT="20320" distB="0" distL="0" distR="0" simplePos="0" locked="0" layoutInCell="1" allowOverlap="1" relativeHeight="635">
                      <wp:simplePos x="0" y="0"/>
                      <wp:positionH relativeFrom="column">
                        <wp:align>left</wp:align>
                      </wp:positionH>
                      <wp:positionV relativeFrom="line">
                        <wp:align>top</wp:align>
                      </wp:positionV>
                      <wp:extent cx="279400" cy="525780"/>
                      <wp:effectExtent l="0" t="0" r="0" b="0"/>
                      <wp:wrapSquare wrapText="right"/>
                      <wp:docPr id="421" name="Frame283"/>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(17)</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rTSR PSUs granted at target on March 30, 2023, subject to a market condition based on rTSR with three-year cliff vesting. </w:t>
            </w:r>
            <w:r>
              <mc:AlternateContent>
                <mc:Choice Requires="wps">
                  <w:drawing>
                    <wp:anchor behindDoc="0" distT="20320" distB="0" distL="0" distR="0" simplePos="0" locked="0" layoutInCell="1" allowOverlap="1" relativeHeight="636">
                      <wp:simplePos x="0" y="0"/>
                      <wp:positionH relativeFrom="column">
                        <wp:align>left</wp:align>
                      </wp:positionH>
                      <wp:positionV relativeFrom="line">
                        <wp:align>top</wp:align>
                      </wp:positionV>
                      <wp:extent cx="279400" cy="525780"/>
                      <wp:effectExtent l="0" t="0" r="0" b="0"/>
                      <wp:wrapSquare wrapText="right"/>
                      <wp:docPr id="422" name="Frame284"/>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(18)</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March 30, 2024, subject to achievement of a three-year cumulative adjusted ROIC Target with three-year cliff vesting. </w:t>
            </w:r>
            <w:r>
              <mc:AlternateContent>
                <mc:Choice Requires="wps">
                  <w:drawing>
                    <wp:anchor behindDoc="0" distT="20320" distB="0" distL="0" distR="0" simplePos="0" locked="0" layoutInCell="1" allowOverlap="1" relativeHeight="637">
                      <wp:simplePos x="0" y="0"/>
                      <wp:positionH relativeFrom="column">
                        <wp:align>left</wp:align>
                      </wp:positionH>
                      <wp:positionV relativeFrom="line">
                        <wp:align>top</wp:align>
                      </wp:positionV>
                      <wp:extent cx="279400" cy="525780"/>
                      <wp:effectExtent l="0" t="0" r="0" b="0"/>
                      <wp:wrapSquare wrapText="right"/>
                      <wp:docPr id="423" name="Frame285"/>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(19)</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rTSR PSUs granted at target on March 30, 2024, subject to a market condition based on rTSR with three-year cliff vesting. </w:t>
            </w:r>
            <w:r>
              <mc:AlternateContent>
                <mc:Choice Requires="wps">
                  <w:drawing>
                    <wp:anchor behindDoc="0" distT="20320" distB="0" distL="0" distR="0" simplePos="0" locked="0" layoutInCell="1" allowOverlap="1" relativeHeight="638">
                      <wp:simplePos x="0" y="0"/>
                      <wp:positionH relativeFrom="column">
                        <wp:align>left</wp:align>
                      </wp:positionH>
                      <wp:positionV relativeFrom="line">
                        <wp:align>top</wp:align>
                      </wp:positionV>
                      <wp:extent cx="279400" cy="525780"/>
                      <wp:effectExtent l="0" t="0" r="0" b="0"/>
                      <wp:wrapSquare wrapText="right"/>
                      <wp:docPr id="424" name="Frame286"/>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(20)</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(20)</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2024, subject to achievement of a three-year cumulative adjusted ROIC Target with three-year cliff vesting. </w:t>
            </w:r>
            <w:r>
              <mc:AlternateContent>
                <mc:Choice Requires="wps">
                  <w:drawing>
                    <wp:anchor behindDoc="0" distT="20320" distB="0" distL="0" distR="0" simplePos="0" locked="0" layoutInCell="1" allowOverlap="1" relativeHeight="639">
                      <wp:simplePos x="0" y="0"/>
                      <wp:positionH relativeFrom="column">
                        <wp:align>left</wp:align>
                      </wp:positionH>
                      <wp:positionV relativeFrom="line">
                        <wp:align>top</wp:align>
                      </wp:positionV>
                      <wp:extent cx="279400" cy="525780"/>
                      <wp:effectExtent l="0" t="0" r="0" b="0"/>
                      <wp:wrapSquare wrapText="right"/>
                      <wp:docPr id="425" name="Frame287"/>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(21)</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June 15, 2024, subject to achievement of a three-year cumulative adjusted ROIC Target with three-year cliff vesting. </w:t>
            </w:r>
            <w:r>
              <mc:AlternateContent>
                <mc:Choice Requires="wps">
                  <w:drawing>
                    <wp:anchor behindDoc="0" distT="20320" distB="0" distL="0" distR="0" simplePos="0" locked="0" layoutInCell="1" allowOverlap="1" relativeHeight="640">
                      <wp:simplePos x="0" y="0"/>
                      <wp:positionH relativeFrom="column">
                        <wp:align>left</wp:align>
                      </wp:positionH>
                      <wp:positionV relativeFrom="line">
                        <wp:align>top</wp:align>
                      </wp:positionV>
                      <wp:extent cx="279400" cy="525780"/>
                      <wp:effectExtent l="0" t="0" r="0" b="0"/>
                      <wp:wrapSquare wrapText="right"/>
                      <wp:docPr id="426" name="Frame288"/>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(22)</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June 15, 2024, subject to achievement of a three-year cumulative adjusted ROIC Target with three-year cliff vesting. </w:t>
            </w:r>
            <w:r>
              <mc:AlternateContent>
                <mc:Choice Requires="wps">
                  <w:drawing>
                    <wp:anchor behindDoc="0" distT="20320" distB="0" distL="0" distR="0" simplePos="0" locked="0" layoutInCell="1" allowOverlap="1" relativeHeight="641">
                      <wp:simplePos x="0" y="0"/>
                      <wp:positionH relativeFrom="column">
                        <wp:align>left</wp:align>
                      </wp:positionH>
                      <wp:positionV relativeFrom="line">
                        <wp:align>top</wp:align>
                      </wp:positionV>
                      <wp:extent cx="279400" cy="525780"/>
                      <wp:effectExtent l="0" t="0" r="0" b="0"/>
                      <wp:wrapSquare wrapText="right"/>
                      <wp:docPr id="427" name="Frame289"/>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(23)</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rTSR PSUs granted at target on June 15, 2024, subject to a market condition based on rTSR with three-year cliff vesting. </w:t>
            </w:r>
            <w:r>
              <mc:AlternateContent>
                <mc:Choice Requires="wps">
                  <w:drawing>
                    <wp:anchor behindDoc="0" distT="20320" distB="0" distL="0" distR="0" simplePos="0" locked="0" layoutInCell="1" allowOverlap="1" relativeHeight="642">
                      <wp:simplePos x="0" y="0"/>
                      <wp:positionH relativeFrom="column">
                        <wp:align>left</wp:align>
                      </wp:positionH>
                      <wp:positionV relativeFrom="line">
                        <wp:align>top</wp:align>
                      </wp:positionV>
                      <wp:extent cx="279400" cy="525780"/>
                      <wp:effectExtent l="0" t="0" r="0" b="0"/>
                      <wp:wrapSquare wrapText="right"/>
                      <wp:docPr id="428" name="Frame290"/>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(24)</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September 15, 2024, subject to achievement of a three-year cumulative adjusted ROIC Target with three-year cliff vesting. </w:t>
            </w:r>
            <w:r>
              <mc:AlternateContent>
                <mc:Choice Requires="wps">
                  <w:drawing>
                    <wp:anchor behindDoc="0" distT="20320" distB="0" distL="0" distR="0" simplePos="0" locked="0" layoutInCell="1" allowOverlap="1" relativeHeight="643">
                      <wp:simplePos x="0" y="0"/>
                      <wp:positionH relativeFrom="column">
                        <wp:align>left</wp:align>
                      </wp:positionH>
                      <wp:positionV relativeFrom="line">
                        <wp:align>top</wp:align>
                      </wp:positionV>
                      <wp:extent cx="279400" cy="525780"/>
                      <wp:effectExtent l="0" t="0" r="0" b="0"/>
                      <wp:wrapSquare wrapText="right"/>
                      <wp:docPr id="429" name="Frame291"/>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(25)</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September 15, 2024, subject to achievement of a three-year cumulative adjusted ROIC Target with three-year cliff vesting. </w:t>
            </w:r>
            <w:r>
              <mc:AlternateContent>
                <mc:Choice Requires="wps">
                  <w:drawing>
                    <wp:anchor behindDoc="0" distT="20320" distB="0" distL="0" distR="0" simplePos="0" locked="0" layoutInCell="1" allowOverlap="1" relativeHeight="644">
                      <wp:simplePos x="0" y="0"/>
                      <wp:positionH relativeFrom="column">
                        <wp:align>left</wp:align>
                      </wp:positionH>
                      <wp:positionV relativeFrom="line">
                        <wp:align>top</wp:align>
                      </wp:positionV>
                      <wp:extent cx="279400" cy="525780"/>
                      <wp:effectExtent l="0" t="0" r="0" b="0"/>
                      <wp:wrapSquare wrapText="right"/>
                      <wp:docPr id="430" name="Frame292"/>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(26)</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pPr>
            <w:r>
              <w:rPr>
                <w:spacing w:val="2"/>
              </w:rPr>
              <w:t>rTSR PSUs granted at target on September 15, 2024, subject to a market condition based on rTSR with three-year cliff vesting.</w:t>
            </w:r>
            <w:r>
              <w:rPr/>
              <w:t xml:space="preserve"> </w:t>
            </w:r>
            <w:r>
              <mc:AlternateContent>
                <mc:Choice Requires="wps">
                  <w:drawing>
                    <wp:anchor behindDoc="0" distT="20320" distB="0" distL="0" distR="0" simplePos="0" locked="0" layoutInCell="1" allowOverlap="1" relativeHeight="645">
                      <wp:simplePos x="0" y="0"/>
                      <wp:positionH relativeFrom="column">
                        <wp:align>left</wp:align>
                      </wp:positionH>
                      <wp:positionV relativeFrom="line">
                        <wp:align>top</wp:align>
                      </wp:positionV>
                      <wp:extent cx="279400" cy="525780"/>
                      <wp:effectExtent l="0" t="0" r="0" b="0"/>
                      <wp:wrapSquare wrapText="right"/>
                      <wp:docPr id="431" name="Frame293"/>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(27)</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92"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2024 Option Exercises and Stock Vested</w:t>
      </w:r>
      <w:r>
        <w:rPr>
          <w:rFonts w:ascii="Arial;Tahoma;Geneva;sans-serif" w:hAnsi="Arial;Tahoma;Geneva;sans-serif"/>
          <w:b/>
          <w:i/>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625"/>
        <w:gridCol w:w="109"/>
        <w:gridCol w:w="109"/>
        <w:gridCol w:w="109"/>
        <w:gridCol w:w="212"/>
        <w:gridCol w:w="212"/>
        <w:gridCol w:w="677"/>
        <w:gridCol w:w="216"/>
        <w:gridCol w:w="122"/>
        <w:gridCol w:w="122"/>
        <w:gridCol w:w="122"/>
        <w:gridCol w:w="219"/>
        <w:gridCol w:w="219"/>
        <w:gridCol w:w="697"/>
        <w:gridCol w:w="221"/>
        <w:gridCol w:w="109"/>
        <w:gridCol w:w="109"/>
        <w:gridCol w:w="109"/>
        <w:gridCol w:w="136"/>
        <w:gridCol w:w="136"/>
        <w:gridCol w:w="960"/>
        <w:gridCol w:w="136"/>
        <w:gridCol w:w="109"/>
        <w:gridCol w:w="109"/>
        <w:gridCol w:w="109"/>
        <w:gridCol w:w="135"/>
        <w:gridCol w:w="135"/>
        <w:gridCol w:w="1107"/>
        <w:gridCol w:w="135"/>
        <w:gridCol w:w="109"/>
        <w:gridCol w:w="16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625" w:type="dxa"/>
            <w:vMerge w:val="restart"/>
            <w:tcBorders/>
            <w:shd w:fill="702076" w:val="clear"/>
            <w:tcMar>
              <w:top w:w="28" w:type="dxa"/>
              <w:left w:w="28" w:type="dxa"/>
              <w:bottom w:w="28" w:type="dxa"/>
              <w:right w:w="28" w:type="dxa"/>
            </w:tcMar>
            <w:vAlign w:val="center"/>
          </w:tcPr>
          <w:p>
            <w:pPr>
              <w:pStyle w:val="TableContents"/>
              <w:bidi w:val="0"/>
              <w:spacing w:lineRule="atLeast" w:line="176" w:before="0" w:after="0"/>
              <w:jc w:val="center"/>
              <w:rPr/>
            </w:pPr>
            <w:r>
              <w:rPr>
                <w:spacing w:val="2"/>
              </w:rPr>
              <w:t>Name</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039" w:type="dxa"/>
            <w:gridSpan w:val="11"/>
            <w:tcBorders/>
            <w:shd w:fill="4C4C4C" w:val="clear"/>
            <w:vAlign w:val="center"/>
          </w:tcPr>
          <w:p>
            <w:pPr>
              <w:pStyle w:val="TableContents"/>
              <w:bidi w:val="0"/>
              <w:spacing w:before="0" w:after="0"/>
              <w:jc w:val="center"/>
              <w:rPr>
                <w:spacing w:val="2"/>
              </w:rPr>
            </w:pPr>
            <w:r>
              <w:rPr>
                <w:spacing w:val="2"/>
              </w:rPr>
              <w:t xml:space="preserve">Stock Options/SARs </w:t>
            </w:r>
          </w:p>
        </w:tc>
        <w:tc>
          <w:tcPr>
            <w:tcW w:w="109" w:type="dxa"/>
            <w:tcBorders/>
            <w:shd w:fill="4C4C4C"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207" w:type="dxa"/>
            <w:gridSpan w:val="11"/>
            <w:tcBorders/>
            <w:shd w:fill="4C4C4C" w:val="clear"/>
            <w:vAlign w:val="center"/>
          </w:tcPr>
          <w:p>
            <w:pPr>
              <w:pStyle w:val="TableContents"/>
              <w:bidi w:val="0"/>
              <w:spacing w:before="0" w:after="0"/>
              <w:jc w:val="center"/>
              <w:rPr>
                <w:spacing w:val="2"/>
              </w:rPr>
            </w:pPr>
            <w:r>
              <w:rPr>
                <w:spacing w:val="2"/>
              </w:rPr>
              <w:t xml:space="preserve">Stock Shares </w:t>
            </w:r>
          </w:p>
        </w:tc>
        <w:tc>
          <w:tcPr>
            <w:tcW w:w="109" w:type="dxa"/>
            <w:tcBorders/>
            <w:shd w:fill="4C4C4C" w:val="clear"/>
            <w:vAlign w:val="center"/>
          </w:tcPr>
          <w:p>
            <w:pPr>
              <w:pStyle w:val="TableContents"/>
              <w:bidi w:val="0"/>
              <w:spacing w:before="0" w:after="283"/>
              <w:jc w:val="left"/>
              <w:rPr/>
            </w:pPr>
            <w:r>
              <w:rPr/>
              <w:t>​</w:t>
            </w:r>
          </w:p>
        </w:tc>
        <w:tc>
          <w:tcPr>
            <w:tcW w:w="165" w:type="dxa"/>
            <w:tcBorders/>
            <w:shd w:fill="4C4C4C"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625" w:type="dxa"/>
            <w:vMerge w:val="continue"/>
            <w:tcBorders/>
            <w:shd w:fill="70207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09" w:type="dxa"/>
            <w:tcBorders/>
            <w:shd w:fill="702076" w:val="clear"/>
            <w:vAlign w:val="center"/>
          </w:tcPr>
          <w:p>
            <w:pPr>
              <w:pStyle w:val="TableContents"/>
              <w:bidi w:val="0"/>
              <w:spacing w:before="0" w:after="283"/>
              <w:jc w:val="left"/>
              <w:rPr/>
            </w:pPr>
            <w:r>
              <w:rPr/>
              <w:t>​</w:t>
            </w:r>
          </w:p>
        </w:tc>
        <w:tc>
          <w:tcPr>
            <w:tcW w:w="1317" w:type="dxa"/>
            <w:gridSpan w:val="4"/>
            <w:tcBorders/>
            <w:shd w:fill="702076" w:val="clear"/>
            <w:vAlign w:val="center"/>
          </w:tcPr>
          <w:p>
            <w:pPr>
              <w:pStyle w:val="TableContents"/>
              <w:bidi w:val="0"/>
              <w:spacing w:before="0" w:after="0"/>
              <w:jc w:val="center"/>
              <w:rPr>
                <w:spacing w:val="2"/>
              </w:rPr>
            </w:pPr>
            <w:r>
              <w:rPr>
                <w:spacing w:val="2"/>
              </w:rPr>
              <w:t xml:space="preserve">Number of </w:t>
              <w:br/>
              <w:t xml:space="preserve">Options/SARs </w:t>
              <w:br/>
              <w:t xml:space="preserve">Shares Acquired </w:t>
              <w:br/>
              <w:t xml:space="preserve">on Exercise </w:t>
              <w:br/>
              <w:t xml:space="preserve">(#) </w:t>
            </w:r>
          </w:p>
        </w:tc>
        <w:tc>
          <w:tcPr>
            <w:tcW w:w="122" w:type="dxa"/>
            <w:tcBorders/>
            <w:shd w:fill="702076" w:val="clear"/>
            <w:vAlign w:val="center"/>
          </w:tcPr>
          <w:p>
            <w:pPr>
              <w:pStyle w:val="TableContents"/>
              <w:bidi w:val="0"/>
              <w:spacing w:before="0" w:after="283"/>
              <w:jc w:val="left"/>
              <w:rPr/>
            </w:pPr>
            <w:r>
              <w:rPr/>
              <w:t>​</w:t>
            </w:r>
          </w:p>
        </w:tc>
        <w:tc>
          <w:tcPr>
            <w:tcW w:w="122" w:type="dxa"/>
            <w:tcBorders/>
            <w:shd w:fill="BFBFBF" w:val="clear"/>
            <w:vAlign w:val="center"/>
          </w:tcPr>
          <w:p>
            <w:pPr>
              <w:pStyle w:val="TableContents"/>
              <w:bidi w:val="0"/>
              <w:spacing w:before="0" w:after="283"/>
              <w:jc w:val="left"/>
              <w:rPr/>
            </w:pPr>
            <w:r>
              <w:rPr/>
              <w:t>​</w:t>
            </w:r>
          </w:p>
        </w:tc>
        <w:tc>
          <w:tcPr>
            <w:tcW w:w="122" w:type="dxa"/>
            <w:tcBorders/>
            <w:shd w:fill="702076" w:val="clear"/>
            <w:vAlign w:val="center"/>
          </w:tcPr>
          <w:p>
            <w:pPr>
              <w:pStyle w:val="TableContents"/>
              <w:bidi w:val="0"/>
              <w:spacing w:before="0" w:after="283"/>
              <w:jc w:val="left"/>
              <w:rPr/>
            </w:pPr>
            <w:r>
              <w:rPr/>
              <w:t>​</w:t>
            </w:r>
          </w:p>
        </w:tc>
        <w:tc>
          <w:tcPr>
            <w:tcW w:w="1356"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Value Realized on </w:t>
              <w:br/>
              <w:t xml:space="preserve">Exercise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68"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Number of </w:t>
              <w:br/>
              <w:t xml:space="preserve">Shares Acquired </w:t>
              <w:br/>
              <w:t xml:space="preserve">on Vesting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2"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Value Realized on </w:t>
              <w:br/>
              <w:t xml:space="preserve">Vesting </w:t>
              <w:br/>
              <w:t>($)</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6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William Kozy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14,512</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795,403</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16,941</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939,820</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3,732</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198,760</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1,967</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105,741</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Trui Hebbelinck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11,779</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658,917</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25" w:type="dxa"/>
            <w:gridSpan w:val="29"/>
            <w:tcBorders>
              <w:bottom w:val="single" w:sz="6" w:space="0" w:color="BFBFBF"/>
            </w:tcBorders>
            <w:shd w:fill="D8D8D8" w:val="clear"/>
            <w:tcMar>
              <w:bottom w:w="51" w:type="dxa"/>
            </w:tcMar>
            <w:vAlign w:val="center"/>
          </w:tcPr>
          <w:p>
            <w:pPr>
              <w:pStyle w:val="TableContents"/>
              <w:bidi w:val="0"/>
              <w:spacing w:lineRule="atLeast" w:line="160" w:before="0" w:after="0"/>
              <w:ind w:left="320" w:right="0" w:hanging="0"/>
              <w:jc w:val="left"/>
              <w:rPr/>
            </w:pPr>
            <w:r>
              <w:rPr>
                <w:spacing w:val="2"/>
              </w:rPr>
              <w:t>Value determined based on fair market value of shares on date of vesting before withholding for taxes.</w:t>
            </w:r>
            <w:r>
              <w:rPr/>
              <w:t xml:space="preserve"> </w:t>
            </w:r>
            <w:r>
              <mc:AlternateContent>
                <mc:Choice Requires="wps">
                  <w:drawing>
                    <wp:anchor behindDoc="0" distT="0" distB="0" distL="0" distR="0" simplePos="0" locked="0" layoutInCell="1" allowOverlap="1" relativeHeight="646">
                      <wp:simplePos x="0" y="0"/>
                      <wp:positionH relativeFrom="column">
                        <wp:align>left</wp:align>
                      </wp:positionH>
                      <wp:positionV relativeFrom="line">
                        <wp:posOffset>635</wp:posOffset>
                      </wp:positionV>
                      <wp:extent cx="203200" cy="525780"/>
                      <wp:effectExtent l="0" t="0" r="0" b="0"/>
                      <wp:wrapSquare wrapText="right"/>
                      <wp:docPr id="432" name="Frame29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82"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2024 Pension Benefits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has no defined benefit plan applicable to LivaNova’s NEOs.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3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2024 Non-Qualified Deferred Compensation</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NEOs is eligible to participate in a supplemental pension plan that is a tax-qualified defined contribution plan, operated in accordance with local country rules and regulations.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US, LivaNova provides all the Company’s employees with the opportunity to contribute to a 401(k) plan that provides an employer match of 100% of the first three percent of their eligible compensation and 50% of the next two percent of eligible compensation, subject to an employee contribution of five percent up to the limit of total eligible compensation of $345,000 on both base salary and STIP payout. In addition, for employees from Director level and above, the Company provides the opportunity to join a non-qualified deferred contribution plan that provides for an employer match of 100% of the first three percent of the eligible compensation, and 50% of the next two percent of eligible compensation, subject to an employee contribution of five percent, on both base salary and STIP payout.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3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139" descr=""/>
                          <pic:cNvPicPr>
                            <a:picLocks noChangeAspect="1" noChangeArrowheads="1"/>
                          </pic:cNvPicPr>
                        </pic:nvPicPr>
                        <pic:blipFill>
                          <a:blip r:embed="rId140"/>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59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3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40" descr=""/>
                    <pic:cNvPicPr>
                      <a:picLocks noChangeAspect="1" noChangeArrowheads="1"/>
                    </pic:cNvPicPr>
                  </pic:nvPicPr>
                  <pic:blipFill>
                    <a:blip r:embed="rId14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Mr. Kozy opted out of LivaNova’s 401(k) plan and its non-qualified deferred compensation plan in the US. Messrs. Makatsaria, Shvartsburg, Tezel and Hutchinson participated in LivaNova’s 401(k) plan in 2024. Messrs. Tezel and Hutchinson did not enroll in the non-qualified deferred contribution plan for 2024. Mr. Shvartsburg enrolled in the non-qualified deferred contribution plan only for contributions on his STIP, that while earned and reported in the 2024 Summary Compensation table, will be paid into the plan in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table below summarizes activity during 2024 and account balances in our Non-Qualified Deferred Compensation plan for Mr. Makatsaria.</w:t>
      </w:r>
      <w:r>
        <w:rPr>
          <w:rFonts w:ascii="Tahoma;Geneva;sans-serif" w:hAnsi="Tahoma;Geneva;sans-serif"/>
          <w:b w:val="false"/>
          <w:i w:val="false"/>
          <w:caps w:val="false"/>
          <w:smallCaps w:val="false"/>
          <w:color w:val="000000"/>
          <w:spacing w:val="4"/>
          <w:sz w:val="20"/>
        </w:rPr>
        <w:t xml:space="preserve"> </w:t>
      </w:r>
    </w:p>
    <w:tbl>
      <w:tblPr>
        <w:tblW w:w="9676" w:type="dxa"/>
        <w:jc w:val="left"/>
        <w:tblInd w:w="1173" w:type="dxa"/>
        <w:tblLayout w:type="fixed"/>
        <w:tblCellMar>
          <w:top w:w="0" w:type="dxa"/>
          <w:left w:w="0" w:type="dxa"/>
          <w:bottom w:w="0" w:type="dxa"/>
          <w:right w:w="0" w:type="dxa"/>
        </w:tblCellMar>
      </w:tblPr>
      <w:tblGrid>
        <w:gridCol w:w="124"/>
        <w:gridCol w:w="109"/>
        <w:gridCol w:w="1159"/>
        <w:gridCol w:w="109"/>
        <w:gridCol w:w="109"/>
        <w:gridCol w:w="109"/>
        <w:gridCol w:w="114"/>
        <w:gridCol w:w="236"/>
        <w:gridCol w:w="802"/>
        <w:gridCol w:w="116"/>
        <w:gridCol w:w="109"/>
        <w:gridCol w:w="109"/>
        <w:gridCol w:w="109"/>
        <w:gridCol w:w="114"/>
        <w:gridCol w:w="236"/>
        <w:gridCol w:w="802"/>
        <w:gridCol w:w="116"/>
        <w:gridCol w:w="109"/>
        <w:gridCol w:w="109"/>
        <w:gridCol w:w="109"/>
        <w:gridCol w:w="111"/>
        <w:gridCol w:w="230"/>
        <w:gridCol w:w="659"/>
        <w:gridCol w:w="112"/>
        <w:gridCol w:w="109"/>
        <w:gridCol w:w="109"/>
        <w:gridCol w:w="109"/>
        <w:gridCol w:w="207"/>
        <w:gridCol w:w="207"/>
        <w:gridCol w:w="658"/>
        <w:gridCol w:w="209"/>
        <w:gridCol w:w="109"/>
        <w:gridCol w:w="109"/>
        <w:gridCol w:w="109"/>
        <w:gridCol w:w="131"/>
        <w:gridCol w:w="272"/>
        <w:gridCol w:w="922"/>
        <w:gridCol w:w="132"/>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68"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Executive </w:t>
              <w:br/>
              <w:t xml:space="preserve">contribution ($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68"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Company </w:t>
              <w:br/>
              <w:t>contribution ($)</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12"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Aggregate </w:t>
              <w:br/>
              <w:t xml:space="preserve">earning in </w:t>
              <w:br/>
              <w:t xml:space="preserve">the year ($)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81"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Aggregate </w:t>
              <w:br/>
              <w:t xml:space="preserve">withdrawals </w:t>
              <w:br/>
              <w:t xml:space="preserve">in the year ($)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57" w:type="dxa"/>
            <w:gridSpan w:val="4"/>
            <w:tcBorders/>
            <w:shd w:fill="702076" w:val="clear"/>
            <w:vAlign w:val="center"/>
          </w:tcPr>
          <w:p>
            <w:pPr>
              <w:pStyle w:val="TableContents"/>
              <w:bidi w:val="0"/>
              <w:spacing w:lineRule="atLeast" w:line="176" w:before="0" w:after="0"/>
              <w:jc w:val="center"/>
              <w:rPr>
                <w:spacing w:val="2"/>
              </w:rPr>
            </w:pPr>
            <w:r>
              <w:rPr>
                <w:spacing w:val="2"/>
              </w:rPr>
              <w:t xml:space="preserve">Aggregate </w:t>
              <w:br/>
              <w:t xml:space="preserve">balance as </w:t>
              <w:br/>
              <w:t xml:space="preserve">December 31, </w:t>
              <w:br/>
              <w:t xml:space="preserve">2024 ($)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236" w:type="dxa"/>
            <w:tcBorders>
              <w:bottom w:val="single" w:sz="6" w:space="0" w:color="BFBFBF"/>
            </w:tcBorders>
            <w:tcMar>
              <w:bottom w:w="51" w:type="dxa"/>
            </w:tcMar>
            <w:vAlign w:val="center"/>
          </w:tcPr>
          <w:p>
            <w:pPr>
              <w:pStyle w:val="TableContents"/>
              <w:bidi w:val="0"/>
              <w:spacing w:before="0" w:after="283"/>
              <w:jc w:val="right"/>
              <w:rPr/>
            </w:pPr>
            <w:r>
              <w:rPr/>
              <w:t>$</w:t>
            </w:r>
          </w:p>
        </w:tc>
        <w:tc>
          <w:tcPr>
            <w:tcW w:w="802" w:type="dxa"/>
            <w:tcBorders>
              <w:bottom w:val="single" w:sz="6" w:space="0" w:color="BFBFBF"/>
            </w:tcBorders>
            <w:tcMar>
              <w:bottom w:w="51" w:type="dxa"/>
            </w:tcMar>
            <w:vAlign w:val="center"/>
          </w:tcPr>
          <w:p>
            <w:pPr>
              <w:pStyle w:val="TableContents"/>
              <w:bidi w:val="0"/>
              <w:spacing w:before="0" w:after="283"/>
              <w:jc w:val="right"/>
              <w:rPr/>
            </w:pPr>
            <w:r>
              <w:rPr/>
              <w:t>30,940</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236" w:type="dxa"/>
            <w:tcBorders>
              <w:bottom w:val="single" w:sz="6" w:space="0" w:color="BFBFBF"/>
            </w:tcBorders>
            <w:tcMar>
              <w:bottom w:w="51" w:type="dxa"/>
            </w:tcMar>
            <w:vAlign w:val="center"/>
          </w:tcPr>
          <w:p>
            <w:pPr>
              <w:pStyle w:val="TableContents"/>
              <w:bidi w:val="0"/>
              <w:spacing w:before="0" w:after="283"/>
              <w:jc w:val="right"/>
              <w:rPr/>
            </w:pPr>
            <w:r>
              <w:rPr/>
              <w:t>$</w:t>
            </w:r>
          </w:p>
        </w:tc>
        <w:tc>
          <w:tcPr>
            <w:tcW w:w="802" w:type="dxa"/>
            <w:tcBorders>
              <w:bottom w:val="single" w:sz="6" w:space="0" w:color="BFBFBF"/>
            </w:tcBorders>
            <w:tcMar>
              <w:bottom w:w="51" w:type="dxa"/>
            </w:tcMar>
            <w:vAlign w:val="center"/>
          </w:tcPr>
          <w:p>
            <w:pPr>
              <w:pStyle w:val="TableContents"/>
              <w:bidi w:val="0"/>
              <w:spacing w:before="0" w:after="283"/>
              <w:jc w:val="right"/>
              <w:rPr/>
            </w:pPr>
            <w:r>
              <w:rPr/>
              <w:t>24,752</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1" w:type="dxa"/>
            <w:tcBorders>
              <w:bottom w:val="single" w:sz="6" w:space="0" w:color="BFBFBF"/>
            </w:tcBorders>
            <w:tcMar>
              <w:bottom w:w="28" w:type="dxa"/>
            </w:tcMar>
            <w:vAlign w:val="center"/>
          </w:tcPr>
          <w:p>
            <w:pPr>
              <w:pStyle w:val="TableContents"/>
              <w:bidi w:val="0"/>
              <w:spacing w:before="0" w:after="283"/>
              <w:jc w:val="left"/>
              <w:rPr/>
            </w:pPr>
            <w:r>
              <w:rPr/>
              <w:t>​</w:t>
            </w:r>
          </w:p>
        </w:tc>
        <w:tc>
          <w:tcPr>
            <w:tcW w:w="230" w:type="dxa"/>
            <w:tcBorders>
              <w:bottom w:val="single" w:sz="6" w:space="0" w:color="BFBFBF"/>
            </w:tcBorders>
            <w:tcMar>
              <w:bottom w:w="51" w:type="dxa"/>
            </w:tcMar>
            <w:vAlign w:val="center"/>
          </w:tcPr>
          <w:p>
            <w:pPr>
              <w:pStyle w:val="TableContents"/>
              <w:bidi w:val="0"/>
              <w:spacing w:before="0" w:after="283"/>
              <w:jc w:val="right"/>
              <w:rPr/>
            </w:pPr>
            <w:r>
              <w:rPr/>
              <w:t>$</w:t>
            </w:r>
          </w:p>
        </w:tc>
        <w:tc>
          <w:tcPr>
            <w:tcW w:w="659" w:type="dxa"/>
            <w:tcBorders>
              <w:bottom w:val="single" w:sz="6" w:space="0" w:color="BFBFBF"/>
            </w:tcBorders>
            <w:tcMar>
              <w:bottom w:w="51" w:type="dxa"/>
            </w:tcMar>
            <w:vAlign w:val="center"/>
          </w:tcPr>
          <w:p>
            <w:pPr>
              <w:pStyle w:val="TableContents"/>
              <w:bidi w:val="0"/>
              <w:spacing w:before="0" w:after="283"/>
              <w:jc w:val="right"/>
              <w:rPr/>
            </w:pPr>
            <w:r>
              <w:rPr/>
              <w:t>3,162</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51" w:type="dxa"/>
            </w:tcMar>
            <w:vAlign w:val="center"/>
          </w:tcPr>
          <w:p>
            <w:pPr>
              <w:pStyle w:val="TableContents"/>
              <w:bidi w:val="0"/>
              <w:spacing w:before="0" w:after="283"/>
              <w:jc w:val="right"/>
              <w:rPr/>
            </w:pPr>
            <w:r>
              <w:rPr/>
              <w:t>​</w:t>
            </w:r>
          </w:p>
        </w:tc>
        <w:tc>
          <w:tcPr>
            <w:tcW w:w="658" w:type="dxa"/>
            <w:tcBorders>
              <w:bottom w:val="single" w:sz="6" w:space="0" w:color="BFBFBF"/>
            </w:tcBorders>
            <w:tcMar>
              <w:bottom w:w="51" w:type="dxa"/>
            </w:tcMar>
            <w:vAlign w:val="center"/>
          </w:tcPr>
          <w:p>
            <w:pPr>
              <w:pStyle w:val="TableContents"/>
              <w:bidi w:val="0"/>
              <w:spacing w:before="0" w:after="283"/>
              <w:jc w:val="right"/>
              <w:rPr/>
            </w:pPr>
            <w:r>
              <w:rPr/>
              <w:t>—</w:t>
            </w:r>
          </w:p>
        </w:tc>
        <w:tc>
          <w:tcPr>
            <w:tcW w:w="2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1" w:type="dxa"/>
            <w:tcBorders>
              <w:bottom w:val="single" w:sz="6" w:space="0" w:color="BFBFBF"/>
            </w:tcBorders>
            <w:tcMar>
              <w:bottom w:w="28" w:type="dxa"/>
            </w:tcMar>
            <w:vAlign w:val="center"/>
          </w:tcPr>
          <w:p>
            <w:pPr>
              <w:pStyle w:val="TableContents"/>
              <w:bidi w:val="0"/>
              <w:spacing w:before="0" w:after="283"/>
              <w:jc w:val="left"/>
              <w:rPr/>
            </w:pPr>
            <w:r>
              <w:rPr/>
              <w:t>​</w:t>
            </w:r>
          </w:p>
        </w:tc>
        <w:tc>
          <w:tcPr>
            <w:tcW w:w="272" w:type="dxa"/>
            <w:tcBorders>
              <w:bottom w:val="single" w:sz="6" w:space="0" w:color="BFBFBF"/>
            </w:tcBorders>
            <w:tcMar>
              <w:bottom w:w="51" w:type="dxa"/>
            </w:tcMar>
            <w:vAlign w:val="center"/>
          </w:tcPr>
          <w:p>
            <w:pPr>
              <w:pStyle w:val="TableContents"/>
              <w:bidi w:val="0"/>
              <w:spacing w:before="0" w:after="283"/>
              <w:jc w:val="right"/>
              <w:rPr/>
            </w:pPr>
            <w:r>
              <w:rPr/>
              <w:t>$</w:t>
            </w:r>
          </w:p>
        </w:tc>
        <w:tc>
          <w:tcPr>
            <w:tcW w:w="922" w:type="dxa"/>
            <w:tcBorders>
              <w:bottom w:val="single" w:sz="6" w:space="0" w:color="BFBFBF"/>
            </w:tcBorders>
            <w:tcMar>
              <w:bottom w:w="51" w:type="dxa"/>
            </w:tcMar>
            <w:vAlign w:val="center"/>
          </w:tcPr>
          <w:p>
            <w:pPr>
              <w:pStyle w:val="TableContents"/>
              <w:bidi w:val="0"/>
              <w:spacing w:before="0" w:after="283"/>
              <w:jc w:val="right"/>
              <w:rPr/>
            </w:pPr>
            <w:r>
              <w:rPr/>
              <w:t>58,854</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180" w:type="dxa"/>
            <w:gridSpan w:val="36"/>
            <w:tcBorders>
              <w:bottom w:val="single" w:sz="6" w:space="0" w:color="BFBFBF"/>
            </w:tcBorders>
            <w:shd w:fill="D8D8D8" w:val="clear"/>
            <w:tcMar>
              <w:bottom w:w="51" w:type="dxa"/>
            </w:tcMar>
            <w:vAlign w:val="center"/>
          </w:tcPr>
          <w:p>
            <w:pPr>
              <w:pStyle w:val="TableContents"/>
              <w:bidi w:val="0"/>
              <w:spacing w:lineRule="atLeast" w:line="192" w:before="0" w:after="0"/>
              <w:ind w:left="320" w:right="0" w:hanging="0"/>
              <w:jc w:val="both"/>
              <w:rPr/>
            </w:pPr>
            <w:r>
              <w:rPr>
                <w:spacing w:val="2"/>
              </w:rPr>
              <w:t>The Company contributions indicated in this table do not include the contributions earned on the STIP payout that will be paid in the plan in 2025.</w:t>
            </w:r>
            <w:r>
              <w:rPr/>
              <w:t xml:space="preserve"> </w:t>
            </w:r>
            <w:r>
              <mc:AlternateContent>
                <mc:Choice Requires="wps">
                  <w:drawing>
                    <wp:anchor behindDoc="0" distT="0" distB="0" distL="0" distR="0" simplePos="0" locked="0" layoutInCell="1" allowOverlap="1" relativeHeight="647">
                      <wp:simplePos x="0" y="0"/>
                      <wp:positionH relativeFrom="column">
                        <wp:align>left</wp:align>
                      </wp:positionH>
                      <wp:positionV relativeFrom="line">
                        <wp:posOffset>635</wp:posOffset>
                      </wp:positionV>
                      <wp:extent cx="203200" cy="525780"/>
                      <wp:effectExtent l="0" t="0" r="0" b="0"/>
                      <wp:wrapSquare wrapText="right"/>
                      <wp:docPr id="435" name="Frame29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30" w:before="228"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Ms. Hebbelinck, LivaNova accrued an amount equal to 15% of her compensation during 2024 (consisting of base and bonus) for the purpose of supplemental pension plan contribution.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Mr. Poletti participated in a defined contribution plan in which the employee may defer an unlimited amount of base salary and bonus to the plan. LivaNova matches up to four percent of employee deferrals, and the Company makes contributions mandated under Italian legislation and the applicable collective agreement under the so-called </w:t>
      </w:r>
      <w:r>
        <w:rPr>
          <w:rFonts w:ascii="Tahoma;Geneva;sans-serif" w:hAnsi="Tahoma;Geneva;sans-serif"/>
          <w:b w:val="false"/>
          <w:i/>
          <w:caps w:val="false"/>
          <w:smallCaps w:val="false"/>
          <w:color w:val="000000"/>
          <w:sz w:val="20"/>
        </w:rPr>
        <w:t>Trattamento di fine rapporto</w:t>
      </w:r>
      <w:r>
        <w:rPr>
          <w:rFonts w:ascii="Tahoma;Geneva;sans-serif" w:hAnsi="Tahoma;Geneva;sans-serif"/>
          <w:b w:val="false"/>
          <w:i w:val="false"/>
          <w:caps w:val="false"/>
          <w:smallCaps w:val="false"/>
          <w:color w:val="000000"/>
          <w:spacing w:val="2"/>
          <w:sz w:val="20"/>
        </w:rPr>
        <w:t>. Payout and withdrawal rights are established under Italian law. The plan is managed by an independent third-party, and LivaNova does not have access to the employee’s investment choices, aggregate earnings, withdrawals, distributions, or aggregate balance, which are subject to privacy restrictions.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Potential Payments Upon Termination or Change in Control</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post-separation treatment of outstanding equity held by an executive officer depends upon the specific circumstances surrounding the separation of an executive officer from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Death or disability</w:t>
      </w:r>
      <w:r>
        <w:rPr>
          <w:rFonts w:ascii="Tahoma;Geneva;sans-serif" w:hAnsi="Tahoma;Geneva;sans-serif"/>
          <w:b w:val="false"/>
          <w:i w:val="false"/>
          <w:caps w:val="false"/>
          <w:smallCaps w:val="false"/>
          <w:color w:val="000000"/>
          <w:spacing w:val="2"/>
          <w:sz w:val="20"/>
        </w:rPr>
        <w:t>. Upon death or disability, all outstanding SARs vest immediately and expire three months following termination based upon the terms of the plan from which they were awarded. All RSUs granted since 2023 under the 2022 LivaNova Incentive Plan vest immediately. All PSUs granted since 2023 under the 2022 LivaNova Incentive Plan continue to vest until the original vesting date or become vested (assuming 100% achievement) based on the CHCM Committee’s discretion. The CHCM Committee, in exercising its discretion, will consider factors as appropriate including the percentage of the Performance Period elapsed until the termination of service and the expected performance achievement.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648">
                <wp:simplePos x="0" y="0"/>
                <wp:positionH relativeFrom="column">
                  <wp:align>left</wp:align>
                </wp:positionH>
                <wp:positionV relativeFrom="line">
                  <wp:align>top</wp:align>
                </wp:positionV>
                <wp:extent cx="228600" cy="350520"/>
                <wp:effectExtent l="0" t="0" r="0" b="0"/>
                <wp:wrapSquare wrapText="right"/>
                <wp:docPr id="436" name="Frame2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Approved retirement</w:t>
      </w:r>
      <w:r>
        <w:rPr>
          <w:rFonts w:ascii="Tahoma;Geneva;sans-serif" w:hAnsi="Tahoma;Geneva;sans-serif"/>
          <w:b w:val="false"/>
          <w:i w:val="false"/>
          <w:caps w:val="false"/>
          <w:smallCaps w:val="false"/>
          <w:color w:val="000000"/>
          <w:spacing w:val="2"/>
          <w:sz w:val="20"/>
        </w:rPr>
        <w:t>. The service-based SARs, RSUs and PSUs granted in 2021, 2022, 2023, and 2024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RSUs and PSUs shall continue to vest on the date(s) and in the amount(s) set out in the applicable grant notice, provided that all other terms that apply to the RSUs and PSUs are met, including the terms regarding restricted activities set forth in the award agreements.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649">
                <wp:simplePos x="0" y="0"/>
                <wp:positionH relativeFrom="column">
                  <wp:align>left</wp:align>
                </wp:positionH>
                <wp:positionV relativeFrom="line">
                  <wp:align>top</wp:align>
                </wp:positionV>
                <wp:extent cx="228600" cy="350520"/>
                <wp:effectExtent l="0" t="0" r="0" b="0"/>
                <wp:wrapSquare wrapText="right"/>
                <wp:docPr id="437" name="Frame2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Change of control</w:t>
      </w:r>
      <w:r>
        <w:rPr>
          <w:rFonts w:ascii="Tahoma;Geneva;sans-serif" w:hAnsi="Tahoma;Geneva;sans-serif"/>
          <w:b w:val="false"/>
          <w:i w:val="false"/>
          <w:caps w:val="false"/>
          <w:smallCaps w:val="false"/>
          <w:color w:val="000000"/>
          <w:spacing w:val="2"/>
          <w:sz w:val="20"/>
        </w:rPr>
        <w:t xml:space="preserve">. On February 15, 2023, the CHCM Committee approved amended forms of award agreements under the Company’s 2022 Incentive Award Plan providing for accelerated vesting upon certain terminations of employment in connection with an acquisition of the Company, i.e., a double trigger vesting. Awards granted in 2023 and 2024 will therefore now vest following a change in control of the Company only in the event of a participant’s termination of service by the Company without “cause” or due to a resignation for “good reason” within 24 months. Awards granted in 2021 and 2022 are instead subject to the following treatment: (1) any outstanding SAR shall become fully vested and exercisable immediately prior to, but subject to the consummation of, such change in control and </w:t>
      </w:r>
      <w:r>
        <mc:AlternateContent>
          <mc:Choice Requires="wps">
            <w:drawing>
              <wp:anchor behindDoc="0" distT="76200" distB="0" distL="228600" distR="0" simplePos="0" locked="0" layoutInCell="1" allowOverlap="1" relativeHeight="650">
                <wp:simplePos x="0" y="0"/>
                <wp:positionH relativeFrom="column">
                  <wp:align>left</wp:align>
                </wp:positionH>
                <wp:positionV relativeFrom="line">
                  <wp:align>top</wp:align>
                </wp:positionV>
                <wp:extent cx="228600" cy="350520"/>
                <wp:effectExtent l="0" t="0" r="0" b="0"/>
                <wp:wrapSquare wrapText="right"/>
                <wp:docPr id="438" name="Frame2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3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141" descr=""/>
                          <pic:cNvPicPr>
                            <a:picLocks noChangeAspect="1" noChangeArrowheads="1"/>
                          </pic:cNvPicPr>
                        </pic:nvPicPr>
                        <pic:blipFill>
                          <a:blip r:embed="rId142"/>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4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142" descr=""/>
                    <pic:cNvPicPr>
                      <a:picLocks noChangeAspect="1" noChangeArrowheads="1"/>
                    </pic:cNvPicPr>
                  </pic:nvPicPr>
                  <pic:blipFill>
                    <a:blip r:embed="rId14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193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any outstanding RSU, to the extent not forfeited or otherwise vested immediately prior to such change in control, shall become fully vested immediately prior to, but subject to the consummation of, such change in control, in each case subject to the executive officer’s continuous employment with the company or a subsidiary through such change in control.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times, as circumstances dictate, LivaNova also enters into additional separation arrangements with departing executive officers. Employment agreements and any additional separation arrangements for departing NEOs are set out below.</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6" w:type="dxa"/>
            <w:tcBorders/>
            <w:shd w:fill="702076" w:val="clear"/>
            <w:vAlign w:val="center"/>
          </w:tcPr>
          <w:p>
            <w:pPr>
              <w:pStyle w:val="TableContents"/>
              <w:bidi w:val="0"/>
              <w:spacing w:lineRule="atLeast" w:line="240" w:before="0" w:after="0"/>
              <w:jc w:val="left"/>
              <w:rPr/>
            </w:pPr>
            <w:r>
              <w:rPr>
                <w:spacing w:val="-5"/>
              </w:rPr>
              <w:t>Vladimir Makatsaria</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Makatsaria if a termination event had occurred on December 31, 2024.</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42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7"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1,395,000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1,860,000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1,395,000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2,046,000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3,942,509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3,942,509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3,942,509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3,942,509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30,179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40,239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30,179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5,367,668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7,888,748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5,367,688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4,942,509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931" w:type="dxa"/>
            <w:gridSpan w:val="36"/>
            <w:tcBorders>
              <w:bottom w:val="single" w:sz="6" w:space="0" w:color="BFBFBF"/>
            </w:tcBorders>
            <w:shd w:fill="D8D8D8" w:val="clear"/>
            <w:tcMar>
              <w:bottom w:w="51" w:type="dxa"/>
            </w:tcMar>
            <w:vAlign w:val="center"/>
          </w:tcPr>
          <w:p>
            <w:pPr>
              <w:pStyle w:val="TableContents"/>
              <w:bidi w:val="0"/>
              <w:spacing w:lineRule="atLeast" w:line="192" w:before="0" w:after="0"/>
              <w:ind w:left="320" w:right="0" w:hanging="0"/>
              <w:jc w:val="both"/>
              <w:rPr>
                <w:spacing w:val="2"/>
              </w:rPr>
            </w:pPr>
            <w:r>
              <w:rPr>
                <w:spacing w:val="2"/>
              </w:rPr>
              <w:t xml:space="preserve">The potential payment in case of termination without cause represents eighteen (18) months of base salary ($1,395,000), continued coverage under the Company’s group health plan for up to eighteen (18) months following the termination ($30,179), continued vesting of the 2024 LTIP Award and the Inducement Award, in each case, on the original vesting schedule, with any PSUs earned based on the level of actual achievement of the applicable performance goals or metrics. For purpose of this table, the LTIP amount reflects the sum of (i) the amount resulting from multiplying the 37,316 outstanding RSUs and 47,817 PSUs as of December 31, 2024 by the closing market price on December 31, 2024 ($46.31). This calculation does not include SARs where the exercise price exceeds the market price. </w:t>
            </w:r>
            <w:r>
              <mc:AlternateContent>
                <mc:Choice Requires="wps">
                  <w:drawing>
                    <wp:anchor behindDoc="0" distT="0" distB="0" distL="0" distR="0" simplePos="0" locked="0" layoutInCell="1" allowOverlap="1" relativeHeight="651">
                      <wp:simplePos x="0" y="0"/>
                      <wp:positionH relativeFrom="column">
                        <wp:align>left</wp:align>
                      </wp:positionH>
                      <wp:positionV relativeFrom="line">
                        <wp:posOffset>635</wp:posOffset>
                      </wp:positionV>
                      <wp:extent cx="203200" cy="525780"/>
                      <wp:effectExtent l="0" t="0" r="0" b="0"/>
                      <wp:wrapSquare wrapText="right"/>
                      <wp:docPr id="441" name="Frame29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termination without cause represents twenty-four (24) months of base salary ($1,860,000), target annual bonus for two (2) years, continued coverage under the Company’s group health plan for up to twenty four (24) months following the termination ($40,239), and accelerated vesting of any unvested equity awards under the LTIP pursuant to the terms of, and to the extent provided under, the LTIP and the applicable award agreements governing the terms of such equity awards. For purposes of this table, the LTIP amount reflects the sum of (i) the amount resulting from multiplying the 37,316 outstanding RSUs and 47,817 PSUs as of December 31, 2024 by the closing market price on December 31, 2024 ($46.31). This calculation does not include SARs where the exercise price exceeds the market price. </w:t>
            </w:r>
            <w:r>
              <mc:AlternateContent>
                <mc:Choice Requires="wps">
                  <w:drawing>
                    <wp:anchor behindDoc="0" distT="20320" distB="0" distL="0" distR="0" simplePos="0" locked="0" layoutInCell="1" allowOverlap="1" relativeHeight="652">
                      <wp:simplePos x="0" y="0"/>
                      <wp:positionH relativeFrom="column">
                        <wp:align>left</wp:align>
                      </wp:positionH>
                      <wp:positionV relativeFrom="line">
                        <wp:align>top</wp:align>
                      </wp:positionV>
                      <wp:extent cx="203200" cy="525780"/>
                      <wp:effectExtent l="0" t="0" r="0" b="0"/>
                      <wp:wrapSquare wrapText="right"/>
                      <wp:docPr id="442" name="Frame30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represents eighteen (18) months of base salary ($1,395,000), continued coverage under the Company’s group health plan for up to eighteen (18) months following the termination ($30,179), continued vesting of the 2024 LTIP Award and the Inducement Award, in each case, on the original vesting schedule, with any Performance Stock Units earned based on the level of actual achievement of the applicable performance goals or metrics. For purposes of this table, the LTIP amount reflects the sum of (i) the amount resulting from multiplying the 37,316 outstanding RSUs and 47,817 PSUs as of December 31, 2024 by the closing market price on December 31, 2024 ($46.31). This calculation does not include SARs where the exercise price exceeds the market price. </w:t>
            </w:r>
            <w:r>
              <mc:AlternateContent>
                <mc:Choice Requires="wps">
                  <w:drawing>
                    <wp:anchor behindDoc="0" distT="20320" distB="0" distL="0" distR="0" simplePos="0" locked="0" layoutInCell="1" allowOverlap="1" relativeHeight="653">
                      <wp:simplePos x="0" y="0"/>
                      <wp:positionH relativeFrom="column">
                        <wp:align>left</wp:align>
                      </wp:positionH>
                      <wp:positionV relativeFrom="line">
                        <wp:align>top</wp:align>
                      </wp:positionV>
                      <wp:extent cx="203200" cy="525780"/>
                      <wp:effectExtent l="0" t="0" r="0" b="0"/>
                      <wp:wrapSquare wrapText="right"/>
                      <wp:docPr id="443" name="Frame30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U.S. employees are enrolled and (ii) the amount resulting from multiplying the 37,316 outstanding RSUs and 47,817 PSUs (considered at target) as of December 31, 2024 subject to accelerated vesting by the closing market price on December 31, 2024 ($46.31). This calculation does not include SARs where the exercise price exceeds the market price.</w:t>
            </w:r>
            <w:r>
              <w:rPr/>
              <w:t xml:space="preserve"> </w:t>
            </w:r>
            <w:r>
              <mc:AlternateContent>
                <mc:Choice Requires="wps">
                  <w:drawing>
                    <wp:anchor behindDoc="0" distT="20320" distB="0" distL="0" distR="0" simplePos="0" locked="0" layoutInCell="1" allowOverlap="1" relativeHeight="654">
                      <wp:simplePos x="0" y="0"/>
                      <wp:positionH relativeFrom="column">
                        <wp:align>left</wp:align>
                      </wp:positionH>
                      <wp:positionV relativeFrom="line">
                        <wp:align>top</wp:align>
                      </wp:positionV>
                      <wp:extent cx="203200" cy="525780"/>
                      <wp:effectExtent l="0" t="0" r="0" b="0"/>
                      <wp:wrapSquare wrapText="right"/>
                      <wp:docPr id="444" name="Frame30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4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43" descr=""/>
                          <pic:cNvPicPr>
                            <a:picLocks noChangeAspect="1" noChangeArrowheads="1"/>
                          </pic:cNvPicPr>
                        </pic:nvPicPr>
                        <pic:blipFill>
                          <a:blip r:embed="rId144"/>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61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4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44" descr=""/>
                    <pic:cNvPicPr>
                      <a:picLocks noChangeAspect="1" noChangeArrowheads="1"/>
                    </pic:cNvPicPr>
                  </pic:nvPicPr>
                  <pic:blipFill>
                    <a:blip r:embed="rId14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6" w:type="dxa"/>
            <w:tcBorders/>
            <w:shd w:fill="702076" w:val="clear"/>
            <w:vAlign w:val="center"/>
          </w:tcPr>
          <w:p>
            <w:pPr>
              <w:pStyle w:val="TableContents"/>
              <w:bidi w:val="0"/>
              <w:spacing w:lineRule="atLeast" w:line="240" w:before="0" w:after="0"/>
              <w:jc w:val="left"/>
              <w:rPr/>
            </w:pPr>
            <w:r>
              <w:rPr>
                <w:spacing w:val="-5"/>
              </w:rPr>
              <w:t>Alex Shvartsburg</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00" w:before="0" w:after="0"/>
              <w:jc w:val="both"/>
              <w:rPr/>
            </w:pPr>
            <w:r>
              <w:rPr>
                <w:spacing w:val="2"/>
              </w:rPr>
              <w:t>The following table quantifies the potential payments that would be made to Mr. Shvartsburg if a termination event had occurred on December 31, 2024.</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7"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w:t>
              <w:br/>
              <w:t>in Control</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572,355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572,355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572,355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2,714,609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2,251,833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2,251,833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572,355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3,286,964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2,824,188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3,251,833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751" w:type="dxa"/>
            <w:gridSpan w:val="36"/>
            <w:tcBorders>
              <w:bottom w:val="single" w:sz="6" w:space="0" w:color="BFBFBF"/>
            </w:tcBorders>
            <w:shd w:fill="D8D8D8" w:val="clear"/>
            <w:tcMar>
              <w:bottom w:w="51" w:type="dxa"/>
            </w:tcMar>
            <w:vAlign w:val="center"/>
          </w:tcPr>
          <w:p>
            <w:pPr>
              <w:pStyle w:val="TableContents"/>
              <w:bidi w:val="0"/>
              <w:spacing w:lineRule="atLeast" w:line="160" w:before="0" w:after="0"/>
              <w:ind w:left="320" w:right="0" w:hanging="0"/>
              <w:jc w:val="left"/>
              <w:rPr>
                <w:spacing w:val="2"/>
              </w:rPr>
            </w:pPr>
            <w:r>
              <w:rPr>
                <w:spacing w:val="2"/>
              </w:rPr>
              <w:t xml:space="preserve">The potential payment in case of termination without cause represents 12 months of base salary ($572,355). </w:t>
            </w:r>
            <w:r>
              <mc:AlternateContent>
                <mc:Choice Requires="wps">
                  <w:drawing>
                    <wp:anchor behindDoc="0" distT="0" distB="0" distL="0" distR="0" simplePos="0" locked="0" layoutInCell="1" allowOverlap="1" relativeHeight="655">
                      <wp:simplePos x="0" y="0"/>
                      <wp:positionH relativeFrom="column">
                        <wp:align>left</wp:align>
                      </wp:positionH>
                      <wp:positionV relativeFrom="line">
                        <wp:posOffset>635</wp:posOffset>
                      </wp:positionV>
                      <wp:extent cx="203200" cy="525780"/>
                      <wp:effectExtent l="0" t="0" r="0" b="0"/>
                      <wp:wrapSquare wrapText="right"/>
                      <wp:docPr id="447" name="Frame30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12 months of base salary ($572,355), (ii) the amount resulting from multiplying the 16,923 outstanding RSUs and 40,524 PSUs (considered at target) as of December 31, 2024 subject to accelerated vesting by the closing market price at December 31, 2024 ($46.31), and (iii) the amount resulting from multiplying the outstanding SAR in-the-money award subject to accelerated vesting by the difference between the closing market price at December 31, 2024 ($46.31) and the exercise price for each SAR (15,066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56">
                      <wp:simplePos x="0" y="0"/>
                      <wp:positionH relativeFrom="column">
                        <wp:align>left</wp:align>
                      </wp:positionH>
                      <wp:positionV relativeFrom="line">
                        <wp:align>top</wp:align>
                      </wp:positionV>
                      <wp:extent cx="203200" cy="525780"/>
                      <wp:effectExtent l="0" t="0" r="0" b="0"/>
                      <wp:wrapSquare wrapText="right"/>
                      <wp:docPr id="448" name="Frame30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12 months of base salary ($572,355), (ii) the amount resulting from multiplying the 14,242 outstanding RSUs with a grant date of March 30, 2023 or following and 33,212 PSUs with a grant date of March 30, 2023 or following (considered at target)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(15,066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57">
                      <wp:simplePos x="0" y="0"/>
                      <wp:positionH relativeFrom="column">
                        <wp:align>left</wp:align>
                      </wp:positionH>
                      <wp:positionV relativeFrom="line">
                        <wp:align>top</wp:align>
                      </wp:positionV>
                      <wp:extent cx="203200" cy="525780"/>
                      <wp:effectExtent l="0" t="0" r="0" b="0"/>
                      <wp:wrapSquare wrapText="right"/>
                      <wp:docPr id="449" name="Frame30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U.S. employees are enrolled, (ii) the amount resulting from multiplying the 14,242 outstanding RSUs with a grant date of March 30, 2023 or following and 33,212 PSUs with a grant date of March 30, 2023 or following (considered at target)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(15,066 SARs with an exercise price of $42.71). This calculation does not include SARs where the exercise price exceeds the market price.</w:t>
            </w:r>
            <w:r>
              <w:rPr/>
              <w:t xml:space="preserve"> </w:t>
            </w:r>
            <w:r>
              <mc:AlternateContent>
                <mc:Choice Requires="wps">
                  <w:drawing>
                    <wp:anchor behindDoc="0" distT="20320" distB="0" distL="0" distR="0" simplePos="0" locked="0" layoutInCell="1" allowOverlap="1" relativeHeight="658">
                      <wp:simplePos x="0" y="0"/>
                      <wp:positionH relativeFrom="column">
                        <wp:align>left</wp:align>
                      </wp:positionH>
                      <wp:positionV relativeFrom="line">
                        <wp:align>top</wp:align>
                      </wp:positionV>
                      <wp:extent cx="203200" cy="525780"/>
                      <wp:effectExtent l="0" t="0" r="0" b="0"/>
                      <wp:wrapSquare wrapText="right"/>
                      <wp:docPr id="450" name="Frame30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6" w:type="dxa"/>
            <w:tcBorders/>
            <w:shd w:fill="702076" w:val="clear"/>
            <w:vAlign w:val="center"/>
          </w:tcPr>
          <w:p>
            <w:pPr>
              <w:pStyle w:val="TableContents"/>
              <w:bidi w:val="0"/>
              <w:spacing w:lineRule="atLeast" w:line="240" w:before="0" w:after="0"/>
              <w:jc w:val="left"/>
              <w:rPr/>
            </w:pPr>
            <w:r>
              <w:rPr>
                <w:spacing w:val="-5"/>
              </w:rPr>
              <w:t>Michael Hutchinson</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Hutchinson if a termination event had occurred on December 31, 2024.</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7"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527,436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527,436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527,436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1,802,245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1,802,245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1,802,245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527,436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2,329,681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2,329,681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2,802,245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60" w:before="0" w:after="0"/>
              <w:ind w:left="320" w:right="0" w:hanging="0"/>
              <w:jc w:val="left"/>
              <w:rPr>
                <w:spacing w:val="2"/>
              </w:rPr>
            </w:pPr>
            <w:r>
              <w:rPr>
                <w:spacing w:val="2"/>
              </w:rPr>
              <w:t xml:space="preserve">The potential payment in case of termination without cause represents 12 months of base salary ($527,436). </w:t>
            </w:r>
            <w:r>
              <mc:AlternateContent>
                <mc:Choice Requires="wps">
                  <w:drawing>
                    <wp:anchor behindDoc="0" distT="0" distB="0" distL="0" distR="0" simplePos="0" locked="0" layoutInCell="1" allowOverlap="1" relativeHeight="659">
                      <wp:simplePos x="0" y="0"/>
                      <wp:positionH relativeFrom="column">
                        <wp:align>left</wp:align>
                      </wp:positionH>
                      <wp:positionV relativeFrom="line">
                        <wp:posOffset>635</wp:posOffset>
                      </wp:positionV>
                      <wp:extent cx="203200" cy="525780"/>
                      <wp:effectExtent l="0" t="0" r="0" b="0"/>
                      <wp:wrapSquare wrapText="right"/>
                      <wp:docPr id="451" name="Frame30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12 months of base salary ($527,436), (ii) the amount resulting from multiplying the 14,748 outstanding RSUs and 23,437 PSUs (considered at target) as of December 31, 2024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(9,416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60">
                      <wp:simplePos x="0" y="0"/>
                      <wp:positionH relativeFrom="column">
                        <wp:align>left</wp:align>
                      </wp:positionH>
                      <wp:positionV relativeFrom="line">
                        <wp:align>top</wp:align>
                      </wp:positionV>
                      <wp:extent cx="203200" cy="525780"/>
                      <wp:effectExtent l="0" t="0" r="0" b="0"/>
                      <wp:wrapSquare wrapText="right"/>
                      <wp:docPr id="452" name="Frame30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5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45" descr=""/>
                          <pic:cNvPicPr>
                            <a:picLocks noChangeAspect="1" noChangeArrowheads="1"/>
                          </pic:cNvPicPr>
                        </pic:nvPicPr>
                        <pic:blipFill>
                          <a:blip r:embed="rId146"/>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5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146" descr=""/>
                    <pic:cNvPicPr>
                      <a:picLocks noChangeAspect="1" noChangeArrowheads="1"/>
                    </pic:cNvPicPr>
                  </pic:nvPicPr>
                  <pic:blipFill>
                    <a:blip r:embed="rId147"/>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jc w:val="left"/>
              <w:rPr/>
            </w:pPr>
            <w:r>
              <w:rPr/>
              <w:t>​</w:t>
            </w:r>
          </w:p>
          <w:p>
            <w:pPr>
              <w:pStyle w:val="TableContents"/>
              <w:bidi w:val="0"/>
              <w:spacing w:lineRule="atLeast" w:line="192" w:before="0" w:after="0"/>
              <w:ind w:left="320" w:right="0" w:hanging="0"/>
              <w:jc w:val="both"/>
              <w:rPr>
                <w:spacing w:val="2"/>
              </w:rPr>
            </w:pPr>
            <w:r>
              <w:rPr>
                <w:spacing w:val="2"/>
              </w:rPr>
              <w:t xml:space="preserve">The potential payment in case of separation due to disability was calculated by adding (i) 12 months of base salary ($527,436), (ii) the amount resulting from multiplying the 14,748 outstanding RSUs and 23,437 PSUs (considered at target) as of December 31, 2024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(9,416 SARs with an exercise price of $42.71). This calculation does not include SARs where the exercise price exceeds the market price. </w:t>
            </w:r>
            <w:r>
              <mc:AlternateContent>
                <mc:Choice Requires="wps">
                  <w:drawing>
                    <wp:anchor behindDoc="0" distT="0" distB="0" distL="0" distR="0" simplePos="0" locked="0" layoutInCell="1" allowOverlap="1" relativeHeight="661">
                      <wp:simplePos x="0" y="0"/>
                      <wp:positionH relativeFrom="column">
                        <wp:align>left</wp:align>
                      </wp:positionH>
                      <wp:positionV relativeFrom="line">
                        <wp:posOffset>635</wp:posOffset>
                      </wp:positionV>
                      <wp:extent cx="203200" cy="525780"/>
                      <wp:effectExtent l="0" t="0" r="0" b="0"/>
                      <wp:wrapSquare wrapText="right"/>
                      <wp:docPr id="455" name="Frame30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U.S. employees are enrolled, (ii) the amount resulting from multiplying the 14,748 outstanding RSUs and 23,437 PSUs (considered at target) as of December 31, 2024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(9,416 SARs with an exercise price of $42.71). This calculation does not include SARs where the exercise price exceeds the market price.</w:t>
            </w:r>
            <w:r>
              <w:rPr/>
              <w:t xml:space="preserve"> </w:t>
            </w:r>
            <w:r>
              <mc:AlternateContent>
                <mc:Choice Requires="wps">
                  <w:drawing>
                    <wp:anchor behindDoc="0" distT="20320" distB="0" distL="0" distR="0" simplePos="0" locked="0" layoutInCell="1" allowOverlap="1" relativeHeight="662">
                      <wp:simplePos x="0" y="0"/>
                      <wp:positionH relativeFrom="column">
                        <wp:align>left</wp:align>
                      </wp:positionH>
                      <wp:positionV relativeFrom="line">
                        <wp:align>top</wp:align>
                      </wp:positionV>
                      <wp:extent cx="203200" cy="525780"/>
                      <wp:effectExtent l="0" t="0" r="0" b="0"/>
                      <wp:wrapSquare wrapText="right"/>
                      <wp:docPr id="456" name="Frame31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6" w:type="dxa"/>
            <w:tcBorders/>
            <w:shd w:fill="702076" w:val="clear"/>
            <w:vAlign w:val="center"/>
          </w:tcPr>
          <w:p>
            <w:pPr>
              <w:pStyle w:val="TableContents"/>
              <w:bidi w:val="0"/>
              <w:spacing w:lineRule="atLeast" w:line="240" w:before="0" w:after="0"/>
              <w:jc w:val="left"/>
              <w:rPr/>
            </w:pPr>
            <w:r>
              <w:rPr>
                <w:spacing w:val="-5"/>
              </w:rPr>
              <w:t>Ahmet Tezel</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Tezel if a termination event had occurred on December 31, 2024.</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7"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1,208,645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1,208,645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1,208,645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1,758,645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1,758,645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2,208,645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751" w:type="dxa"/>
            <w:gridSpan w:val="36"/>
            <w:tcBorders>
              <w:bottom w:val="single" w:sz="6" w:space="0" w:color="BFBFBF"/>
            </w:tcBorders>
            <w:shd w:fill="D8D8D8" w:val="clear"/>
            <w:tcMar>
              <w:bottom w:w="51" w:type="dxa"/>
            </w:tcMar>
            <w:vAlign w:val="center"/>
          </w:tcPr>
          <w:p>
            <w:pPr>
              <w:pStyle w:val="TableContents"/>
              <w:bidi w:val="0"/>
              <w:spacing w:lineRule="atLeast" w:line="160" w:before="0" w:after="0"/>
              <w:ind w:left="320" w:right="0" w:hanging="0"/>
              <w:jc w:val="left"/>
              <w:rPr>
                <w:spacing w:val="2"/>
              </w:rPr>
            </w:pPr>
            <w:r>
              <w:rPr>
                <w:spacing w:val="2"/>
              </w:rPr>
              <w:t xml:space="preserve">The potential payment in case of termination without cause represents 12 months of base salary ($550,000). </w:t>
            </w:r>
            <w:r>
              <mc:AlternateContent>
                <mc:Choice Requires="wps">
                  <w:drawing>
                    <wp:anchor behindDoc="0" distT="0" distB="0" distL="0" distR="0" simplePos="0" locked="0" layoutInCell="1" allowOverlap="1" relativeHeight="663">
                      <wp:simplePos x="0" y="0"/>
                      <wp:positionH relativeFrom="column">
                        <wp:align>left</wp:align>
                      </wp:positionH>
                      <wp:positionV relativeFrom="line">
                        <wp:posOffset>635</wp:posOffset>
                      </wp:positionV>
                      <wp:extent cx="203200" cy="525780"/>
                      <wp:effectExtent l="0" t="0" r="0" b="0"/>
                      <wp:wrapSquare wrapText="right"/>
                      <wp:docPr id="457" name="Frame31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12 months of base salary ($550,000), (ii) the amount resulting from multiplying the 11,863 outstanding RSUs and 14,236 PSUs (considered at target) as of December 31, 2024 subject to accelerated vesting by the closing market price on December 31, 2024 ($46.31). This calculation does not include SARs where the exercise price exceeds the market price. </w:t>
            </w:r>
            <w:r>
              <mc:AlternateContent>
                <mc:Choice Requires="wps">
                  <w:drawing>
                    <wp:anchor behindDoc="0" distT="20320" distB="0" distL="0" distR="0" simplePos="0" locked="0" layoutInCell="1" allowOverlap="1" relativeHeight="664">
                      <wp:simplePos x="0" y="0"/>
                      <wp:positionH relativeFrom="column">
                        <wp:align>left</wp:align>
                      </wp:positionH>
                      <wp:positionV relativeFrom="line">
                        <wp:align>top</wp:align>
                      </wp:positionV>
                      <wp:extent cx="203200" cy="525780"/>
                      <wp:effectExtent l="0" t="0" r="0" b="0"/>
                      <wp:wrapSquare wrapText="right"/>
                      <wp:docPr id="458" name="Frame31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12 months of base salary ($550,000) and (ii) the amount resulting from multiplying the 11,863 outstanding RSUs and 14,236 PSUs (considered at target) as of December 31, 2024 subject to accelerated vesting by the closing market price on December 31, 2024 ($46.31). This calculation does not include SARs where the exercise price exceeds the market price. </w:t>
            </w:r>
            <w:r>
              <mc:AlternateContent>
                <mc:Choice Requires="wps">
                  <w:drawing>
                    <wp:anchor behindDoc="0" distT="20320" distB="0" distL="0" distR="0" simplePos="0" locked="0" layoutInCell="1" allowOverlap="1" relativeHeight="665">
                      <wp:simplePos x="0" y="0"/>
                      <wp:positionH relativeFrom="column">
                        <wp:align>left</wp:align>
                      </wp:positionH>
                      <wp:positionV relativeFrom="line">
                        <wp:align>top</wp:align>
                      </wp:positionV>
                      <wp:extent cx="203200" cy="525780"/>
                      <wp:effectExtent l="0" t="0" r="0" b="0"/>
                      <wp:wrapSquare wrapText="right"/>
                      <wp:docPr id="459" name="Frame31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by adding (i) the maximum amount payable on the base of the basic term life insurance pursuant to which all LivaNova U.S. employees are enrolled and (ii) the amount resulting from multiplying the 11,863 outstanding RSUs and 14,236 PSUs (considered at target) as of December 31, 2024 subject to accelerated vesting by the closing market price at December 31, 2024 ($46.31). This calculation does not include SARs where the exercise price exceeds the market price.</w:t>
            </w:r>
            <w:r>
              <w:rPr/>
              <w:t xml:space="preserve"> </w:t>
            </w:r>
            <w:r>
              <mc:AlternateContent>
                <mc:Choice Requires="wps">
                  <w:drawing>
                    <wp:anchor behindDoc="0" distT="20320" distB="0" distL="0" distR="0" simplePos="0" locked="0" layoutInCell="1" allowOverlap="1" relativeHeight="666">
                      <wp:simplePos x="0" y="0"/>
                      <wp:positionH relativeFrom="column">
                        <wp:align>left</wp:align>
                      </wp:positionH>
                      <wp:positionV relativeFrom="line">
                        <wp:align>top</wp:align>
                      </wp:positionV>
                      <wp:extent cx="203200" cy="525780"/>
                      <wp:effectExtent l="0" t="0" r="0" b="0"/>
                      <wp:wrapSquare wrapText="right"/>
                      <wp:docPr id="460" name="Frame31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6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47" descr=""/>
                          <pic:cNvPicPr>
                            <a:picLocks noChangeAspect="1" noChangeArrowheads="1"/>
                          </pic:cNvPicPr>
                        </pic:nvPicPr>
                        <pic:blipFill>
                          <a:blip r:embed="rId148"/>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63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6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48" descr=""/>
                    <pic:cNvPicPr>
                      <a:picLocks noChangeAspect="1" noChangeArrowheads="1"/>
                    </pic:cNvPicPr>
                  </pic:nvPicPr>
                  <pic:blipFill>
                    <a:blip r:embed="rId14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536" w:type="dxa"/>
            <w:tcBorders/>
            <w:shd w:fill="702076" w:val="clear"/>
            <w:vAlign w:val="center"/>
          </w:tcPr>
          <w:p>
            <w:pPr>
              <w:pStyle w:val="TableContents"/>
              <w:bidi w:val="0"/>
              <w:spacing w:lineRule="atLeast" w:line="240" w:before="0" w:after="0"/>
              <w:jc w:val="left"/>
              <w:rPr/>
            </w:pPr>
            <w:r>
              <w:rPr>
                <w:spacing w:val="-5"/>
              </w:rPr>
              <w:t>Franco Poletti</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Poletti if a termination event had occurred on December 31, 2024.</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06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88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7"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787,780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787,780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787,780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540,810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460,326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435,134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435,134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137,030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137,030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137,030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924,810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1,385,136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1,359,944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975,944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571" w:type="dxa"/>
            <w:gridSpan w:val="36"/>
            <w:tcBorders>
              <w:bottom w:val="single" w:sz="6" w:space="0" w:color="BFBFBF"/>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The potential payment in case of termination without cause represents Mr. Poletti’s base salary to be paid until the end of his fixed term employment contract on July 31, 2026 ($787,780) and related value of the benefits ($137,030). </w:t>
            </w:r>
            <w:r>
              <mc:AlternateContent>
                <mc:Choice Requires="wps">
                  <w:drawing>
                    <wp:anchor behindDoc="0" distT="0" distB="0" distL="0" distR="0" simplePos="0" locked="0" layoutInCell="1" allowOverlap="1" relativeHeight="667">
                      <wp:simplePos x="0" y="0"/>
                      <wp:positionH relativeFrom="column">
                        <wp:align>left</wp:align>
                      </wp:positionH>
                      <wp:positionV relativeFrom="line">
                        <wp:posOffset>635</wp:posOffset>
                      </wp:positionV>
                      <wp:extent cx="203200" cy="525780"/>
                      <wp:effectExtent l="0" t="0" r="0" b="0"/>
                      <wp:wrapSquare wrapText="right"/>
                      <wp:docPr id="463" name="Frame31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Mr. Poletti’s base salary to be paid until the end of his fixed term employment contract on July 31, 2026 ($787,780), (ii) the amounts of the related benefits ($137,030), (iii) the amount resulting from multiplying the 7,295 outstanding RSUs and 9,617 PSUs (considered at target) as of December 31, 2024 subject to accelerated vesting by the closing market price at December 31, 2024 ($46.31), and (iv) the amount resulting from multiplying each outstanding SAR award subject to accelerated vesting by the difference between the closing market price at December 31, 2024 ($46.31) and the exercise price for each SAR (711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68">
                      <wp:simplePos x="0" y="0"/>
                      <wp:positionH relativeFrom="column">
                        <wp:align>left</wp:align>
                      </wp:positionH>
                      <wp:positionV relativeFrom="line">
                        <wp:align>top</wp:align>
                      </wp:positionV>
                      <wp:extent cx="203200" cy="525780"/>
                      <wp:effectExtent l="0" t="0" r="0" b="0"/>
                      <wp:wrapSquare wrapText="right"/>
                      <wp:docPr id="464" name="Frame31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Mr. Poletti’s base salary to be paid until the end of his fixed term employment contract on July 31, 2026 ($787,780), (ii) the amounts of the related benefits ($137,030), (iii) the amount resulting from multiplying the 6,751 outstanding RSUs granted on March 30, 2023 or later and 9,617 PSUs (considered at target) as of December 31, 2024 subject to accelerated vesting by the closing market price at December 31, 2024 ($46.31), and (iv) the amount resulting from multiplying each outstanding SAR award subject to accelerated vesting by the difference between the closing market price at December 31, 2024 ($46.31) and the exercise price for each SAR (711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69">
                      <wp:simplePos x="0" y="0"/>
                      <wp:positionH relativeFrom="column">
                        <wp:align>left</wp:align>
                      </wp:positionH>
                      <wp:positionV relativeFrom="line">
                        <wp:align>top</wp:align>
                      </wp:positionV>
                      <wp:extent cx="203200" cy="525780"/>
                      <wp:effectExtent l="0" t="0" r="0" b="0"/>
                      <wp:wrapSquare wrapText="right"/>
                      <wp:docPr id="465" name="Frame31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death was calculated by adding by adding (i) the maximum amount payable on the base of the basic term life insurance pursuant to which all LivaNova Italian employees are enrolled, (ii) the amount resulting from multiplying the 6,751 outstanding RSUs granted on March 30, 2023 or later and 9,617 PSUs (considered at target) as of December 31, 2024 subject to accelerated vesting by the closing market price at December 31, 2024 ($46.31), and (iii) the amount resulting from multiplying each outstanding SAR award subject to accelerated vesting by the difference between the closing market price at December 31, 2024 ($46.31) and the exercise price for each SAR (711 SARs with an exercise price of $42.71). This calculation does not include SARs where the exercise price exceeds the market price. </w:t>
            </w:r>
            <w:r>
              <mc:AlternateContent>
                <mc:Choice Requires="wps">
                  <w:drawing>
                    <wp:anchor behindDoc="0" distT="20320" distB="0" distL="0" distR="0" simplePos="0" locked="0" layoutInCell="1" allowOverlap="1" relativeHeight="670">
                      <wp:simplePos x="0" y="0"/>
                      <wp:positionH relativeFrom="column">
                        <wp:align>left</wp:align>
                      </wp:positionH>
                      <wp:positionV relativeFrom="line">
                        <wp:align>top</wp:align>
                      </wp:positionV>
                      <wp:extent cx="203200" cy="525780"/>
                      <wp:effectExtent l="0" t="0" r="0" b="0"/>
                      <wp:wrapSquare wrapText="right"/>
                      <wp:docPr id="466" name="Frame31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9571" w:type="dxa"/>
            <w:gridSpan w:val="36"/>
            <w:tcBorders>
              <w:bottom w:val="single" w:sz="6" w:space="0" w:color="BFBFBF"/>
            </w:tcBorders>
            <w:shd w:fill="702076" w:val="clear"/>
            <w:tcMar>
              <w:bottom w:w="45" w:type="dxa"/>
            </w:tcMar>
            <w:vAlign w:val="center"/>
          </w:tcPr>
          <w:p>
            <w:pPr>
              <w:pStyle w:val="TableContents"/>
              <w:bidi w:val="0"/>
              <w:spacing w:before="0" w:after="0"/>
              <w:ind w:left="320" w:right="0" w:hanging="0"/>
              <w:jc w:val="left"/>
              <w:rPr/>
            </w:pPr>
            <w:r>
              <w:rPr>
                <w:spacing w:val="11"/>
              </w:rPr>
              <w:t>Settlement Agreement — Trui Hebbelinck</w:t>
            </w:r>
            <w:r>
              <w:rPr>
                <w:color w:val="000000"/>
              </w:rPr>
              <w:t>​</w:t>
            </w:r>
            <w:r>
              <w:rPr/>
              <w:t xml:space="preserve"> </w:t>
            </w:r>
          </w:p>
        </w:tc>
        <w:tc>
          <w:tcPr>
            <w:tcW w:w="109" w:type="dxa"/>
            <w:tcBorders>
              <w:bottom w:val="single" w:sz="6" w:space="0" w:color="BFBFBF"/>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9571" w:type="dxa"/>
            <w:gridSpan w:val="36"/>
            <w:tcBorders>
              <w:bottom w:val="single" w:sz="6" w:space="0" w:color="BFBFBF"/>
            </w:tcBorders>
            <w:tcMar>
              <w:bottom w:w="45" w:type="dxa"/>
            </w:tcMar>
            <w:vAlign w:val="center"/>
          </w:tcPr>
          <w:p>
            <w:pPr>
              <w:pStyle w:val="TableContents"/>
              <w:bidi w:val="0"/>
              <w:spacing w:lineRule="atLeast" w:line="192" w:before="0" w:after="0"/>
              <w:ind w:left="320" w:right="0" w:hanging="0"/>
              <w:jc w:val="both"/>
              <w:rPr/>
            </w:pPr>
            <w:r>
              <w:rPr>
                <w:spacing w:val="2"/>
              </w:rPr>
              <w:t>On September 30, 2024, Trui Hebbelinck left her position as Chief Human Resources Officer and commenced a period of garden leave. Pursuant to her pre-existing service agreement, Ms. Hebbelinck has a 12-month contractual notice period, and her employment will terminate on September 30, 2025 unless she elects to end her garden leave period early and receive a payment in lieu of notice. While on garden leave, Ms. Hebbelinck is receiving her normal salary and benefits, as required by the terms of her previously disclosed service agreement but will not qualify for any bonus for fiscal year 2025. Additionally, while on garden leave, all outstanding equity awards previously granted to Ms. Hebbelinck will continue to vest in accordance with their terms, and no further equity awards will be awarded to her. In connection with Ms. Hebbelinck’s departure, on September 7, 2024, the Company and Ms. Hebbelinck entered into a Settlement Agreement (the “Agreement”). Pursuant to the terms of the Agreement, Ms. Hebbelinck received her annual bonus for fiscal year 2024, calculated as on-target, prorated up to and including September 30, 2024 and paid in October 2024, a severance payment of £232,000 to be paid after her termination date, outplacement counseling up to a maximum of £20,000 plus tax, professional tax assistance for the preparation and filing of her returns for the 2023/2024, 2024/</w:t>
            </w:r>
            <w:r>
              <w:rPr/>
              <w:t>​</w:t>
            </w:r>
            <w:r>
              <w:rPr>
                <w:spacing w:val="2"/>
              </w:rPr>
              <w:t>2025 and, if applicable, 2025/2026 UK tax years, the payment of reasonable legal fees incurred in obtaining advice on the terms and effect of the Agreement up to a maximum of £25,000 plus tax and the release of Ms. Hebbelinck from certain of her post-termination restrictive covenants.</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CEO Pay Ratio</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SEC regulations require the Company to report the ratio of the CEO’s total annual compensation to the compensation of the median employee at LivaNova. For the year ended December 31,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median annual total compensation of all employees of the Company (other than Mr. Makatsaria, LivaNova’s CEO) was $86,584;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671">
                <wp:simplePos x="0" y="0"/>
                <wp:positionH relativeFrom="column">
                  <wp:align>left</wp:align>
                </wp:positionH>
                <wp:positionV relativeFrom="line">
                  <wp:align>top</wp:align>
                </wp:positionV>
                <wp:extent cx="228600" cy="350520"/>
                <wp:effectExtent l="0" t="0" r="0" b="0"/>
                <wp:wrapSquare wrapText="right"/>
                <wp:docPr id="467" name="Frame3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annualized total compensation of Mr. Makatsaria was $11,652,806.</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91440" distB="0" distL="228600" distR="0" simplePos="0" locked="0" layoutInCell="1" allowOverlap="1" relativeHeight="672">
                <wp:simplePos x="0" y="0"/>
                <wp:positionH relativeFrom="column">
                  <wp:align>left</wp:align>
                </wp:positionH>
                <wp:positionV relativeFrom="line">
                  <wp:align>top</wp:align>
                </wp:positionV>
                <wp:extent cx="228600" cy="350520"/>
                <wp:effectExtent l="0" t="0" r="0" b="0"/>
                <wp:wrapSquare wrapText="right"/>
                <wp:docPr id="468" name="Frame3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2pt;mso-wrap-distance-bottom:0pt;margin-top:7.2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6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49" descr=""/>
                          <pic:cNvPicPr>
                            <a:picLocks noChangeAspect="1" noChangeArrowheads="1"/>
                          </pic:cNvPicPr>
                        </pic:nvPicPr>
                        <pic:blipFill>
                          <a:blip r:embed="rId150"/>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7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50" descr=""/>
                    <pic:cNvPicPr>
                      <a:picLocks noChangeAspect="1" noChangeArrowheads="1"/>
                    </pic:cNvPicPr>
                  </pic:nvPicPr>
                  <pic:blipFill>
                    <a:blip r:embed="rId151"/>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316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this information, the ratio of the CEO, Mr. Makatsaria, to the median of the annual total compensation of all employees was 135 to 1.</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673">
                <wp:simplePos x="0" y="0"/>
                <wp:positionH relativeFrom="column">
                  <wp:align>left</wp:align>
                </wp:positionH>
                <wp:positionV relativeFrom="line">
                  <wp:posOffset>635</wp:posOffset>
                </wp:positionV>
                <wp:extent cx="228600" cy="350520"/>
                <wp:effectExtent l="0" t="0" r="0" b="0"/>
                <wp:wrapSquare wrapText="right"/>
                <wp:docPr id="471" name="Frame3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methodology and material assumptions, adjustments, and estimates that were used to identify the median of the annual total compensation of all employees, as well as to determine the annual total compensation of the median employee are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of October 1, 2024, the Company’s employee population, excluding the CEO, consisted of 3,098 individuals working at the parent company and its consolidated subsidiaries, with approximately 39% of these individuals located in the U.S. and 61% located outside of the U.S. (of the total number of employees, 48% were located in Europe, and 13% were located in various countries in Asia and the Americas and Middle East). The Company selected October 1, 2024 as the determination date to allow sufficient time to identify the median employee given the global scope of LivaNova’s operations.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4">
                <wp:simplePos x="0" y="0"/>
                <wp:positionH relativeFrom="column">
                  <wp:align>left</wp:align>
                </wp:positionH>
                <wp:positionV relativeFrom="line">
                  <wp:align>top</wp:align>
                </wp:positionV>
                <wp:extent cx="228600" cy="350520"/>
                <wp:effectExtent l="0" t="0" r="0" b="0"/>
                <wp:wrapSquare wrapText="right"/>
                <wp:docPr id="472" name="Frame3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employee population, after taking into consideration the adjustments permitted by SEC rules (as described below) consisted of 2,948 individuals, including regular and temporary employees.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5">
                <wp:simplePos x="0" y="0"/>
                <wp:positionH relativeFrom="column">
                  <wp:align>left</wp:align>
                </wp:positionH>
                <wp:positionV relativeFrom="line">
                  <wp:align>top</wp:align>
                </wp:positionV>
                <wp:extent cx="228600" cy="350520"/>
                <wp:effectExtent l="0" t="0" r="0" b="0"/>
                <wp:wrapSquare wrapText="right"/>
                <wp:docPr id="473" name="Frame3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Using the </w:t>
      </w:r>
      <w:r>
        <w:rPr>
          <w:rFonts w:ascii="Tahoma;Geneva;sans-serif" w:hAnsi="Tahoma;Geneva;sans-serif"/>
          <w:b w:val="false"/>
          <w:i/>
          <w:caps w:val="false"/>
          <w:smallCaps w:val="false"/>
          <w:color w:val="000000"/>
          <w:sz w:val="20"/>
        </w:rPr>
        <w:t>de minimis</w:t>
      </w:r>
      <w:r>
        <w:rPr>
          <w:rFonts w:ascii="Tahoma;Geneva;sans-serif" w:hAnsi="Tahoma;Geneva;sans-serif"/>
          <w:b w:val="false"/>
          <w:i w:val="false"/>
          <w:caps w:val="false"/>
          <w:smallCaps w:val="false"/>
          <w:color w:val="000000"/>
          <w:spacing w:val="2"/>
          <w:sz w:val="20"/>
        </w:rPr>
        <w:t xml:space="preserve"> exception, the Company limited the employee population to individuals residing in Europe, North America, China, Singapore, Japan and Australia. The countries excluded were Brazil (60 employees), Chile (3 employees), Colombia (17 employees), Hong Kong (4 employees), India (15 employees), Russian Federation (8 employees), Taiwan (2 employees), Thailand (15 employees), Türkiye (9 employees), and United Arab Emirates (17 employees), totaling 150 employees.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6">
                <wp:simplePos x="0" y="0"/>
                <wp:positionH relativeFrom="column">
                  <wp:align>left</wp:align>
                </wp:positionH>
                <wp:positionV relativeFrom="line">
                  <wp:align>top</wp:align>
                </wp:positionV>
                <wp:extent cx="228600" cy="350520"/>
                <wp:effectExtent l="0" t="0" r="0" b="0"/>
                <wp:wrapSquare wrapText="right"/>
                <wp:docPr id="474" name="Frame3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global distribution of the employee population leads to a variety of pay elements in the compensation arrangements of the employees. For example, while most of the employees participate in LivaNova’s STIP, the incentive compensation element for some of the employees residing in the U.S. and Europe is based on commissions and not participation in the STIP. Consequently, the Company selected base salary or wages as the most appropriate consistently applied compensation measure to identify the median employee.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7">
                <wp:simplePos x="0" y="0"/>
                <wp:positionH relativeFrom="column">
                  <wp:align>left</wp:align>
                </wp:positionH>
                <wp:positionV relativeFrom="line">
                  <wp:align>top</wp:align>
                </wp:positionV>
                <wp:extent cx="228600" cy="350520"/>
                <wp:effectExtent l="0" t="0" r="0" b="0"/>
                <wp:wrapSquare wrapText="right"/>
                <wp:docPr id="475" name="Frame3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annualized the compensation of all permanent employees who were hired in fiscal 2024 but did not work for the Company or its consolidated subsidiaries for the entire fiscal year. The Company annualized the base salary of hourly employees assuming standard yearly hours. The Company annualized employee base salary assuming 100% full time equivalency.</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8">
                <wp:simplePos x="0" y="0"/>
                <wp:positionH relativeFrom="column">
                  <wp:align>left</wp:align>
                </wp:positionH>
                <wp:positionV relativeFrom="line">
                  <wp:align>top</wp:align>
                </wp:positionV>
                <wp:extent cx="228600" cy="350520"/>
                <wp:effectExtent l="0" t="0" r="0" b="0"/>
                <wp:wrapSquare wrapText="right"/>
                <wp:docPr id="476" name="Frame3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did not make any cost-of-living adjustments in identifying the median employee.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79">
                <wp:simplePos x="0" y="0"/>
                <wp:positionH relativeFrom="column">
                  <wp:align>left</wp:align>
                </wp:positionH>
                <wp:positionV relativeFrom="line">
                  <wp:align>top</wp:align>
                </wp:positionV>
                <wp:extent cx="228600" cy="350520"/>
                <wp:effectExtent l="0" t="0" r="0" b="0"/>
                <wp:wrapSquare wrapText="right"/>
                <wp:docPr id="477" name="Frame3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With respect to the annual total compensation of the CEO, LivaNova annualized the amount reported in the “Total” column of LivaNova’s 2024 Summary Compensation Table included in this proxy statement, consistent with SEC rules. The Company applied the same approach in calculating “Total” compensation for purposed of the Summary Compensation Table to determine the annual total compensation of the identified median employee.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80">
                <wp:simplePos x="0" y="0"/>
                <wp:positionH relativeFrom="column">
                  <wp:align>left</wp:align>
                </wp:positionH>
                <wp:positionV relativeFrom="line">
                  <wp:align>top</wp:align>
                </wp:positionV>
                <wp:extent cx="228600" cy="350520"/>
                <wp:effectExtent l="0" t="0" r="0" b="0"/>
                <wp:wrapSquare wrapText="right"/>
                <wp:docPr id="478" name="Frame3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7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151" descr=""/>
                          <pic:cNvPicPr>
                            <a:picLocks noChangeAspect="1" noChangeArrowheads="1"/>
                          </pic:cNvPicPr>
                        </pic:nvPicPr>
                        <pic:blipFill>
                          <a:blip r:embed="rId152"/>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65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VPD"/>
      <w:bookmarkEnd w:id="27"/>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48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52" descr=""/>
                    <pic:cNvPicPr>
                      <a:picLocks noChangeAspect="1" noChangeArrowheads="1"/>
                    </pic:cNvPicPr>
                  </pic:nvPicPr>
                  <pic:blipFill>
                    <a:blip r:embed="rId153"/>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5758" w:type="dxa"/>
        <w:jc w:val="left"/>
        <w:tblInd w:w="1173" w:type="dxa"/>
        <w:tblLayout w:type="fixed"/>
        <w:tblCellMar>
          <w:top w:w="0" w:type="dxa"/>
          <w:left w:w="0" w:type="dxa"/>
          <w:bottom w:w="0" w:type="dxa"/>
          <w:right w:w="0" w:type="dxa"/>
        </w:tblCellMar>
      </w:tblPr>
      <w:tblGrid>
        <w:gridCol w:w="124"/>
        <w:gridCol w:w="5480"/>
        <w:gridCol w:w="154"/>
      </w:tblGrid>
      <w:tr>
        <w:trPr/>
        <w:tc>
          <w:tcPr>
            <w:tcW w:w="124" w:type="dxa"/>
            <w:tcBorders/>
            <w:shd w:fill="702076" w:val="clear"/>
            <w:vAlign w:val="center"/>
          </w:tcPr>
          <w:p>
            <w:pPr>
              <w:pStyle w:val="TableContents"/>
              <w:bidi w:val="0"/>
              <w:spacing w:before="0" w:after="283"/>
              <w:jc w:val="left"/>
              <w:rPr/>
            </w:pPr>
            <w:r>
              <w:rPr/>
              <w:t>​</w:t>
            </w:r>
          </w:p>
        </w:tc>
        <w:tc>
          <w:tcPr>
            <w:tcW w:w="5480" w:type="dxa"/>
            <w:tcBorders/>
            <w:shd w:fill="702076" w:val="clear"/>
            <w:vAlign w:val="center"/>
          </w:tcPr>
          <w:p>
            <w:pPr>
              <w:pStyle w:val="TableContents"/>
              <w:bidi w:val="0"/>
              <w:spacing w:lineRule="atLeast" w:line="240" w:before="0" w:after="0"/>
              <w:jc w:val="center"/>
              <w:rPr/>
            </w:pPr>
            <w:r>
              <w:rPr>
                <w:spacing w:val="14"/>
              </w:rPr>
              <w:t>PAY VERSUS PERFORMANCE DISCLOSURE</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Item 402(v) of Regulation S-K, we are providing the following information regarding the relationship between compensation of our CEOs and NEOs and certain financial performance measures of LivaNova. For further information on LivaNova’s pay-for-performance philosophy and how executive compensation aligns with the Company’s performance, refer to the “Compensation Discussion and Analysis” section of this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Pay vs. Performance Table</w:t>
      </w:r>
      <w:r>
        <w:rPr>
          <w:rFonts w:ascii="Arial Narrow;Arial;Tahoma;Geneva;sans-serif" w:hAnsi="Arial Narrow;Arial;Tahoma;Geneva;sans-serif"/>
          <w:b/>
          <w:i w:val="false"/>
          <w:caps w:val="false"/>
          <w:smallCaps w:val="false"/>
          <w:color w:val="000000"/>
          <w:spacing w:val="4"/>
          <w:sz w:val="20"/>
        </w:rPr>
        <w:t xml:space="preserve"> </w:t>
      </w:r>
    </w:p>
    <w:tbl>
      <w:tblPr>
        <w:tblW w:w="22021" w:type="dxa"/>
        <w:jc w:val="left"/>
        <w:tblInd w:w="543" w:type="dxa"/>
        <w:tblLayout w:type="fixed"/>
        <w:tblCellMar>
          <w:top w:w="0" w:type="dxa"/>
          <w:left w:w="0" w:type="dxa"/>
          <w:bottom w:w="0" w:type="dxa"/>
          <w:right w:w="0" w:type="dxa"/>
        </w:tblCellMar>
      </w:tblPr>
      <w:tblGrid>
        <w:gridCol w:w="124"/>
        <w:gridCol w:w="109"/>
        <w:gridCol w:w="58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13"/>
        <w:gridCol w:w="1143"/>
        <w:gridCol w:w="109"/>
        <w:gridCol w:w="109"/>
        <w:gridCol w:w="109"/>
        <w:gridCol w:w="1256"/>
        <w:gridCol w:w="109"/>
        <w:gridCol w:w="109"/>
        <w:gridCol w:w="109"/>
        <w:gridCol w:w="1090"/>
        <w:gridCol w:w="109"/>
        <w:gridCol w:w="109"/>
        <w:gridCol w:w="109"/>
        <w:gridCol w:w="1090"/>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589" w:type="dxa"/>
            <w:vMerge w:val="restart"/>
            <w:tcBorders/>
            <w:shd w:fill="702076" w:val="clear"/>
            <w:vAlign w:val="center"/>
          </w:tcPr>
          <w:p>
            <w:pPr>
              <w:pStyle w:val="TableContents"/>
              <w:bidi w:val="0"/>
              <w:spacing w:lineRule="atLeast" w:line="143" w:before="0" w:after="0"/>
              <w:jc w:val="left"/>
              <w:rPr>
                <w:spacing w:val="1"/>
              </w:rPr>
            </w:pPr>
            <w:r>
              <w:rPr>
                <w:spacing w:val="1"/>
              </w:rPr>
              <w:t xml:space="preserve">Year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Summary </w:t>
              <w:br/>
              <w:t xml:space="preserve">Compensation </w:t>
              <w:br/>
              <w:t xml:space="preserve">Table </w:t>
              <w:br/>
              <w:t xml:space="preserve">Total for </w:t>
              <w:br/>
              <w:t xml:space="preserve">Current </w:t>
              <w:br/>
              <w:t>PEO</w:t>
            </w:r>
            <w:r>
              <w:rPr>
                <w:spacing w:val="1"/>
                <w:sz w:val="9"/>
              </w:rPr>
              <w:t>(1)</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Compensation </w:t>
              <w:br/>
              <w:t xml:space="preserve">Actually </w:t>
              <w:br/>
              <w:t xml:space="preserve">Paid to </w:t>
              <w:br/>
              <w:t xml:space="preserve">Current </w:t>
              <w:br/>
              <w:t>PEO</w:t>
            </w:r>
            <w:r>
              <w:rPr>
                <w:spacing w:val="1"/>
                <w:sz w:val="9"/>
              </w:rPr>
              <w:t>(2)</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Summary </w:t>
              <w:br/>
              <w:t xml:space="preserve">Compensation </w:t>
              <w:br/>
              <w:t xml:space="preserve">Table </w:t>
              <w:br/>
              <w:t xml:space="preserve">Total for </w:t>
              <w:br/>
              <w:t xml:space="preserve">Former </w:t>
              <w:br/>
              <w:t xml:space="preserve">Interim </w:t>
              <w:br/>
              <w:t>PEO</w:t>
            </w:r>
            <w:r>
              <w:rPr>
                <w:spacing w:val="1"/>
                <w:sz w:val="9"/>
              </w:rPr>
              <w:t>(3)</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Compensation </w:t>
              <w:br/>
              <w:t xml:space="preserve">Actually </w:t>
              <w:br/>
              <w:t xml:space="preserve">Paid to </w:t>
              <w:br/>
              <w:t xml:space="preserve">Former </w:t>
              <w:br/>
              <w:t xml:space="preserve">Interim </w:t>
              <w:br/>
              <w:t>PEO</w:t>
            </w:r>
            <w:r>
              <w:rPr>
                <w:spacing w:val="1"/>
                <w:sz w:val="9"/>
              </w:rPr>
              <w:t>(4)</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630" w:type="dxa"/>
            <w:gridSpan w:val="4"/>
            <w:vMerge w:val="restart"/>
            <w:tcBorders/>
            <w:shd w:fill="702076" w:val="clear"/>
            <w:vAlign w:val="center"/>
          </w:tcPr>
          <w:p>
            <w:pPr>
              <w:pStyle w:val="TableContents"/>
              <w:bidi w:val="0"/>
              <w:spacing w:lineRule="atLeast" w:line="143" w:before="0" w:after="0"/>
              <w:jc w:val="center"/>
              <w:rPr/>
            </w:pPr>
            <w:r>
              <w:rPr>
                <w:spacing w:val="1"/>
              </w:rPr>
              <w:t xml:space="preserve">Summary </w:t>
              <w:br/>
              <w:t xml:space="preserve">Compensation </w:t>
              <w:br/>
              <w:t xml:space="preserve">Table </w:t>
              <w:br/>
              <w:t xml:space="preserve">Total for </w:t>
              <w:br/>
              <w:t xml:space="preserve">Former </w:t>
              <w:br/>
              <w:t>PEO</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630" w:type="dxa"/>
            <w:gridSpan w:val="4"/>
            <w:vMerge w:val="restart"/>
            <w:tcBorders/>
            <w:shd w:fill="702076" w:val="clear"/>
            <w:vAlign w:val="center"/>
          </w:tcPr>
          <w:p>
            <w:pPr>
              <w:pStyle w:val="TableContents"/>
              <w:bidi w:val="0"/>
              <w:spacing w:lineRule="atLeast" w:line="143" w:before="0" w:after="0"/>
              <w:jc w:val="center"/>
              <w:rPr/>
            </w:pPr>
            <w:r>
              <w:rPr>
                <w:spacing w:val="1"/>
              </w:rPr>
              <w:t xml:space="preserve">Compensation </w:t>
              <w:br/>
              <w:t xml:space="preserve">Actually </w:t>
              <w:br/>
              <w:t xml:space="preserve">Paid to </w:t>
              <w:br/>
              <w:t xml:space="preserve">Former </w:t>
              <w:br/>
              <w:t>PEO</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Average </w:t>
              <w:br/>
              <w:t xml:space="preserve">Summary </w:t>
              <w:br/>
              <w:t xml:space="preserve">Compensation </w:t>
              <w:br/>
              <w:t xml:space="preserve">Table </w:t>
              <w:br/>
              <w:t xml:space="preserve">Total for </w:t>
              <w:br/>
              <w:t xml:space="preserve">Non-PEO </w:t>
              <w:br/>
              <w:t>NEOs</w:t>
            </w:r>
            <w:r>
              <w:rPr>
                <w:spacing w:val="1"/>
                <w:sz w:val="9"/>
              </w:rPr>
              <w:t>(5)</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51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Average </w:t>
              <w:br/>
              <w:t xml:space="preserve">Compensation </w:t>
              <w:br/>
              <w:t xml:space="preserve">Actually </w:t>
              <w:br/>
              <w:t xml:space="preserve">Paid to </w:t>
              <w:br/>
              <w:t xml:space="preserve">Non-PEO </w:t>
              <w:br/>
              <w:t>NEOs</w:t>
            </w:r>
            <w:r>
              <w:rPr>
                <w:spacing w:val="1"/>
                <w:sz w:val="9"/>
              </w:rPr>
              <w:t>(6)</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839" w:type="dxa"/>
            <w:gridSpan w:val="11"/>
            <w:tcBorders/>
            <w:shd w:fill="702076" w:val="clear"/>
            <w:vAlign w:val="center"/>
          </w:tcPr>
          <w:p>
            <w:pPr>
              <w:pStyle w:val="TableContents"/>
              <w:bidi w:val="0"/>
              <w:spacing w:lineRule="atLeast" w:line="143" w:before="0" w:after="0"/>
              <w:jc w:val="center"/>
              <w:rPr>
                <w:spacing w:val="1"/>
              </w:rPr>
            </w:pPr>
            <w:r>
              <w:rPr>
                <w:spacing w:val="1"/>
              </w:rPr>
              <w:t xml:space="preserve">Value of Initial </w:t>
              <w:br/>
              <w:t xml:space="preserve">Fixed $100 </w:t>
              <w:br/>
              <w:t xml:space="preserve">Investment Based On: </w:t>
            </w:r>
          </w:p>
        </w:tc>
        <w:tc>
          <w:tcPr>
            <w:tcW w:w="109" w:type="dxa"/>
            <w:tcBorders/>
            <w:shd w:fill="702076"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09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Net </w:t>
              <w:br/>
              <w:t xml:space="preserve">Income </w:t>
              <w:br/>
              <w:t>(millions)</w:t>
            </w:r>
            <w:r>
              <w:rPr>
                <w:spacing w:val="1"/>
                <w:sz w:val="9"/>
              </w:rPr>
              <w:t>(19)</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702076" w:val="clear"/>
            <w:vAlign w:val="center"/>
          </w:tcPr>
          <w:p>
            <w:pPr>
              <w:pStyle w:val="TableContents"/>
              <w:bidi w:val="0"/>
              <w:spacing w:before="0" w:after="283"/>
              <w:jc w:val="left"/>
              <w:rPr/>
            </w:pPr>
            <w:r>
              <w:rPr/>
              <w:t>​</w:t>
            </w:r>
          </w:p>
        </w:tc>
        <w:tc>
          <w:tcPr>
            <w:tcW w:w="1090" w:type="dxa"/>
            <w:gridSpan w:val="4"/>
            <w:vMerge w:val="restart"/>
            <w:tcBorders/>
            <w:shd w:fill="702076" w:val="clear"/>
            <w:vAlign w:val="center"/>
          </w:tcPr>
          <w:p>
            <w:pPr>
              <w:pStyle w:val="TableContents"/>
              <w:bidi w:val="0"/>
              <w:spacing w:lineRule="atLeast" w:line="142" w:before="0" w:after="0"/>
              <w:jc w:val="center"/>
              <w:rPr/>
            </w:pPr>
            <w:r>
              <w:rPr>
                <w:spacing w:val="1"/>
              </w:rPr>
              <w:t xml:space="preserve">Adjusted </w:t>
              <w:br/>
              <w:t xml:space="preserve">Operating </w:t>
              <w:br/>
              <w:t xml:space="preserve">Income </w:t>
              <w:br/>
              <w:t>(millions)</w:t>
            </w:r>
            <w:r>
              <w:rPr>
                <w:spacing w:val="1"/>
                <w:sz w:val="9"/>
              </w:rPr>
              <w:t>(10)</w:t>
            </w:r>
            <w:r>
              <w:rPr/>
              <w:t xml:space="preserve"> </w:t>
            </w:r>
          </w:p>
        </w:tc>
        <w:tc>
          <w:tcPr>
            <w:tcW w:w="109" w:type="dxa"/>
            <w:vMerge w:val="restart"/>
            <w:tcBorders/>
            <w:shd w:fill="702076" w:val="clear"/>
            <w:vAlign w:val="center"/>
          </w:tcPr>
          <w:p>
            <w:pPr>
              <w:pStyle w:val="TableContents"/>
              <w:bidi w:val="0"/>
              <w:spacing w:before="0" w:after="283"/>
              <w:jc w:val="left"/>
              <w:rPr/>
            </w:pPr>
            <w:r>
              <w:rPr/>
              <w:t>​</w:t>
            </w:r>
          </w:p>
        </w:tc>
        <w:tc>
          <w:tcPr>
            <w:tcW w:w="154" w:type="dxa"/>
            <w:vMerge w:val="restart"/>
            <w:tcBorders/>
            <w:shd w:fill="702076"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58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1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51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10" w:type="dxa"/>
            <w:gridSpan w:val="4"/>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1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63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63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1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1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shd w:fill="D4BCD6" w:val="clear"/>
            <w:vAlign w:val="center"/>
          </w:tcPr>
          <w:p>
            <w:pPr>
              <w:pStyle w:val="TableContents"/>
              <w:bidi w:val="0"/>
              <w:spacing w:before="0" w:after="283"/>
              <w:jc w:val="left"/>
              <w:rPr/>
            </w:pPr>
            <w:r>
              <w:rPr/>
              <w:t>​</w:t>
            </w:r>
          </w:p>
        </w:tc>
        <w:tc>
          <w:tcPr>
            <w:tcW w:w="1256" w:type="dxa"/>
            <w:gridSpan w:val="4"/>
            <w:tcBorders/>
            <w:shd w:fill="D4BCD6" w:val="clear"/>
            <w:vAlign w:val="center"/>
          </w:tcPr>
          <w:p>
            <w:pPr>
              <w:pStyle w:val="TableContents"/>
              <w:bidi w:val="0"/>
              <w:spacing w:lineRule="atLeast" w:line="142" w:before="0" w:after="0"/>
              <w:jc w:val="center"/>
              <w:rPr/>
            </w:pPr>
            <w:r>
              <w:rPr>
                <w:spacing w:val="1"/>
              </w:rPr>
              <w:t xml:space="preserve">Total </w:t>
              <w:br/>
              <w:t xml:space="preserve">Shareholder </w:t>
              <w:br/>
              <w:t>Return</w:t>
            </w:r>
            <w:r>
              <w:rPr>
                <w:spacing w:val="1"/>
                <w:sz w:val="9"/>
              </w:rPr>
              <w:t>(7)</w:t>
            </w:r>
            <w:r>
              <w:rP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D4BCD6" w:val="clear"/>
            <w:vAlign w:val="center"/>
          </w:tcPr>
          <w:p>
            <w:pPr>
              <w:pStyle w:val="TableContents"/>
              <w:bidi w:val="0"/>
              <w:spacing w:before="0" w:after="283"/>
              <w:jc w:val="left"/>
              <w:rPr/>
            </w:pPr>
            <w:r>
              <w:rPr/>
              <w:t>​</w:t>
            </w:r>
          </w:p>
        </w:tc>
        <w:tc>
          <w:tcPr>
            <w:tcW w:w="1256" w:type="dxa"/>
            <w:gridSpan w:val="4"/>
            <w:tcBorders/>
            <w:shd w:fill="D4BCD6" w:val="clear"/>
            <w:vAlign w:val="center"/>
          </w:tcPr>
          <w:p>
            <w:pPr>
              <w:pStyle w:val="TableContents"/>
              <w:bidi w:val="0"/>
              <w:spacing w:lineRule="atLeast" w:line="142" w:before="0" w:after="0"/>
              <w:jc w:val="center"/>
              <w:rPr/>
            </w:pPr>
            <w:r>
              <w:rPr>
                <w:spacing w:val="1"/>
              </w:rPr>
              <w:t xml:space="preserve">Peer </w:t>
              <w:br/>
              <w:t xml:space="preserve">Group </w:t>
              <w:br/>
              <w:t xml:space="preserve">Total </w:t>
              <w:br/>
              <w:t xml:space="preserve">Shareholder </w:t>
              <w:br/>
              <w:t>Return</w:t>
            </w:r>
            <w:r>
              <w:rPr>
                <w:spacing w:val="1"/>
                <w:sz w:val="9"/>
              </w:rPr>
              <w:t>(8)</w:t>
            </w:r>
            <w:r>
              <w:rPr/>
              <w:t xml:space="preserve"> </w:t>
            </w:r>
          </w:p>
        </w:tc>
        <w:tc>
          <w:tcPr>
            <w:tcW w:w="109" w:type="dxa"/>
            <w:tcBorders/>
            <w:shd w:fill="D4BCD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vMerge w:val="continue"/>
            <w:tcBorders/>
            <w:shd w:fill="702076" w:val="clear"/>
            <w:vAlign w:val="center"/>
          </w:tcPr>
          <w:p>
            <w:pPr>
              <w:pStyle w:val="Normal"/>
              <w:bidi w:val="0"/>
              <w:jc w:val="left"/>
              <w:rPr/>
            </w:pPr>
            <w:r>
              <w:rPr/>
            </w:r>
          </w:p>
        </w:tc>
        <w:tc>
          <w:tcPr>
            <w:tcW w:w="109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090" w:type="dxa"/>
            <w:gridSpan w:val="4"/>
            <w:vMerge w:val="continue"/>
            <w:tcBorders/>
            <w:shd w:fill="702076" w:val="clear"/>
            <w:vAlign w:val="center"/>
          </w:tcPr>
          <w:p>
            <w:pPr>
              <w:pStyle w:val="Normal"/>
              <w:bidi w:val="0"/>
              <w:jc w:val="left"/>
              <w:rPr/>
            </w:pPr>
            <w:r>
              <w:rPr/>
            </w:r>
          </w:p>
        </w:tc>
        <w:tc>
          <w:tcPr>
            <w:tcW w:w="109" w:type="dxa"/>
            <w:vMerge w:val="continue"/>
            <w:tcBorders/>
            <w:shd w:fill="702076" w:val="clear"/>
            <w:vAlign w:val="center"/>
          </w:tcPr>
          <w:p>
            <w:pPr>
              <w:pStyle w:val="Normal"/>
              <w:bidi w:val="0"/>
              <w:jc w:val="left"/>
              <w:rPr/>
            </w:pPr>
            <w:r>
              <w:rPr/>
            </w:r>
          </w:p>
        </w:tc>
        <w:tc>
          <w:tcPr>
            <w:tcW w:w="154" w:type="dxa"/>
            <w:vMerge w:val="continue"/>
            <w:tcBorders/>
            <w:shd w:fill="702076"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(a)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(b)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(c)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(d)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3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(f)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3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(g)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(f)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(g)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56"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(h)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56"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(i)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(j)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0" w:type="dxa"/>
            <w:gridSpan w:val="4"/>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(k)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shd w:fill="CCCCCC" w:val="clear"/>
            <w:tcMar>
              <w:bottom w:w="56" w:type="dxa"/>
            </w:tcMar>
            <w:vAlign w:val="center"/>
          </w:tcPr>
          <w:p>
            <w:pPr>
              <w:pStyle w:val="TableContents"/>
              <w:bidi w:val="0"/>
              <w:spacing w:before="0" w:after="0"/>
              <w:jc w:val="left"/>
              <w:rPr>
                <w:spacing w:val="1"/>
              </w:rPr>
            </w:pPr>
            <w:r>
              <w:rPr>
                <w:spacing w:val="1"/>
              </w:rPr>
              <w:t xml:space="preserve">2024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9,710,672</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8,156,702</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827,104</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830,868</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2,544,386</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1,937,356</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61.39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137.81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63.2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239.2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tcMar>
              <w:bottom w:w="56" w:type="dxa"/>
            </w:tcMar>
            <w:vAlign w:val="center"/>
          </w:tcPr>
          <w:p>
            <w:pPr>
              <w:pStyle w:val="TableContents"/>
              <w:bidi w:val="0"/>
              <w:spacing w:before="0" w:after="0"/>
              <w:jc w:val="left"/>
              <w:rPr/>
            </w:pPr>
            <w:r>
              <w:rPr>
                <w:spacing w:val="1"/>
              </w:rPr>
              <w:t>2023</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3,060,725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3,032,476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tcMar>
              <w:bottom w:w="56" w:type="dxa"/>
            </w:tcMar>
            <w:vAlign w:val="center"/>
          </w:tcPr>
          <w:p>
            <w:pPr>
              <w:pStyle w:val="TableContents"/>
              <w:bidi w:val="0"/>
              <w:spacing w:before="0" w:after="283"/>
              <w:jc w:val="right"/>
              <w:rPr/>
            </w:pPr>
            <w:r>
              <w:rPr/>
              <w:t>8,210,339</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tcMar>
              <w:bottom w:w="56" w:type="dxa"/>
            </w:tcMar>
            <w:vAlign w:val="center"/>
          </w:tcPr>
          <w:p>
            <w:pPr>
              <w:pStyle w:val="TableContents"/>
              <w:bidi w:val="0"/>
              <w:spacing w:before="0" w:after="283"/>
              <w:jc w:val="right"/>
              <w:rPr/>
            </w:pPr>
            <w:r>
              <w:rPr/>
              <w:t>7,774,065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2,855,745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2,417,932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68.59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124.22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169.3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shd w:fill="CCCCCC" w:val="clear"/>
            <w:tcMar>
              <w:bottom w:w="56" w:type="dxa"/>
            </w:tcMar>
            <w:vAlign w:val="center"/>
          </w:tcPr>
          <w:p>
            <w:pPr>
              <w:pStyle w:val="TableContents"/>
              <w:bidi w:val="0"/>
              <w:spacing w:before="0" w:after="0"/>
              <w:jc w:val="left"/>
              <w:rPr/>
            </w:pPr>
            <w:r>
              <w:rPr>
                <w:spacing w:val="1"/>
              </w:rPr>
              <w:t>2022</w:t>
            </w:r>
            <w:r>
              <w:rPr/>
              <w:t xml:space="preserve">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8,565,545</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2,575,035</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2,076,241</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178,933</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73.63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113.92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145.1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tcMar>
              <w:bottom w:w="56" w:type="dxa"/>
            </w:tcMar>
            <w:vAlign w:val="center"/>
          </w:tcPr>
          <w:p>
            <w:pPr>
              <w:pStyle w:val="TableContents"/>
              <w:bidi w:val="0"/>
              <w:spacing w:before="0" w:after="0"/>
              <w:jc w:val="left"/>
              <w:rPr>
                <w:spacing w:val="1"/>
              </w:rPr>
            </w:pPr>
            <w:r>
              <w:rPr>
                <w:spacing w:val="1"/>
              </w:rPr>
              <w:t xml:space="preserve">2021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tcMar>
              <w:bottom w:w="56" w:type="dxa"/>
            </w:tcMar>
            <w:vAlign w:val="center"/>
          </w:tcPr>
          <w:p>
            <w:pPr>
              <w:pStyle w:val="TableContents"/>
              <w:bidi w:val="0"/>
              <w:spacing w:before="0" w:after="283"/>
              <w:jc w:val="right"/>
              <w:rPr/>
            </w:pPr>
            <w:r>
              <w:rPr/>
              <w:t>10,080,644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tcMar>
              <w:bottom w:w="56" w:type="dxa"/>
            </w:tcMar>
            <w:vAlign w:val="center"/>
          </w:tcPr>
          <w:p>
            <w:pPr>
              <w:pStyle w:val="TableContents"/>
              <w:bidi w:val="0"/>
              <w:spacing w:before="0" w:after="283"/>
              <w:jc w:val="right"/>
              <w:rPr/>
            </w:pPr>
            <w:r>
              <w:rPr/>
              <w:t>15,281,126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2,161,897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tcMar>
              <w:bottom w:w="56" w:type="dxa"/>
            </w:tcMar>
            <w:vAlign w:val="center"/>
          </w:tcPr>
          <w:p>
            <w:pPr>
              <w:pStyle w:val="TableContents"/>
              <w:bidi w:val="0"/>
              <w:spacing w:before="0" w:after="283"/>
              <w:jc w:val="right"/>
              <w:rPr/>
            </w:pPr>
            <w:r>
              <w:rPr/>
              <w:t>3,038,616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115.91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140.40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154.8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702076"/>
            </w:tcBorders>
            <w:shd w:fill="CCCCCC" w:val="clear"/>
            <w:tcMar>
              <w:bottom w:w="56" w:type="dxa"/>
            </w:tcMar>
            <w:vAlign w:val="center"/>
          </w:tcPr>
          <w:p>
            <w:pPr>
              <w:pStyle w:val="TableContents"/>
              <w:bidi w:val="0"/>
              <w:spacing w:before="0" w:after="0"/>
              <w:jc w:val="left"/>
              <w:rPr>
                <w:spacing w:val="1"/>
              </w:rPr>
            </w:pPr>
            <w:r>
              <w:rPr>
                <w:spacing w:val="1"/>
              </w:rPr>
              <w:t xml:space="preserve">2020 </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6,902,353</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702076"/>
            </w:tcBorders>
            <w:shd w:fill="CCCCCC" w:val="clear"/>
            <w:tcMar>
              <w:bottom w:w="56" w:type="dxa"/>
            </w:tcMar>
            <w:vAlign w:val="center"/>
          </w:tcPr>
          <w:p>
            <w:pPr>
              <w:pStyle w:val="TableContents"/>
              <w:bidi w:val="0"/>
              <w:spacing w:before="0" w:after="283"/>
              <w:jc w:val="right"/>
              <w:rPr/>
            </w:pPr>
            <w:r>
              <w:rPr/>
              <w:t>5,689,235</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1,730,387</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702076"/>
            </w:tcBorders>
            <w:shd w:fill="CCCCCC" w:val="clear"/>
            <w:tcMar>
              <w:bottom w:w="56" w:type="dxa"/>
            </w:tcMar>
            <w:vAlign w:val="center"/>
          </w:tcPr>
          <w:p>
            <w:pPr>
              <w:pStyle w:val="TableContents"/>
              <w:bidi w:val="0"/>
              <w:spacing w:before="0" w:after="283"/>
              <w:jc w:val="right"/>
              <w:rPr/>
            </w:pPr>
            <w:r>
              <w:rPr/>
              <w:t>1,334,414</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702076"/>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87.78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117.63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348.8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93.5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21525" w:type="dxa"/>
            <w:gridSpan w:val="85"/>
            <w:tcBorders>
              <w:bottom w:val="single" w:sz="6" w:space="0" w:color="702076"/>
            </w:tcBorders>
            <w:shd w:fill="D8D8D8" w:val="clear"/>
            <w:tcMar>
              <w:bottom w:w="56" w:type="dxa"/>
            </w:tcMar>
            <w:vAlign w:val="center"/>
          </w:tcPr>
          <w:p>
            <w:pPr>
              <w:pStyle w:val="TableContents"/>
              <w:bidi w:val="0"/>
              <w:spacing w:lineRule="atLeast" w:line="142" w:before="0" w:after="0"/>
              <w:ind w:left="260" w:right="0" w:hanging="0"/>
              <w:jc w:val="left"/>
              <w:rPr>
                <w:spacing w:val="1"/>
              </w:rPr>
            </w:pPr>
            <w:r>
              <w:rPr>
                <w:spacing w:val="1"/>
              </w:rPr>
              <w:t xml:space="preserve">Amounts reflect the total compensation reported for Mr. Makatsaria in the “Total” column in the “Summary Compensation Table” for 2024. </w:t>
            </w:r>
            <w:r>
              <mc:AlternateContent>
                <mc:Choice Requires="wps">
                  <w:drawing>
                    <wp:anchor behindDoc="0" distT="0" distB="0" distL="0" distR="0" simplePos="0" locked="0" layoutInCell="1" allowOverlap="1" relativeHeight="681">
                      <wp:simplePos x="0" y="0"/>
                      <wp:positionH relativeFrom="column">
                        <wp:align>left</wp:align>
                      </wp:positionH>
                      <wp:positionV relativeFrom="line">
                        <wp:posOffset>635</wp:posOffset>
                      </wp:positionV>
                      <wp:extent cx="165100" cy="525780"/>
                      <wp:effectExtent l="0" t="0" r="0" b="0"/>
                      <wp:wrapSquare wrapText="right"/>
                      <wp:docPr id="481" name="Frame329"/>
                      <a:graphic xmlns:a="http://schemas.openxmlformats.org/drawingml/2006/main">
                        <a:graphicData uri="http://schemas.microsoft.com/office/word/2010/wordprocessingShape">
                          <wps:wsp>
                            <wps:cNvSpPr txBox="1"/>
                            <wps:spPr>
                              <a:xfrm>
                                <a:off x="0" y="0"/>
                                <a:ext cx="165100" cy="525780"/>
                              </a:xfrm>
                              <a:prstGeom prst="rect"/>
                              <a:solidFill>
                                <a:srgbClr val="FFFFFF"/>
                              </a:solidFill>
                            </wps:spPr>
                            <wps:txbx>
                              <w:txbxContent>
                                <w:p>
                                  <w:pPr>
                                    <w:pStyle w:val="TextBody"/>
                                    <w:bidi w:val="0"/>
                                    <w:spacing w:lineRule="atLeast" w:line="142"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pPr>
                            <w:r>
                              <w:rPr>
                                <w:spacing w:val="1"/>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56" w:before="26" w:after="0"/>
              <w:ind w:left="260" w:right="0" w:hanging="0"/>
              <w:jc w:val="both"/>
              <w:rPr/>
            </w:pPr>
            <w:r>
              <w:rPr>
                <w:spacing w:val="1"/>
              </w:rPr>
              <w:t>Amounts represent “compensation actually paid” to Mr. Makatsaria by applying the following adjustments to Mr. Makatsaria’s total compensation for each year, as computed in accordance with Item 402(v). Amounts do not reflect actual compensation earned by or paid to Mr. Makatsaria during the applicable year.</w:t>
            </w:r>
            <w:r>
              <w:rPr/>
              <w:t xml:space="preserve"> </w:t>
            </w:r>
            <w:r>
              <mc:AlternateContent>
                <mc:Choice Requires="wps">
                  <w:drawing>
                    <wp:anchor behindDoc="0" distT="16510" distB="0" distL="0" distR="0" simplePos="0" locked="0" layoutInCell="1" allowOverlap="1" relativeHeight="682">
                      <wp:simplePos x="0" y="0"/>
                      <wp:positionH relativeFrom="column">
                        <wp:align>left</wp:align>
                      </wp:positionH>
                      <wp:positionV relativeFrom="line">
                        <wp:align>top</wp:align>
                      </wp:positionV>
                      <wp:extent cx="165100" cy="525780"/>
                      <wp:effectExtent l="0" t="0" r="0" b="0"/>
                      <wp:wrapSquare wrapText="right"/>
                      <wp:docPr id="482" name="Frame330"/>
                      <a:graphic xmlns:a="http://schemas.openxmlformats.org/drawingml/2006/main">
                        <a:graphicData uri="http://schemas.microsoft.com/office/word/2010/wordprocessingShape">
                          <wps:wsp>
                            <wps:cNvSpPr txBox="1"/>
                            <wps:spPr>
                              <a:xfrm>
                                <a:off x="0" y="0"/>
                                <a:ext cx="165100" cy="525780"/>
                              </a:xfrm>
                              <a:prstGeom prst="rect"/>
                              <a:solidFill>
                                <a:srgbClr val="FFFFFF"/>
                              </a:solidFill>
                            </wps:spPr>
                            <wps:txbx>
                              <w:txbxContent>
                                <w:p>
                                  <w:pPr>
                                    <w:pStyle w:val="TextBody"/>
                                    <w:bidi w:val="0"/>
                                    <w:spacing w:lineRule="atLeast" w:line="156"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3pt;height:41.4pt;mso-wrap-distance-left:0pt;mso-wrap-distance-right:0pt;mso-wrap-distance-top:1.3pt;mso-wrap-distance-bottom:0pt;margin-top:1.3pt;mso-position-vertical:top;mso-position-vertical-relative:text;margin-left:13pt;mso-position-horizontal:left;mso-position-horizontal-relative:text">
                      <v:textbox>
                        <w:txbxContent>
                          <w:p>
                            <w:pPr>
                              <w:pStyle w:val="TextBody"/>
                              <w:bidi w:val="0"/>
                              <w:spacing w:lineRule="atLeast" w:line="156" w:before="0" w:after="283"/>
                              <w:jc w:val="both"/>
                              <w:rPr/>
                            </w:pPr>
                            <w:r>
                              <w:rPr>
                                <w:spacing w:val="1"/>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593"/>
        <w:gridCol w:w="109"/>
        <w:gridCol w:w="109"/>
        <w:gridCol w:w="109"/>
        <w:gridCol w:w="109"/>
        <w:gridCol w:w="226"/>
        <w:gridCol w:w="1070"/>
        <w:gridCol w:w="109"/>
        <w:gridCol w:w="109"/>
        <w:gridCol w:w="109"/>
        <w:gridCol w:w="109"/>
        <w:gridCol w:w="109"/>
        <w:gridCol w:w="227"/>
        <w:gridCol w:w="1069"/>
        <w:gridCol w:w="109"/>
        <w:gridCol w:w="109"/>
        <w:gridCol w:w="109"/>
        <w:gridCol w:w="109"/>
        <w:gridCol w:w="140"/>
        <w:gridCol w:w="140"/>
        <w:gridCol w:w="449"/>
        <w:gridCol w:w="142"/>
        <w:gridCol w:w="109"/>
        <w:gridCol w:w="109"/>
        <w:gridCol w:w="109"/>
        <w:gridCol w:w="109"/>
        <w:gridCol w:w="226"/>
        <w:gridCol w:w="1068"/>
        <w:gridCol w:w="109"/>
        <w:gridCol w:w="109"/>
        <w:gridCol w:w="109"/>
        <w:gridCol w:w="109"/>
        <w:gridCol w:w="109"/>
        <w:gridCol w:w="226"/>
        <w:gridCol w:w="1068"/>
        <w:gridCol w:w="109"/>
        <w:gridCol w:w="109"/>
        <w:gridCol w:w="169"/>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3" w:type="dxa"/>
            <w:tcBorders/>
            <w:shd w:fill="702076" w:val="clear"/>
            <w:vAlign w:val="center"/>
          </w:tcPr>
          <w:p>
            <w:pPr>
              <w:pStyle w:val="TableContents"/>
              <w:bidi w:val="0"/>
              <w:spacing w:before="0" w:after="0"/>
              <w:jc w:val="left"/>
              <w:rPr>
                <w:spacing w:val="2"/>
              </w:rPr>
            </w:pPr>
            <w:r>
              <w:rPr>
                <w:spacing w:val="2"/>
              </w:rPr>
              <w:t xml:space="preserve">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4" w:type="dxa"/>
            <w:gridSpan w:val="4"/>
            <w:tcBorders/>
            <w:shd w:fill="702076" w:val="clear"/>
            <w:vAlign w:val="center"/>
          </w:tcPr>
          <w:p>
            <w:pPr>
              <w:pStyle w:val="TableContents"/>
              <w:bidi w:val="0"/>
              <w:spacing w:before="0" w:after="0"/>
              <w:jc w:val="center"/>
              <w:rPr>
                <w:spacing w:val="2"/>
              </w:rPr>
            </w:pPr>
            <w:r>
              <w:rPr>
                <w:spacing w:val="2"/>
              </w:rPr>
              <w:t xml:space="preserve">Reported Summary </w:t>
              <w:br/>
              <w:t xml:space="preserve">Compensation </w:t>
              <w:br/>
              <w:t xml:space="preserve">Table Total for </w:t>
              <w:br/>
              <w:t xml:space="preserve">Current PEO)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4" w:type="dxa"/>
            <w:gridSpan w:val="4"/>
            <w:tcBorders/>
            <w:shd w:fill="702076" w:val="clear"/>
            <w:vAlign w:val="center"/>
          </w:tcPr>
          <w:p>
            <w:pPr>
              <w:pStyle w:val="TableContents"/>
              <w:bidi w:val="0"/>
              <w:spacing w:lineRule="atLeast" w:line="142" w:before="0" w:after="0"/>
              <w:jc w:val="center"/>
              <w:rPr/>
            </w:pPr>
            <w:r>
              <w:rPr>
                <w:spacing w:val="2"/>
              </w:rPr>
              <w:t xml:space="preserve">Reported Value of </w:t>
              <w:br/>
              <w:t>Equity Awards</w:t>
            </w:r>
            <w:r>
              <w:rPr>
                <w:spacing w:val="1"/>
                <w:sz w:val="10"/>
              </w:rPr>
              <w:t>(a)</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71" w:type="dxa"/>
            <w:gridSpan w:val="4"/>
            <w:tcBorders/>
            <w:shd w:fill="702076" w:val="clear"/>
            <w:vAlign w:val="center"/>
          </w:tcPr>
          <w:p>
            <w:pPr>
              <w:pStyle w:val="TableContents"/>
              <w:bidi w:val="0"/>
              <w:spacing w:before="0" w:after="0"/>
              <w:jc w:val="center"/>
              <w:rPr>
                <w:spacing w:val="2"/>
              </w:rPr>
            </w:pPr>
            <w:r>
              <w:rPr>
                <w:spacing w:val="2"/>
              </w:rPr>
              <w:t xml:space="preserve">Change in </w:t>
              <w:br/>
              <w:t xml:space="preserve">Pension Value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2" w:type="dxa"/>
            <w:gridSpan w:val="4"/>
            <w:tcBorders/>
            <w:shd w:fill="702076" w:val="clear"/>
            <w:vAlign w:val="center"/>
          </w:tcPr>
          <w:p>
            <w:pPr>
              <w:pStyle w:val="TableContents"/>
              <w:bidi w:val="0"/>
              <w:spacing w:lineRule="atLeast" w:line="142" w:before="0" w:after="0"/>
              <w:jc w:val="center"/>
              <w:rPr/>
            </w:pPr>
            <w:r>
              <w:rPr>
                <w:spacing w:val="2"/>
              </w:rPr>
              <w:t xml:space="preserve">Equity Award </w:t>
              <w:br/>
              <w:t>Adjustments</w:t>
            </w:r>
            <w:r>
              <w:rPr>
                <w:spacing w:val="1"/>
                <w:sz w:val="10"/>
              </w:rPr>
              <w:t>(b)</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2" w:type="dxa"/>
            <w:gridSpan w:val="4"/>
            <w:tcBorders/>
            <w:shd w:fill="702076" w:val="clear"/>
            <w:vAlign w:val="center"/>
          </w:tcPr>
          <w:p>
            <w:pPr>
              <w:pStyle w:val="TableContents"/>
              <w:bidi w:val="0"/>
              <w:spacing w:before="0" w:after="0"/>
              <w:jc w:val="center"/>
              <w:rPr/>
            </w:pPr>
            <w:r>
              <w:rPr>
                <w:spacing w:val="2"/>
              </w:rPr>
              <w:t xml:space="preserve">Compensation </w:t>
              <w:br/>
              <w:t xml:space="preserve">Actually </w:t>
              <w:br/>
              <w:t xml:space="preserve">Paid to </w:t>
              <w:br/>
              <w:t>Current PEO</w:t>
            </w:r>
            <w:r>
              <w:rPr/>
              <w:t xml:space="preserve"> </w:t>
            </w:r>
          </w:p>
        </w:tc>
        <w:tc>
          <w:tcPr>
            <w:tcW w:w="109" w:type="dxa"/>
            <w:tcBorders/>
            <w:shd w:fill="702076" w:val="clear"/>
            <w:vAlign w:val="center"/>
          </w:tcPr>
          <w:p>
            <w:pPr>
              <w:pStyle w:val="TableContents"/>
              <w:bidi w:val="0"/>
              <w:spacing w:before="0" w:after="283"/>
              <w:jc w:val="left"/>
              <w:rPr/>
            </w:pPr>
            <w:r>
              <w:rPr/>
              <w:t>​</w:t>
            </w:r>
          </w:p>
        </w:tc>
        <w:tc>
          <w:tcPr>
            <w:tcW w:w="169"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93"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1" w:type="dxa"/>
            </w:tcMar>
            <w:vAlign w:val="center"/>
          </w:tcPr>
          <w:p>
            <w:pPr>
              <w:pStyle w:val="TableContents"/>
              <w:bidi w:val="0"/>
              <w:spacing w:before="0" w:after="283"/>
              <w:jc w:val="right"/>
              <w:rPr/>
            </w:pPr>
            <w:r>
              <w:rPr/>
              <w:t>$</w:t>
            </w:r>
          </w:p>
        </w:tc>
        <w:tc>
          <w:tcPr>
            <w:tcW w:w="1070" w:type="dxa"/>
            <w:tcBorders>
              <w:bottom w:val="single" w:sz="6" w:space="0" w:color="702076"/>
            </w:tcBorders>
            <w:tcMar>
              <w:bottom w:w="51" w:type="dxa"/>
            </w:tcMar>
            <w:vAlign w:val="center"/>
          </w:tcPr>
          <w:p>
            <w:pPr>
              <w:pStyle w:val="TableContents"/>
              <w:bidi w:val="0"/>
              <w:spacing w:before="0" w:after="283"/>
              <w:jc w:val="right"/>
              <w:rPr/>
            </w:pPr>
            <w:r>
              <w:rPr/>
              <w:t>9,710,672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7" w:type="dxa"/>
            <w:tcBorders>
              <w:bottom w:val="single" w:sz="6" w:space="0" w:color="702076"/>
            </w:tcBorders>
            <w:tcMar>
              <w:bottom w:w="51" w:type="dxa"/>
            </w:tcMar>
            <w:vAlign w:val="center"/>
          </w:tcPr>
          <w:p>
            <w:pPr>
              <w:pStyle w:val="TableContents"/>
              <w:bidi w:val="0"/>
              <w:spacing w:before="0" w:after="283"/>
              <w:jc w:val="right"/>
              <w:rPr/>
            </w:pPr>
            <w:r>
              <w:rPr/>
              <w:t>-$</w:t>
            </w:r>
          </w:p>
        </w:tc>
        <w:tc>
          <w:tcPr>
            <w:tcW w:w="1069" w:type="dxa"/>
            <w:tcBorders>
              <w:bottom w:val="single" w:sz="6" w:space="0" w:color="702076"/>
            </w:tcBorders>
            <w:tcMar>
              <w:bottom w:w="51" w:type="dxa"/>
            </w:tcMar>
            <w:vAlign w:val="center"/>
          </w:tcPr>
          <w:p>
            <w:pPr>
              <w:pStyle w:val="TableContents"/>
              <w:bidi w:val="0"/>
              <w:spacing w:before="0" w:after="283"/>
              <w:jc w:val="right"/>
              <w:rPr/>
            </w:pPr>
            <w:r>
              <w:rPr/>
              <w:t>7,308,628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40" w:type="dxa"/>
            <w:tcBorders>
              <w:bottom w:val="single" w:sz="6" w:space="0" w:color="702076"/>
            </w:tcBorders>
            <w:tcMar>
              <w:bottom w:w="28" w:type="dxa"/>
            </w:tcMar>
            <w:vAlign w:val="center"/>
          </w:tcPr>
          <w:p>
            <w:pPr>
              <w:pStyle w:val="TableContents"/>
              <w:bidi w:val="0"/>
              <w:spacing w:before="0" w:after="283"/>
              <w:jc w:val="left"/>
              <w:rPr/>
            </w:pPr>
            <w:r>
              <w:rPr/>
              <w:t>​</w:t>
            </w:r>
          </w:p>
        </w:tc>
        <w:tc>
          <w:tcPr>
            <w:tcW w:w="140" w:type="dxa"/>
            <w:tcBorders>
              <w:bottom w:val="single" w:sz="6" w:space="0" w:color="702076"/>
            </w:tcBorders>
            <w:tcMar>
              <w:bottom w:w="51" w:type="dxa"/>
            </w:tcMar>
            <w:vAlign w:val="center"/>
          </w:tcPr>
          <w:p>
            <w:pPr>
              <w:pStyle w:val="TableContents"/>
              <w:bidi w:val="0"/>
              <w:spacing w:before="0" w:after="283"/>
              <w:jc w:val="right"/>
              <w:rPr/>
            </w:pPr>
            <w:r>
              <w:rPr/>
              <w:t>​</w:t>
            </w:r>
          </w:p>
        </w:tc>
        <w:tc>
          <w:tcPr>
            <w:tcW w:w="449" w:type="dxa"/>
            <w:tcBorders>
              <w:bottom w:val="single" w:sz="6" w:space="0" w:color="702076"/>
            </w:tcBorders>
            <w:tcMar>
              <w:bottom w:w="51" w:type="dxa"/>
            </w:tcMar>
            <w:vAlign w:val="center"/>
          </w:tcPr>
          <w:p>
            <w:pPr>
              <w:pStyle w:val="TableContents"/>
              <w:bidi w:val="0"/>
              <w:spacing w:before="0" w:after="283"/>
              <w:jc w:val="right"/>
              <w:rPr/>
            </w:pPr>
            <w:r>
              <w:rPr/>
              <w:t>—</w:t>
            </w:r>
          </w:p>
        </w:tc>
        <w:tc>
          <w:tcPr>
            <w:tcW w:w="142"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1" w:type="dxa"/>
            </w:tcMar>
            <w:vAlign w:val="center"/>
          </w:tcPr>
          <w:p>
            <w:pPr>
              <w:pStyle w:val="TableContents"/>
              <w:bidi w:val="0"/>
              <w:spacing w:before="0" w:after="283"/>
              <w:jc w:val="right"/>
              <w:rPr/>
            </w:pPr>
            <w:r>
              <w:rPr/>
              <w:t>$</w:t>
            </w:r>
          </w:p>
        </w:tc>
        <w:tc>
          <w:tcPr>
            <w:tcW w:w="1068" w:type="dxa"/>
            <w:tcBorders>
              <w:bottom w:val="single" w:sz="6" w:space="0" w:color="702076"/>
            </w:tcBorders>
            <w:tcMar>
              <w:bottom w:w="51" w:type="dxa"/>
            </w:tcMar>
            <w:vAlign w:val="center"/>
          </w:tcPr>
          <w:p>
            <w:pPr>
              <w:pStyle w:val="TableContents"/>
              <w:bidi w:val="0"/>
              <w:spacing w:before="0" w:after="283"/>
              <w:jc w:val="right"/>
              <w:rPr/>
            </w:pPr>
            <w:r>
              <w:rPr/>
              <w:t>5,754,658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51" w:type="dxa"/>
            </w:tcMar>
            <w:vAlign w:val="center"/>
          </w:tcPr>
          <w:p>
            <w:pPr>
              <w:pStyle w:val="TableContents"/>
              <w:bidi w:val="0"/>
              <w:spacing w:before="0" w:after="283"/>
              <w:jc w:val="right"/>
              <w:rPr/>
            </w:pPr>
            <w:r>
              <w:rPr/>
              <w:t>$</w:t>
            </w:r>
          </w:p>
        </w:tc>
        <w:tc>
          <w:tcPr>
            <w:tcW w:w="1068" w:type="dxa"/>
            <w:tcBorders>
              <w:bottom w:val="single" w:sz="6" w:space="0" w:color="702076"/>
            </w:tcBorders>
            <w:tcMar>
              <w:bottom w:w="51" w:type="dxa"/>
            </w:tcMar>
            <w:vAlign w:val="center"/>
          </w:tcPr>
          <w:p>
            <w:pPr>
              <w:pStyle w:val="TableContents"/>
              <w:bidi w:val="0"/>
              <w:spacing w:before="0" w:after="283"/>
              <w:jc w:val="right"/>
              <w:rPr/>
            </w:pPr>
            <w:r>
              <w:rPr/>
              <w:t>8,156,702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9151" w:type="dxa"/>
            <w:gridSpan w:val="36"/>
            <w:tcBorders>
              <w:bottom w:val="single" w:sz="6" w:space="0" w:color="702076"/>
            </w:tcBorders>
            <w:shd w:fill="D8D8D8" w:val="clear"/>
            <w:tcMar>
              <w:bottom w:w="51"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aggregate grant-date fair value of awards reported in the “Stock Awards” and “Option Awards” columns in the Summary Compensation Table for the applicable year. </w:t>
            </w:r>
            <w:r>
              <mc:AlternateContent>
                <mc:Choice Requires="wps">
                  <w:drawing>
                    <wp:anchor behindDoc="0" distT="0" distB="0" distL="0" distR="0" simplePos="0" locked="0" layoutInCell="1" allowOverlap="1" relativeHeight="683">
                      <wp:simplePos x="0" y="0"/>
                      <wp:positionH relativeFrom="column">
                        <wp:align>left</wp:align>
                      </wp:positionH>
                      <wp:positionV relativeFrom="line">
                        <wp:posOffset>635</wp:posOffset>
                      </wp:positionV>
                      <wp:extent cx="203200" cy="525780"/>
                      <wp:effectExtent l="0" t="0" r="0" b="0"/>
                      <wp:wrapSquare wrapText="right"/>
                      <wp:docPr id="483" name="Frame33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pPr>
            <w:r>
              <w:rPr>
                <w:spacing w:val="2"/>
              </w:rPr>
              <w:t>The equity award adjustments reflected in this column were calculated as follows:</w:t>
            </w:r>
            <w:r>
              <w:rPr/>
              <w:t xml:space="preserve"> </w:t>
            </w:r>
            <w:r>
              <mc:AlternateContent>
                <mc:Choice Requires="wps">
                  <w:drawing>
                    <wp:anchor behindDoc="0" distT="20320" distB="0" distL="0" distR="0" simplePos="0" locked="0" layoutInCell="1" allowOverlap="1" relativeHeight="684">
                      <wp:simplePos x="0" y="0"/>
                      <wp:positionH relativeFrom="column">
                        <wp:align>left</wp:align>
                      </wp:positionH>
                      <wp:positionV relativeFrom="line">
                        <wp:align>top</wp:align>
                      </wp:positionV>
                      <wp:extent cx="203200" cy="525780"/>
                      <wp:effectExtent l="0" t="0" r="0" b="0"/>
                      <wp:wrapSquare wrapText="right"/>
                      <wp:docPr id="484" name="Frame33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9" w:type="dxa"/>
            <w:tcBorders/>
            <w:shd w:fill="D8D8D8" w:val="clear"/>
            <w:vAlign w:val="center"/>
          </w:tcPr>
          <w:p>
            <w:pPr>
              <w:pStyle w:val="TableContents"/>
              <w:bidi w:val="0"/>
              <w:spacing w:before="0" w:after="283"/>
              <w:jc w:val="left"/>
              <w:rPr/>
            </w:pPr>
            <w:r>
              <w:rPr/>
              <w:t>​</w:t>
            </w:r>
          </w:p>
        </w:tc>
      </w:tr>
    </w:tbl>
    <w:tbl>
      <w:tblPr>
        <w:tblW w:w="12096"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1066"/>
        <w:gridCol w:w="109"/>
        <w:gridCol w:w="109"/>
        <w:gridCol w:w="109"/>
        <w:gridCol w:w="109"/>
        <w:gridCol w:w="207"/>
        <w:gridCol w:w="207"/>
        <w:gridCol w:w="658"/>
        <w:gridCol w:w="209"/>
        <w:gridCol w:w="109"/>
        <w:gridCol w:w="109"/>
        <w:gridCol w:w="109"/>
        <w:gridCol w:w="143"/>
        <w:gridCol w:w="143"/>
        <w:gridCol w:w="453"/>
        <w:gridCol w:w="144"/>
        <w:gridCol w:w="109"/>
        <w:gridCol w:w="109"/>
        <w:gridCol w:w="109"/>
        <w:gridCol w:w="143"/>
        <w:gridCol w:w="143"/>
        <w:gridCol w:w="453"/>
        <w:gridCol w:w="144"/>
        <w:gridCol w:w="109"/>
        <w:gridCol w:w="109"/>
        <w:gridCol w:w="109"/>
        <w:gridCol w:w="187"/>
        <w:gridCol w:w="187"/>
        <w:gridCol w:w="595"/>
        <w:gridCol w:w="190"/>
        <w:gridCol w:w="109"/>
        <w:gridCol w:w="109"/>
        <w:gridCol w:w="109"/>
        <w:gridCol w:w="241"/>
        <w:gridCol w:w="241"/>
        <w:gridCol w:w="767"/>
        <w:gridCol w:w="244"/>
        <w:gridCol w:w="109"/>
        <w:gridCol w:w="109"/>
        <w:gridCol w:w="109"/>
        <w:gridCol w:w="109"/>
        <w:gridCol w:w="226"/>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vAlign w:val="center"/>
          </w:tcPr>
          <w:p>
            <w:pPr>
              <w:pStyle w:val="TableContents"/>
              <w:bidi w:val="0"/>
              <w:spacing w:before="0" w:after="0"/>
              <w:jc w:val="left"/>
              <w:rPr>
                <w:spacing w:val="2"/>
              </w:rPr>
            </w:pPr>
            <w:r>
              <w:rPr>
                <w:spacing w:val="2"/>
              </w:rPr>
              <w:t xml:space="preserve">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vAlign w:val="center"/>
          </w:tcPr>
          <w:p>
            <w:pPr>
              <w:pStyle w:val="TableContents"/>
              <w:bidi w:val="0"/>
              <w:spacing w:before="0" w:after="0"/>
              <w:jc w:val="center"/>
              <w:rPr>
                <w:spacing w:val="2"/>
              </w:rPr>
            </w:pPr>
            <w:r>
              <w:rPr>
                <w:spacing w:val="2"/>
              </w:rPr>
              <w:t xml:space="preserve">Year </w:t>
              <w:br/>
              <w:t xml:space="preserve">End Fair </w:t>
              <w:br/>
              <w:t xml:space="preserve">Value of </w:t>
              <w:br/>
              <w:t xml:space="preserve">Outstanding </w:t>
              <w:br/>
              <w:t xml:space="preserve">and Unvested </w:t>
              <w:br/>
              <w:t xml:space="preserve">Equity Awards </w:t>
              <w:br/>
              <w:t xml:space="preserve">Granted </w:t>
              <w:br/>
              <w:t xml:space="preserve">in 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81" w:type="dxa"/>
            <w:gridSpan w:val="4"/>
            <w:tcBorders/>
            <w:shd w:fill="702076" w:val="clear"/>
            <w:vAlign w:val="center"/>
          </w:tcPr>
          <w:p>
            <w:pPr>
              <w:pStyle w:val="TableContents"/>
              <w:bidi w:val="0"/>
              <w:spacing w:before="0" w:after="0"/>
              <w:jc w:val="center"/>
              <w:rPr>
                <w:spacing w:val="2"/>
              </w:rPr>
            </w:pPr>
            <w:r>
              <w:rPr>
                <w:spacing w:val="2"/>
              </w:rPr>
              <w:t xml:space="preserve">Change in </w:t>
              <w:br/>
              <w:t xml:space="preserve">Fair Value of </w:t>
              <w:br/>
              <w:t xml:space="preserve">Equity Awards </w:t>
              <w:br/>
              <w:t xml:space="preserve">Granted in </w:t>
              <w:br/>
              <w:t xml:space="preserve">Prior Years </w:t>
              <w:br/>
              <w:t xml:space="preserve">that Remain </w:t>
              <w:br/>
              <w:t xml:space="preserve">Outstanding </w:t>
              <w:br/>
              <w:t xml:space="preserve">and Unvested </w:t>
              <w:br/>
              <w:t xml:space="preserve">as of Year End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83" w:type="dxa"/>
            <w:gridSpan w:val="4"/>
            <w:tcBorders/>
            <w:shd w:fill="702076" w:val="clear"/>
            <w:vAlign w:val="center"/>
          </w:tcPr>
          <w:p>
            <w:pPr>
              <w:pStyle w:val="TableContents"/>
              <w:bidi w:val="0"/>
              <w:spacing w:before="0" w:after="0"/>
              <w:jc w:val="center"/>
              <w:rPr>
                <w:spacing w:val="2"/>
              </w:rPr>
            </w:pPr>
            <w:r>
              <w:rPr>
                <w:spacing w:val="2"/>
              </w:rPr>
              <w:t xml:space="preserve">Fair Value </w:t>
              <w:br/>
              <w:t xml:space="preserve">as of Vesting </w:t>
              <w:br/>
              <w:t xml:space="preserve">Date of Equity </w:t>
              <w:br/>
              <w:t xml:space="preserve">Awards Granted </w:t>
              <w:br/>
              <w:t xml:space="preserve">and Vested </w:t>
              <w:br/>
              <w:t xml:space="preserve">in 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83" w:type="dxa"/>
            <w:gridSpan w:val="4"/>
            <w:tcBorders/>
            <w:shd w:fill="702076" w:val="clear"/>
            <w:vAlign w:val="center"/>
          </w:tcPr>
          <w:p>
            <w:pPr>
              <w:pStyle w:val="TableContents"/>
              <w:bidi w:val="0"/>
              <w:spacing w:before="0" w:after="0"/>
              <w:jc w:val="center"/>
              <w:rPr>
                <w:spacing w:val="2"/>
              </w:rPr>
            </w:pPr>
            <w:r>
              <w:rPr>
                <w:spacing w:val="2"/>
              </w:rPr>
              <w:t xml:space="preserve">Change </w:t>
              <w:br/>
              <w:t xml:space="preserve">in Fair </w:t>
              <w:br/>
              <w:t xml:space="preserve">Value of </w:t>
              <w:br/>
              <w:t xml:space="preserve">Equity </w:t>
              <w:br/>
              <w:t xml:space="preserve">Awards </w:t>
              <w:br/>
              <w:t xml:space="preserve">Granted </w:t>
              <w:br/>
              <w:t xml:space="preserve">in Prior </w:t>
              <w:br/>
              <w:t xml:space="preserve">Years that </w:t>
              <w:br/>
              <w:t xml:space="preserve">Vested in </w:t>
              <w:br/>
              <w:t xml:space="preserve">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vAlign w:val="center"/>
          </w:tcPr>
          <w:p>
            <w:pPr>
              <w:pStyle w:val="TableContents"/>
              <w:bidi w:val="0"/>
              <w:spacing w:before="0" w:after="0"/>
              <w:jc w:val="center"/>
              <w:rPr>
                <w:spacing w:val="2"/>
              </w:rPr>
            </w:pPr>
            <w:r>
              <w:rPr>
                <w:spacing w:val="2"/>
              </w:rPr>
              <w:t xml:space="preserve">Fair Value </w:t>
              <w:br/>
              <w:t xml:space="preserve">at the End </w:t>
              <w:br/>
              <w:t xml:space="preserve">of the Prior </w:t>
              <w:br/>
              <w:t xml:space="preserve">Year of </w:t>
              <w:br/>
              <w:t xml:space="preserve">Equity </w:t>
              <w:br/>
              <w:t xml:space="preserve">Awards that </w:t>
              <w:br/>
              <w:t xml:space="preserve">Failed to </w:t>
              <w:br/>
              <w:t xml:space="preserve">Meet Vesting </w:t>
              <w:br/>
              <w:t xml:space="preserve">Conditions in </w:t>
              <w:br/>
              <w:t xml:space="preserve">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3" w:type="dxa"/>
            <w:gridSpan w:val="4"/>
            <w:tcBorders/>
            <w:shd w:fill="702076" w:val="clear"/>
            <w:vAlign w:val="center"/>
          </w:tcPr>
          <w:p>
            <w:pPr>
              <w:pStyle w:val="TableContents"/>
              <w:bidi w:val="0"/>
              <w:spacing w:before="0" w:after="0"/>
              <w:jc w:val="center"/>
              <w:rPr>
                <w:spacing w:val="2"/>
              </w:rPr>
            </w:pPr>
            <w:r>
              <w:rPr>
                <w:spacing w:val="2"/>
              </w:rPr>
              <w:t xml:space="preserve">Value of </w:t>
              <w:br/>
              <w:t xml:space="preserve">Dividends </w:t>
              <w:br/>
              <w:t xml:space="preserve">or other </w:t>
              <w:br/>
              <w:t xml:space="preserve">Earnings </w:t>
              <w:br/>
              <w:t xml:space="preserve">Paid on Stock </w:t>
              <w:br/>
              <w:t xml:space="preserve">or Option </w:t>
              <w:br/>
              <w:t xml:space="preserve">Awards not </w:t>
              <w:br/>
              <w:t xml:space="preserve">Otherwise </w:t>
              <w:br/>
              <w:t xml:space="preserve">Reflected </w:t>
              <w:br/>
              <w:t xml:space="preserve">in Fair Value </w:t>
              <w:br/>
              <w:t xml:space="preserve">or Total </w:t>
              <w:br/>
              <w:t xml:space="preserve">Compensation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10" w:type="dxa"/>
            <w:gridSpan w:val="4"/>
            <w:tcBorders/>
            <w:shd w:fill="702076" w:val="clear"/>
            <w:vAlign w:val="center"/>
          </w:tcPr>
          <w:p>
            <w:pPr>
              <w:pStyle w:val="TableContents"/>
              <w:bidi w:val="0"/>
              <w:spacing w:before="0" w:after="0"/>
              <w:jc w:val="center"/>
              <w:rPr/>
            </w:pPr>
            <w:r>
              <w:rPr>
                <w:spacing w:val="2"/>
              </w:rPr>
              <w:t xml:space="preserve">Total </w:t>
              <w:br/>
              <w:t xml:space="preserve">Equity </w:t>
              <w:br/>
              <w:t xml:space="preserve">Award </w:t>
              <w:br/>
              <w:t>Adjustments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92" w:type="dxa"/>
            <w:tcBorders>
              <w:bottom w:val="single" w:sz="6" w:space="0" w:color="702076"/>
            </w:tcBorders>
            <w:tcMar>
              <w:bottom w:w="43"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1066" w:type="dxa"/>
            <w:tcBorders>
              <w:bottom w:val="single" w:sz="6" w:space="0" w:color="702076"/>
            </w:tcBorders>
            <w:tcMar>
              <w:bottom w:w="43" w:type="dxa"/>
            </w:tcMar>
            <w:vAlign w:val="center"/>
          </w:tcPr>
          <w:p>
            <w:pPr>
              <w:pStyle w:val="TableContents"/>
              <w:bidi w:val="0"/>
              <w:spacing w:before="0" w:after="283"/>
              <w:jc w:val="right"/>
              <w:rPr/>
            </w:pPr>
            <w:r>
              <w:rPr/>
              <w:t>5,754,658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 w:type="dxa"/>
            <w:tcBorders>
              <w:bottom w:val="single" w:sz="6" w:space="0" w:color="702076"/>
            </w:tcBorders>
            <w:tcMar>
              <w:bottom w:w="28" w:type="dxa"/>
            </w:tcMar>
            <w:vAlign w:val="center"/>
          </w:tcPr>
          <w:p>
            <w:pPr>
              <w:pStyle w:val="TableContents"/>
              <w:bidi w:val="0"/>
              <w:spacing w:before="0" w:after="283"/>
              <w:jc w:val="left"/>
              <w:rPr/>
            </w:pPr>
            <w:r>
              <w:rPr/>
              <w:t>​</w:t>
            </w:r>
          </w:p>
        </w:tc>
        <w:tc>
          <w:tcPr>
            <w:tcW w:w="207" w:type="dxa"/>
            <w:tcBorders>
              <w:bottom w:val="single" w:sz="6" w:space="0" w:color="702076"/>
            </w:tcBorders>
            <w:tcMar>
              <w:bottom w:w="43" w:type="dxa"/>
            </w:tcMar>
            <w:vAlign w:val="center"/>
          </w:tcPr>
          <w:p>
            <w:pPr>
              <w:pStyle w:val="TableContents"/>
              <w:bidi w:val="0"/>
              <w:spacing w:before="0" w:after="283"/>
              <w:jc w:val="right"/>
              <w:rPr/>
            </w:pPr>
            <w:r>
              <w:rPr/>
              <w:t>​</w:t>
            </w:r>
          </w:p>
        </w:tc>
        <w:tc>
          <w:tcPr>
            <w:tcW w:w="658" w:type="dxa"/>
            <w:tcBorders>
              <w:bottom w:val="single" w:sz="6" w:space="0" w:color="702076"/>
            </w:tcBorders>
            <w:tcMar>
              <w:bottom w:w="43" w:type="dxa"/>
            </w:tcMar>
            <w:vAlign w:val="center"/>
          </w:tcPr>
          <w:p>
            <w:pPr>
              <w:pStyle w:val="TableContents"/>
              <w:bidi w:val="0"/>
              <w:spacing w:before="0" w:after="283"/>
              <w:jc w:val="right"/>
              <w:rPr/>
            </w:pPr>
            <w:r>
              <w:rPr/>
              <w:t>—</w:t>
            </w:r>
          </w:p>
        </w:tc>
        <w:tc>
          <w:tcPr>
            <w:tcW w:w="2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43" w:type="dxa"/>
            </w:tcMar>
            <w:vAlign w:val="center"/>
          </w:tcPr>
          <w:p>
            <w:pPr>
              <w:pStyle w:val="TableContents"/>
              <w:bidi w:val="0"/>
              <w:spacing w:before="0" w:after="283"/>
              <w:jc w:val="right"/>
              <w:rPr/>
            </w:pPr>
            <w:r>
              <w:rPr/>
              <w:t>​</w:t>
            </w:r>
          </w:p>
        </w:tc>
        <w:tc>
          <w:tcPr>
            <w:tcW w:w="453" w:type="dxa"/>
            <w:tcBorders>
              <w:bottom w:val="single" w:sz="6" w:space="0" w:color="702076"/>
            </w:tcBorders>
            <w:tcMar>
              <w:bottom w:w="43" w:type="dxa"/>
            </w:tcMar>
            <w:vAlign w:val="center"/>
          </w:tcPr>
          <w:p>
            <w:pPr>
              <w:pStyle w:val="TableContents"/>
              <w:bidi w:val="0"/>
              <w:spacing w:before="0" w:after="283"/>
              <w:jc w:val="right"/>
              <w:rPr/>
            </w:pPr>
            <w:r>
              <w:rPr/>
              <w:t>—</w:t>
            </w:r>
          </w:p>
        </w:tc>
        <w:tc>
          <w:tcPr>
            <w:tcW w:w="1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43" w:type="dxa"/>
            </w:tcMar>
            <w:vAlign w:val="center"/>
          </w:tcPr>
          <w:p>
            <w:pPr>
              <w:pStyle w:val="TableContents"/>
              <w:bidi w:val="0"/>
              <w:spacing w:before="0" w:after="283"/>
              <w:jc w:val="right"/>
              <w:rPr/>
            </w:pPr>
            <w:r>
              <w:rPr/>
              <w:t>​</w:t>
            </w:r>
          </w:p>
        </w:tc>
        <w:tc>
          <w:tcPr>
            <w:tcW w:w="453" w:type="dxa"/>
            <w:tcBorders>
              <w:bottom w:val="single" w:sz="6" w:space="0" w:color="702076"/>
            </w:tcBorders>
            <w:tcMar>
              <w:bottom w:w="43" w:type="dxa"/>
            </w:tcMar>
            <w:vAlign w:val="center"/>
          </w:tcPr>
          <w:p>
            <w:pPr>
              <w:pStyle w:val="TableContents"/>
              <w:bidi w:val="0"/>
              <w:spacing w:before="0" w:after="283"/>
              <w:jc w:val="right"/>
              <w:rPr/>
            </w:pPr>
            <w:r>
              <w:rPr/>
              <w:t>—</w:t>
            </w:r>
          </w:p>
        </w:tc>
        <w:tc>
          <w:tcPr>
            <w:tcW w:w="1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87" w:type="dxa"/>
            <w:tcBorders>
              <w:bottom w:val="single" w:sz="6" w:space="0" w:color="702076"/>
            </w:tcBorders>
            <w:tcMar>
              <w:bottom w:w="28" w:type="dxa"/>
            </w:tcMar>
            <w:vAlign w:val="center"/>
          </w:tcPr>
          <w:p>
            <w:pPr>
              <w:pStyle w:val="TableContents"/>
              <w:bidi w:val="0"/>
              <w:spacing w:before="0" w:after="283"/>
              <w:jc w:val="left"/>
              <w:rPr/>
            </w:pPr>
            <w:r>
              <w:rPr/>
              <w:t>​</w:t>
            </w:r>
          </w:p>
        </w:tc>
        <w:tc>
          <w:tcPr>
            <w:tcW w:w="187" w:type="dxa"/>
            <w:tcBorders>
              <w:bottom w:val="single" w:sz="6" w:space="0" w:color="702076"/>
            </w:tcBorders>
            <w:tcMar>
              <w:bottom w:w="43" w:type="dxa"/>
            </w:tcMar>
            <w:vAlign w:val="center"/>
          </w:tcPr>
          <w:p>
            <w:pPr>
              <w:pStyle w:val="TableContents"/>
              <w:bidi w:val="0"/>
              <w:spacing w:before="0" w:after="283"/>
              <w:jc w:val="right"/>
              <w:rPr/>
            </w:pPr>
            <w:r>
              <w:rPr/>
              <w:t>​</w:t>
            </w:r>
          </w:p>
        </w:tc>
        <w:tc>
          <w:tcPr>
            <w:tcW w:w="595" w:type="dxa"/>
            <w:tcBorders>
              <w:bottom w:val="single" w:sz="6" w:space="0" w:color="702076"/>
            </w:tcBorders>
            <w:tcMar>
              <w:bottom w:w="43" w:type="dxa"/>
            </w:tcMar>
            <w:vAlign w:val="center"/>
          </w:tcPr>
          <w:p>
            <w:pPr>
              <w:pStyle w:val="TableContents"/>
              <w:bidi w:val="0"/>
              <w:spacing w:before="0" w:after="283"/>
              <w:jc w:val="right"/>
              <w:rPr/>
            </w:pPr>
            <w:r>
              <w:rPr/>
              <w:t>—</w:t>
            </w:r>
          </w:p>
        </w:tc>
        <w:tc>
          <w:tcPr>
            <w:tcW w:w="19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43" w:type="dxa"/>
            </w:tcMar>
            <w:vAlign w:val="center"/>
          </w:tcPr>
          <w:p>
            <w:pPr>
              <w:pStyle w:val="TableContents"/>
              <w:bidi w:val="0"/>
              <w:spacing w:before="0" w:after="283"/>
              <w:jc w:val="right"/>
              <w:rPr/>
            </w:pPr>
            <w:r>
              <w:rPr/>
              <w:t>​</w:t>
            </w:r>
          </w:p>
        </w:tc>
        <w:tc>
          <w:tcPr>
            <w:tcW w:w="767" w:type="dxa"/>
            <w:tcBorders>
              <w:bottom w:val="single" w:sz="6" w:space="0" w:color="702076"/>
            </w:tcBorders>
            <w:tcMar>
              <w:bottom w:w="43" w:type="dxa"/>
            </w:tcMar>
            <w:vAlign w:val="center"/>
          </w:tcPr>
          <w:p>
            <w:pPr>
              <w:pStyle w:val="TableContents"/>
              <w:bidi w:val="0"/>
              <w:spacing w:before="0" w:after="283"/>
              <w:jc w:val="right"/>
              <w:rPr/>
            </w:pPr>
            <w:r>
              <w:rPr/>
              <w:t>—</w:t>
            </w:r>
          </w:p>
        </w:tc>
        <w:tc>
          <w:tcPr>
            <w:tcW w:w="2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1066" w:type="dxa"/>
            <w:tcBorders>
              <w:bottom w:val="single" w:sz="6" w:space="0" w:color="702076"/>
            </w:tcBorders>
            <w:tcMar>
              <w:bottom w:w="43" w:type="dxa"/>
            </w:tcMar>
            <w:vAlign w:val="center"/>
          </w:tcPr>
          <w:p>
            <w:pPr>
              <w:pStyle w:val="TableContents"/>
              <w:bidi w:val="0"/>
              <w:spacing w:before="0" w:after="283"/>
              <w:jc w:val="right"/>
              <w:rPr/>
            </w:pPr>
            <w:r>
              <w:rPr/>
              <w:t>5,754,658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91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9166" w:type="dxa"/>
            <w:tcBorders>
              <w:bottom w:val="single" w:sz="6" w:space="0" w:color="702076"/>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total compensation reported for Mr. Kozy in the “Total” column in the “Summary Compensation Table” for each corresponding year. </w:t>
            </w:r>
            <w:r>
              <mc:AlternateContent>
                <mc:Choice Requires="wps">
                  <w:drawing>
                    <wp:anchor behindDoc="0" distT="0" distB="0" distL="0" distR="0" simplePos="0" locked="0" layoutInCell="1" allowOverlap="1" relativeHeight="685">
                      <wp:simplePos x="0" y="0"/>
                      <wp:positionH relativeFrom="column">
                        <wp:align>left</wp:align>
                      </wp:positionH>
                      <wp:positionV relativeFrom="line">
                        <wp:posOffset>635</wp:posOffset>
                      </wp:positionV>
                      <wp:extent cx="203200" cy="525780"/>
                      <wp:effectExtent l="0" t="0" r="0" b="0"/>
                      <wp:wrapSquare wrapText="right"/>
                      <wp:docPr id="485" name="Frame33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represent “compensation actually paid” to Mr. Kozy, by applying the following adjustments to Mr. Kozy’s total compensation for 2024, as computed in accordance with Item 402(v). Amounts do not reflect actual compensation earned by or paid to Mr. Kozy during 2024.</w:t>
            </w:r>
            <w:r>
              <w:rPr/>
              <w:t xml:space="preserve"> </w:t>
            </w:r>
            <w:r>
              <mc:AlternateContent>
                <mc:Choice Requires="wps">
                  <w:drawing>
                    <wp:anchor behindDoc="0" distT="20320" distB="0" distL="0" distR="0" simplePos="0" locked="0" layoutInCell="1" allowOverlap="1" relativeHeight="686">
                      <wp:simplePos x="0" y="0"/>
                      <wp:positionH relativeFrom="column">
                        <wp:align>left</wp:align>
                      </wp:positionH>
                      <wp:positionV relativeFrom="line">
                        <wp:align>top</wp:align>
                      </wp:positionV>
                      <wp:extent cx="203200" cy="525780"/>
                      <wp:effectExtent l="0" t="0" r="0" b="0"/>
                      <wp:wrapSquare wrapText="right"/>
                      <wp:docPr id="486" name="Frame33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48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153" descr=""/>
                          <pic:cNvPicPr>
                            <a:picLocks noChangeAspect="1" noChangeArrowheads="1"/>
                          </pic:cNvPicPr>
                        </pic:nvPicPr>
                        <pic:blipFill>
                          <a:blip r:embed="rId15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FFFFFF"/>
        </w:rPr>
      </w:pPr>
      <w:r>
        <w:rPr>
          <w:caps w:val="false"/>
          <w:smallCaps w:val="false"/>
          <w:color w:val="FFFFFF"/>
        </w:rPr>
        <w:drawing>
          <wp:inline distT="0" distB="0" distL="0" distR="0">
            <wp:extent cx="1219200" cy="1181100"/>
            <wp:effectExtent l="0" t="0" r="0" b="0"/>
            <wp:docPr id="48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154" descr=""/>
                    <pic:cNvPicPr>
                      <a:picLocks noChangeAspect="1" noChangeArrowheads="1"/>
                    </pic:cNvPicPr>
                  </pic:nvPicPr>
                  <pic:blipFill>
                    <a:blip r:embed="rId155"/>
                    <a:stretch>
                      <a:fillRect/>
                    </a:stretch>
                  </pic:blipFill>
                  <pic:spPr bwMode="auto">
                    <a:xfrm>
                      <a:off x="0" y="0"/>
                      <a:ext cx="1219200" cy="1181100"/>
                    </a:xfrm>
                    <a:prstGeom prst="rect">
                      <a:avLst/>
                    </a:prstGeom>
                  </pic:spPr>
                </pic:pic>
              </a:graphicData>
            </a:graphic>
          </wp:inline>
        </w:drawing>
      </w:r>
      <w:r>
        <w:rPr>
          <w:caps w:val="false"/>
          <w:smallCaps w:val="false"/>
          <w:color w:val="FFFFFF"/>
        </w:rPr>
        <w:t xml:space="preserve"> </w:t>
      </w:r>
    </w:p>
    <w:tbl>
      <w:tblPr>
        <w:tblW w:w="9662" w:type="dxa"/>
        <w:jc w:val="left"/>
        <w:tblInd w:w="543" w:type="dxa"/>
        <w:tblLayout w:type="fixed"/>
        <w:tblCellMar>
          <w:top w:w="0" w:type="dxa"/>
          <w:left w:w="0" w:type="dxa"/>
          <w:bottom w:w="0" w:type="dxa"/>
          <w:right w:w="0" w:type="dxa"/>
        </w:tblCellMar>
      </w:tblPr>
      <w:tblGrid>
        <w:gridCol w:w="124"/>
        <w:gridCol w:w="109"/>
        <w:gridCol w:w="704"/>
        <w:gridCol w:w="126"/>
        <w:gridCol w:w="126"/>
        <w:gridCol w:w="126"/>
        <w:gridCol w:w="157"/>
        <w:gridCol w:w="327"/>
        <w:gridCol w:w="1288"/>
        <w:gridCol w:w="160"/>
        <w:gridCol w:w="126"/>
        <w:gridCol w:w="126"/>
        <w:gridCol w:w="126"/>
        <w:gridCol w:w="133"/>
        <w:gridCol w:w="304"/>
        <w:gridCol w:w="1083"/>
        <w:gridCol w:w="133"/>
        <w:gridCol w:w="126"/>
        <w:gridCol w:w="126"/>
        <w:gridCol w:w="126"/>
        <w:gridCol w:w="130"/>
        <w:gridCol w:w="272"/>
        <w:gridCol w:w="1073"/>
        <w:gridCol w:w="134"/>
        <w:gridCol w:w="126"/>
        <w:gridCol w:w="126"/>
        <w:gridCol w:w="126"/>
        <w:gridCol w:w="142"/>
        <w:gridCol w:w="296"/>
        <w:gridCol w:w="1163"/>
        <w:gridCol w:w="144"/>
        <w:gridCol w:w="109"/>
        <w:gridCol w:w="165"/>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704" w:type="dxa"/>
            <w:tcBorders/>
            <w:shd w:fill="702076" w:val="clear"/>
            <w:vAlign w:val="center"/>
          </w:tcPr>
          <w:p>
            <w:pPr>
              <w:pStyle w:val="TableContents"/>
              <w:bidi w:val="0"/>
              <w:spacing w:before="0" w:after="0"/>
              <w:jc w:val="left"/>
              <w:rPr>
                <w:spacing w:val="2"/>
              </w:rPr>
            </w:pPr>
            <w:r>
              <w:rPr>
                <w:spacing w:val="2"/>
              </w:rPr>
              <w:t xml:space="preserve">Year </w:t>
            </w:r>
          </w:p>
        </w:tc>
        <w:tc>
          <w:tcPr>
            <w:tcW w:w="126" w:type="dxa"/>
            <w:tcBorders/>
            <w:shd w:fill="702076"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w:t>
            </w:r>
          </w:p>
        </w:tc>
        <w:tc>
          <w:tcPr>
            <w:tcW w:w="126" w:type="dxa"/>
            <w:tcBorders/>
            <w:shd w:fill="702076" w:val="clear"/>
            <w:vAlign w:val="center"/>
          </w:tcPr>
          <w:p>
            <w:pPr>
              <w:pStyle w:val="TableContents"/>
              <w:bidi w:val="0"/>
              <w:spacing w:before="0" w:after="283"/>
              <w:jc w:val="left"/>
              <w:rPr/>
            </w:pPr>
            <w:r>
              <w:rPr/>
              <w:t>​</w:t>
            </w:r>
          </w:p>
        </w:tc>
        <w:tc>
          <w:tcPr>
            <w:tcW w:w="1932" w:type="dxa"/>
            <w:gridSpan w:val="4"/>
            <w:tcBorders/>
            <w:shd w:fill="702076" w:val="clear"/>
            <w:vAlign w:val="center"/>
          </w:tcPr>
          <w:p>
            <w:pPr>
              <w:pStyle w:val="TableContents"/>
              <w:bidi w:val="0"/>
              <w:spacing w:before="0" w:after="0"/>
              <w:jc w:val="center"/>
              <w:rPr>
                <w:spacing w:val="2"/>
              </w:rPr>
            </w:pPr>
            <w:r>
              <w:rPr>
                <w:spacing w:val="2"/>
              </w:rPr>
              <w:t xml:space="preserve">Reported Summary </w:t>
              <w:br/>
              <w:t xml:space="preserve">Compensation Table </w:t>
              <w:br/>
              <w:t xml:space="preserve">Total for Former </w:t>
              <w:br/>
              <w:t xml:space="preserve">Interim PEO </w:t>
            </w:r>
          </w:p>
        </w:tc>
        <w:tc>
          <w:tcPr>
            <w:tcW w:w="126" w:type="dxa"/>
            <w:tcBorders/>
            <w:shd w:fill="702076"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w:t>
            </w:r>
          </w:p>
        </w:tc>
        <w:tc>
          <w:tcPr>
            <w:tcW w:w="126" w:type="dxa"/>
            <w:tcBorders/>
            <w:shd w:fill="702076" w:val="clear"/>
            <w:vAlign w:val="center"/>
          </w:tcPr>
          <w:p>
            <w:pPr>
              <w:pStyle w:val="TableContents"/>
              <w:bidi w:val="0"/>
              <w:spacing w:before="0" w:after="283"/>
              <w:jc w:val="left"/>
              <w:rPr/>
            </w:pPr>
            <w:r>
              <w:rPr/>
              <w:t>​</w:t>
            </w:r>
          </w:p>
        </w:tc>
        <w:tc>
          <w:tcPr>
            <w:tcW w:w="1653" w:type="dxa"/>
            <w:gridSpan w:val="4"/>
            <w:tcBorders/>
            <w:shd w:fill="702076" w:val="clear"/>
            <w:vAlign w:val="center"/>
          </w:tcPr>
          <w:p>
            <w:pPr>
              <w:pStyle w:val="TableContents"/>
              <w:bidi w:val="0"/>
              <w:spacing w:lineRule="atLeast" w:line="142" w:before="0" w:after="0"/>
              <w:jc w:val="center"/>
              <w:rPr/>
            </w:pPr>
            <w:r>
              <w:rPr>
                <w:spacing w:val="2"/>
              </w:rPr>
              <w:t xml:space="preserve">Reported </w:t>
              <w:br/>
              <w:t xml:space="preserve">Value of Equity </w:t>
              <w:br/>
              <w:t>Awards</w:t>
            </w:r>
            <w:r>
              <w:rPr>
                <w:spacing w:val="1"/>
                <w:sz w:val="10"/>
              </w:rPr>
              <w:t>(a)</w:t>
            </w:r>
            <w:r>
              <w:rPr/>
              <w:t xml:space="preserve"> </w:t>
            </w:r>
          </w:p>
        </w:tc>
        <w:tc>
          <w:tcPr>
            <w:tcW w:w="126" w:type="dxa"/>
            <w:tcBorders/>
            <w:shd w:fill="702076"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w:t>
            </w:r>
          </w:p>
        </w:tc>
        <w:tc>
          <w:tcPr>
            <w:tcW w:w="126" w:type="dxa"/>
            <w:tcBorders/>
            <w:shd w:fill="702076" w:val="clear"/>
            <w:vAlign w:val="center"/>
          </w:tcPr>
          <w:p>
            <w:pPr>
              <w:pStyle w:val="TableContents"/>
              <w:bidi w:val="0"/>
              <w:spacing w:before="0" w:after="283"/>
              <w:jc w:val="left"/>
              <w:rPr/>
            </w:pPr>
            <w:r>
              <w:rPr/>
              <w:t>​</w:t>
            </w:r>
          </w:p>
        </w:tc>
        <w:tc>
          <w:tcPr>
            <w:tcW w:w="1609" w:type="dxa"/>
            <w:gridSpan w:val="4"/>
            <w:tcBorders/>
            <w:shd w:fill="702076" w:val="clear"/>
            <w:vAlign w:val="center"/>
          </w:tcPr>
          <w:p>
            <w:pPr>
              <w:pStyle w:val="TableContents"/>
              <w:bidi w:val="0"/>
              <w:spacing w:lineRule="atLeast" w:line="142" w:before="0" w:after="0"/>
              <w:jc w:val="center"/>
              <w:rPr/>
            </w:pPr>
            <w:r>
              <w:rPr>
                <w:spacing w:val="2"/>
              </w:rPr>
              <w:t xml:space="preserve">Equity Award </w:t>
              <w:br/>
              <w:t>Adjustments</w:t>
            </w:r>
            <w:r>
              <w:rPr>
                <w:spacing w:val="1"/>
                <w:sz w:val="10"/>
              </w:rPr>
              <w:t>(b)</w:t>
            </w:r>
            <w:r>
              <w:rPr/>
              <w:t xml:space="preserve"> </w:t>
            </w:r>
          </w:p>
        </w:tc>
        <w:tc>
          <w:tcPr>
            <w:tcW w:w="126" w:type="dxa"/>
            <w:tcBorders/>
            <w:shd w:fill="702076"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w:t>
            </w:r>
          </w:p>
        </w:tc>
        <w:tc>
          <w:tcPr>
            <w:tcW w:w="126" w:type="dxa"/>
            <w:tcBorders/>
            <w:shd w:fill="702076" w:val="clear"/>
            <w:vAlign w:val="center"/>
          </w:tcPr>
          <w:p>
            <w:pPr>
              <w:pStyle w:val="TableContents"/>
              <w:bidi w:val="0"/>
              <w:spacing w:before="0" w:after="283"/>
              <w:jc w:val="left"/>
              <w:rPr/>
            </w:pPr>
            <w:r>
              <w:rPr/>
              <w:t>​</w:t>
            </w:r>
          </w:p>
        </w:tc>
        <w:tc>
          <w:tcPr>
            <w:tcW w:w="1745" w:type="dxa"/>
            <w:gridSpan w:val="4"/>
            <w:tcBorders/>
            <w:shd w:fill="702076" w:val="clear"/>
            <w:vAlign w:val="center"/>
          </w:tcPr>
          <w:p>
            <w:pPr>
              <w:pStyle w:val="TableContents"/>
              <w:bidi w:val="0"/>
              <w:spacing w:before="0" w:after="0"/>
              <w:jc w:val="center"/>
              <w:rPr/>
            </w:pPr>
            <w:r>
              <w:rPr>
                <w:spacing w:val="2"/>
              </w:rPr>
              <w:t xml:space="preserve">Compensation </w:t>
              <w:br/>
              <w:t xml:space="preserve">Actually Paid </w:t>
              <w:br/>
              <w:t xml:space="preserve">to Former </w:t>
              <w:br/>
              <w:t>Interim PEO</w:t>
            </w:r>
            <w:r>
              <w:rPr/>
              <w:t xml:space="preserve"> </w:t>
            </w:r>
          </w:p>
        </w:tc>
        <w:tc>
          <w:tcPr>
            <w:tcW w:w="109" w:type="dxa"/>
            <w:tcBorders/>
            <w:shd w:fill="702076" w:val="clear"/>
            <w:vAlign w:val="center"/>
          </w:tcPr>
          <w:p>
            <w:pPr>
              <w:pStyle w:val="TableContents"/>
              <w:bidi w:val="0"/>
              <w:spacing w:before="0" w:after="283"/>
              <w:jc w:val="left"/>
              <w:rPr/>
            </w:pPr>
            <w:r>
              <w:rPr/>
              <w:t>​</w:t>
            </w:r>
          </w:p>
        </w:tc>
        <w:tc>
          <w:tcPr>
            <w:tcW w:w="16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704"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2024 </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57" w:type="dxa"/>
            <w:tcBorders>
              <w:bottom w:val="single" w:sz="6" w:space="0" w:color="702076"/>
            </w:tcBorders>
            <w:tcMar>
              <w:bottom w:w="28" w:type="dxa"/>
            </w:tcMar>
            <w:vAlign w:val="center"/>
          </w:tcPr>
          <w:p>
            <w:pPr>
              <w:pStyle w:val="TableContents"/>
              <w:bidi w:val="0"/>
              <w:spacing w:before="0" w:after="283"/>
              <w:jc w:val="left"/>
              <w:rPr/>
            </w:pPr>
            <w:r>
              <w:rPr/>
              <w:t>​</w:t>
            </w:r>
          </w:p>
        </w:tc>
        <w:tc>
          <w:tcPr>
            <w:tcW w:w="327" w:type="dxa"/>
            <w:tcBorders>
              <w:bottom w:val="single" w:sz="6" w:space="0" w:color="702076"/>
            </w:tcBorders>
            <w:tcMar>
              <w:bottom w:w="51" w:type="dxa"/>
            </w:tcMar>
            <w:vAlign w:val="center"/>
          </w:tcPr>
          <w:p>
            <w:pPr>
              <w:pStyle w:val="TableContents"/>
              <w:bidi w:val="0"/>
              <w:spacing w:before="0" w:after="283"/>
              <w:jc w:val="right"/>
              <w:rPr/>
            </w:pPr>
            <w:r>
              <w:rPr/>
              <w:t>$</w:t>
            </w:r>
          </w:p>
        </w:tc>
        <w:tc>
          <w:tcPr>
            <w:tcW w:w="1288" w:type="dxa"/>
            <w:tcBorders>
              <w:bottom w:val="single" w:sz="6" w:space="0" w:color="702076"/>
            </w:tcBorders>
            <w:tcMar>
              <w:bottom w:w="51" w:type="dxa"/>
            </w:tcMar>
            <w:vAlign w:val="center"/>
          </w:tcPr>
          <w:p>
            <w:pPr>
              <w:pStyle w:val="TableContents"/>
              <w:bidi w:val="0"/>
              <w:spacing w:before="0" w:after="283"/>
              <w:jc w:val="right"/>
              <w:rPr/>
            </w:pPr>
            <w:r>
              <w:rPr/>
              <w:t>827,104</w:t>
            </w:r>
          </w:p>
        </w:tc>
        <w:tc>
          <w:tcPr>
            <w:tcW w:w="160"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304" w:type="dxa"/>
            <w:tcBorders>
              <w:bottom w:val="single" w:sz="6" w:space="0" w:color="702076"/>
            </w:tcBorders>
            <w:tcMar>
              <w:bottom w:w="51" w:type="dxa"/>
            </w:tcMar>
            <w:vAlign w:val="center"/>
          </w:tcPr>
          <w:p>
            <w:pPr>
              <w:pStyle w:val="TableContents"/>
              <w:bidi w:val="0"/>
              <w:spacing w:before="0" w:after="283"/>
              <w:jc w:val="right"/>
              <w:rPr/>
            </w:pPr>
            <w:r>
              <w:rPr/>
              <w:t>-$</w:t>
            </w:r>
          </w:p>
        </w:tc>
        <w:tc>
          <w:tcPr>
            <w:tcW w:w="1083" w:type="dxa"/>
            <w:tcBorders>
              <w:bottom w:val="single" w:sz="6" w:space="0" w:color="702076"/>
            </w:tcBorders>
            <w:tcMar>
              <w:bottom w:w="51" w:type="dxa"/>
            </w:tcMar>
            <w:vAlign w:val="center"/>
          </w:tcPr>
          <w:p>
            <w:pPr>
              <w:pStyle w:val="TableContents"/>
              <w:bidi w:val="0"/>
              <w:spacing w:before="0" w:after="283"/>
              <w:jc w:val="right"/>
              <w:rPr/>
            </w:pPr>
            <w:r>
              <w:rPr/>
              <w:t>312,813</w:t>
            </w:r>
          </w:p>
        </w:tc>
        <w:tc>
          <w:tcPr>
            <w:tcW w:w="133"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30" w:type="dxa"/>
            <w:tcBorders>
              <w:bottom w:val="single" w:sz="6" w:space="0" w:color="702076"/>
            </w:tcBorders>
            <w:tcMar>
              <w:bottom w:w="28" w:type="dxa"/>
            </w:tcMar>
            <w:vAlign w:val="center"/>
          </w:tcPr>
          <w:p>
            <w:pPr>
              <w:pStyle w:val="TableContents"/>
              <w:bidi w:val="0"/>
              <w:spacing w:before="0" w:after="283"/>
              <w:jc w:val="left"/>
              <w:rPr/>
            </w:pPr>
            <w:r>
              <w:rPr/>
              <w:t>​</w:t>
            </w:r>
          </w:p>
        </w:tc>
        <w:tc>
          <w:tcPr>
            <w:tcW w:w="272" w:type="dxa"/>
            <w:tcBorders>
              <w:bottom w:val="single" w:sz="6" w:space="0" w:color="702076"/>
            </w:tcBorders>
            <w:tcMar>
              <w:bottom w:w="51" w:type="dxa"/>
            </w:tcMar>
            <w:vAlign w:val="center"/>
          </w:tcPr>
          <w:p>
            <w:pPr>
              <w:pStyle w:val="TableContents"/>
              <w:bidi w:val="0"/>
              <w:spacing w:before="0" w:after="283"/>
              <w:jc w:val="right"/>
              <w:rPr/>
            </w:pPr>
            <w:r>
              <w:rPr/>
              <w:t>$</w:t>
            </w:r>
          </w:p>
        </w:tc>
        <w:tc>
          <w:tcPr>
            <w:tcW w:w="1073" w:type="dxa"/>
            <w:tcBorders>
              <w:bottom w:val="single" w:sz="6" w:space="0" w:color="702076"/>
            </w:tcBorders>
            <w:tcMar>
              <w:bottom w:w="51" w:type="dxa"/>
            </w:tcMar>
            <w:vAlign w:val="center"/>
          </w:tcPr>
          <w:p>
            <w:pPr>
              <w:pStyle w:val="TableContents"/>
              <w:bidi w:val="0"/>
              <w:spacing w:before="0" w:after="283"/>
              <w:jc w:val="right"/>
              <w:rPr/>
            </w:pPr>
            <w:r>
              <w:rPr/>
              <w:t>316,577</w:t>
            </w:r>
          </w:p>
        </w:tc>
        <w:tc>
          <w:tcPr>
            <w:tcW w:w="134"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2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26" w:type="dxa"/>
            <w:tcBorders>
              <w:bottom w:val="single" w:sz="6" w:space="0" w:color="702076"/>
            </w:tcBorders>
            <w:tcMar>
              <w:bottom w:w="28" w:type="dxa"/>
            </w:tcMar>
            <w:vAlign w:val="center"/>
          </w:tcPr>
          <w:p>
            <w:pPr>
              <w:pStyle w:val="TableContents"/>
              <w:bidi w:val="0"/>
              <w:spacing w:before="0" w:after="283"/>
              <w:jc w:val="left"/>
              <w:rPr/>
            </w:pPr>
            <w:r>
              <w:rPr/>
              <w:t>​</w:t>
            </w:r>
          </w:p>
        </w:tc>
        <w:tc>
          <w:tcPr>
            <w:tcW w:w="142" w:type="dxa"/>
            <w:tcBorders>
              <w:bottom w:val="single" w:sz="6" w:space="0" w:color="702076"/>
            </w:tcBorders>
            <w:tcMar>
              <w:bottom w:w="28" w:type="dxa"/>
            </w:tcMar>
            <w:vAlign w:val="center"/>
          </w:tcPr>
          <w:p>
            <w:pPr>
              <w:pStyle w:val="TableContents"/>
              <w:bidi w:val="0"/>
              <w:spacing w:before="0" w:after="283"/>
              <w:jc w:val="left"/>
              <w:rPr/>
            </w:pPr>
            <w:r>
              <w:rPr/>
              <w:t>​</w:t>
            </w:r>
          </w:p>
        </w:tc>
        <w:tc>
          <w:tcPr>
            <w:tcW w:w="296" w:type="dxa"/>
            <w:tcBorders>
              <w:bottom w:val="single" w:sz="6" w:space="0" w:color="702076"/>
            </w:tcBorders>
            <w:tcMar>
              <w:bottom w:w="51" w:type="dxa"/>
            </w:tcMar>
            <w:vAlign w:val="center"/>
          </w:tcPr>
          <w:p>
            <w:pPr>
              <w:pStyle w:val="TableContents"/>
              <w:bidi w:val="0"/>
              <w:spacing w:before="0" w:after="283"/>
              <w:jc w:val="right"/>
              <w:rPr/>
            </w:pPr>
            <w:r>
              <w:rPr/>
              <w:t>$</w:t>
            </w:r>
          </w:p>
        </w:tc>
        <w:tc>
          <w:tcPr>
            <w:tcW w:w="1163" w:type="dxa"/>
            <w:tcBorders>
              <w:bottom w:val="single" w:sz="6" w:space="0" w:color="702076"/>
            </w:tcBorders>
            <w:tcMar>
              <w:bottom w:w="51" w:type="dxa"/>
            </w:tcMar>
            <w:vAlign w:val="center"/>
          </w:tcPr>
          <w:p>
            <w:pPr>
              <w:pStyle w:val="TableContents"/>
              <w:bidi w:val="0"/>
              <w:spacing w:before="0" w:after="283"/>
              <w:jc w:val="right"/>
              <w:rPr/>
            </w:pPr>
            <w:r>
              <w:rPr/>
              <w:t>830,868</w:t>
            </w:r>
          </w:p>
        </w:tc>
        <w:tc>
          <w:tcPr>
            <w:tcW w:w="1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9155" w:type="dxa"/>
            <w:gridSpan w:val="29"/>
            <w:tcBorders>
              <w:bottom w:val="single" w:sz="6" w:space="0" w:color="702076"/>
            </w:tcBorders>
            <w:shd w:fill="D8D8D8" w:val="clear"/>
            <w:tcMar>
              <w:bottom w:w="51"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aggregate grant-date fair value of awards reported in the “Stock Awards” and “Option Awards” columns in the Summary Compensation Table for the applicable year. </w:t>
            </w:r>
            <w:r>
              <mc:AlternateContent>
                <mc:Choice Requires="wps">
                  <w:drawing>
                    <wp:anchor behindDoc="0" distT="0" distB="0" distL="0" distR="0" simplePos="0" locked="0" layoutInCell="1" allowOverlap="1" relativeHeight="687">
                      <wp:simplePos x="0" y="0"/>
                      <wp:positionH relativeFrom="column">
                        <wp:align>left</wp:align>
                      </wp:positionH>
                      <wp:positionV relativeFrom="line">
                        <wp:posOffset>635</wp:posOffset>
                      </wp:positionV>
                      <wp:extent cx="203200" cy="525780"/>
                      <wp:effectExtent l="0" t="0" r="0" b="0"/>
                      <wp:wrapSquare wrapText="right"/>
                      <wp:docPr id="489" name="Frame33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pPr>
            <w:r>
              <w:rPr>
                <w:spacing w:val="2"/>
              </w:rPr>
              <w:t>The equity award adjustments reflected in this column were calculated as follows:</w:t>
            </w:r>
            <w:r>
              <w:rPr/>
              <w:t xml:space="preserve"> </w:t>
            </w:r>
            <w:r>
              <mc:AlternateContent>
                <mc:Choice Requires="wps">
                  <w:drawing>
                    <wp:anchor behindDoc="0" distT="20320" distB="0" distL="0" distR="0" simplePos="0" locked="0" layoutInCell="1" allowOverlap="1" relativeHeight="688">
                      <wp:simplePos x="0" y="0"/>
                      <wp:positionH relativeFrom="column">
                        <wp:align>left</wp:align>
                      </wp:positionH>
                      <wp:positionV relativeFrom="line">
                        <wp:align>top</wp:align>
                      </wp:positionV>
                      <wp:extent cx="203200" cy="525780"/>
                      <wp:effectExtent l="0" t="0" r="0" b="0"/>
                      <wp:wrapSquare wrapText="right"/>
                      <wp:docPr id="490" name="Frame33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bl>
    <w:tbl>
      <w:tblPr>
        <w:tblW w:w="12063"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886"/>
        <w:gridCol w:w="109"/>
        <w:gridCol w:w="109"/>
        <w:gridCol w:w="109"/>
        <w:gridCol w:w="109"/>
        <w:gridCol w:w="207"/>
        <w:gridCol w:w="207"/>
        <w:gridCol w:w="658"/>
        <w:gridCol w:w="209"/>
        <w:gridCol w:w="109"/>
        <w:gridCol w:w="109"/>
        <w:gridCol w:w="109"/>
        <w:gridCol w:w="143"/>
        <w:gridCol w:w="143"/>
        <w:gridCol w:w="453"/>
        <w:gridCol w:w="144"/>
        <w:gridCol w:w="109"/>
        <w:gridCol w:w="109"/>
        <w:gridCol w:w="109"/>
        <w:gridCol w:w="109"/>
        <w:gridCol w:w="226"/>
        <w:gridCol w:w="766"/>
        <w:gridCol w:w="109"/>
        <w:gridCol w:w="109"/>
        <w:gridCol w:w="109"/>
        <w:gridCol w:w="109"/>
        <w:gridCol w:w="187"/>
        <w:gridCol w:w="187"/>
        <w:gridCol w:w="595"/>
        <w:gridCol w:w="190"/>
        <w:gridCol w:w="109"/>
        <w:gridCol w:w="109"/>
        <w:gridCol w:w="109"/>
        <w:gridCol w:w="241"/>
        <w:gridCol w:w="241"/>
        <w:gridCol w:w="767"/>
        <w:gridCol w:w="244"/>
        <w:gridCol w:w="109"/>
        <w:gridCol w:w="109"/>
        <w:gridCol w:w="109"/>
        <w:gridCol w:w="109"/>
        <w:gridCol w:w="226"/>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592" w:type="dxa"/>
            <w:tcBorders/>
            <w:shd w:fill="702076" w:val="clear"/>
            <w:vAlign w:val="center"/>
          </w:tcPr>
          <w:p>
            <w:pPr>
              <w:pStyle w:val="TableContents"/>
              <w:bidi w:val="0"/>
              <w:spacing w:before="0" w:after="0"/>
              <w:jc w:val="left"/>
              <w:rPr>
                <w:spacing w:val="2"/>
              </w:rPr>
            </w:pPr>
            <w:r>
              <w:rPr>
                <w:spacing w:val="2"/>
              </w:rPr>
              <w:t xml:space="preserve">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before="0" w:after="0"/>
              <w:jc w:val="center"/>
              <w:rPr>
                <w:spacing w:val="2"/>
              </w:rPr>
            </w:pPr>
            <w:r>
              <w:rPr>
                <w:spacing w:val="2"/>
              </w:rPr>
              <w:t xml:space="preserve">Year End </w:t>
              <w:br/>
              <w:t xml:space="preserve">Fair Value </w:t>
              <w:br/>
              <w:t xml:space="preserve">of Outstanding </w:t>
              <w:br/>
              <w:t xml:space="preserve">and Unvested </w:t>
              <w:br/>
              <w:t xml:space="preserve">Equity Awards </w:t>
              <w:br/>
              <w:t xml:space="preserve">Granted in the </w:t>
              <w:br/>
              <w:t xml:space="preserve">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81" w:type="dxa"/>
            <w:gridSpan w:val="4"/>
            <w:tcBorders/>
            <w:shd w:fill="702076" w:val="clear"/>
            <w:vAlign w:val="center"/>
          </w:tcPr>
          <w:p>
            <w:pPr>
              <w:pStyle w:val="TableContents"/>
              <w:bidi w:val="0"/>
              <w:spacing w:before="0" w:after="0"/>
              <w:jc w:val="center"/>
              <w:rPr>
                <w:spacing w:val="2"/>
              </w:rPr>
            </w:pPr>
            <w:r>
              <w:rPr>
                <w:spacing w:val="2"/>
              </w:rPr>
              <w:t xml:space="preserve">Change in </w:t>
              <w:br/>
              <w:t xml:space="preserve">Fair Value of </w:t>
              <w:br/>
              <w:t xml:space="preserve">Equity Awards </w:t>
              <w:br/>
              <w:t xml:space="preserve">Granted in Prior </w:t>
              <w:br/>
              <w:t xml:space="preserve">Years that </w:t>
              <w:br/>
              <w:t xml:space="preserve">Remain </w:t>
              <w:br/>
              <w:t xml:space="preserve">Outstanding </w:t>
              <w:br/>
              <w:t xml:space="preserve">and Unvested </w:t>
              <w:br/>
              <w:t xml:space="preserve">as of Year </w:t>
              <w:br/>
              <w:t xml:space="preserve">End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883" w:type="dxa"/>
            <w:gridSpan w:val="4"/>
            <w:tcBorders/>
            <w:shd w:fill="702076" w:val="clear"/>
            <w:vAlign w:val="center"/>
          </w:tcPr>
          <w:p>
            <w:pPr>
              <w:pStyle w:val="TableContents"/>
              <w:bidi w:val="0"/>
              <w:spacing w:before="0" w:after="0"/>
              <w:jc w:val="center"/>
              <w:rPr>
                <w:spacing w:val="2"/>
              </w:rPr>
            </w:pPr>
            <w:r>
              <w:rPr>
                <w:spacing w:val="2"/>
              </w:rPr>
              <w:t xml:space="preserve">Fair Value </w:t>
              <w:br/>
              <w:t xml:space="preserve">as of Vesting </w:t>
              <w:br/>
              <w:t xml:space="preserve">Date of Equity </w:t>
              <w:br/>
              <w:t xml:space="preserve">Awards Granted </w:t>
              <w:br/>
              <w:t xml:space="preserve">and Vested </w:t>
              <w:br/>
              <w:t xml:space="preserve">in 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0" w:type="dxa"/>
            <w:gridSpan w:val="4"/>
            <w:tcBorders/>
            <w:shd w:fill="702076" w:val="clear"/>
            <w:vAlign w:val="center"/>
          </w:tcPr>
          <w:p>
            <w:pPr>
              <w:pStyle w:val="TableContents"/>
              <w:bidi w:val="0"/>
              <w:spacing w:before="0" w:after="0"/>
              <w:jc w:val="center"/>
              <w:rPr>
                <w:spacing w:val="2"/>
              </w:rPr>
            </w:pPr>
            <w:r>
              <w:rPr>
                <w:spacing w:val="2"/>
              </w:rPr>
              <w:t xml:space="preserve">Change in </w:t>
              <w:br/>
              <w:t xml:space="preserve">Fair Value </w:t>
              <w:br/>
              <w:t xml:space="preserve">of Equity </w:t>
              <w:br/>
              <w:t xml:space="preserve">Awards </w:t>
              <w:br/>
              <w:t xml:space="preserve">Granted </w:t>
              <w:br/>
              <w:t xml:space="preserve">in Prior </w:t>
              <w:br/>
              <w:t xml:space="preserve">Years that </w:t>
              <w:br/>
              <w:t xml:space="preserve">Vested </w:t>
              <w:br/>
              <w:t xml:space="preserve">in 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159" w:type="dxa"/>
            <w:gridSpan w:val="4"/>
            <w:tcBorders/>
            <w:shd w:fill="702076" w:val="clear"/>
            <w:vAlign w:val="center"/>
          </w:tcPr>
          <w:p>
            <w:pPr>
              <w:pStyle w:val="TableContents"/>
              <w:bidi w:val="0"/>
              <w:spacing w:before="0" w:after="0"/>
              <w:jc w:val="center"/>
              <w:rPr>
                <w:spacing w:val="2"/>
              </w:rPr>
            </w:pPr>
            <w:r>
              <w:rPr>
                <w:spacing w:val="2"/>
              </w:rPr>
              <w:t xml:space="preserve">Fair Value </w:t>
              <w:br/>
              <w:t xml:space="preserve">at the End of </w:t>
              <w:br/>
              <w:t xml:space="preserve">the Prior Year </w:t>
              <w:br/>
              <w:t xml:space="preserve">of Equity </w:t>
              <w:br/>
              <w:t xml:space="preserve">Awards that </w:t>
              <w:br/>
              <w:t xml:space="preserve">Failed to </w:t>
              <w:br/>
              <w:t xml:space="preserve">Meet Vesting </w:t>
              <w:br/>
              <w:t xml:space="preserve">Conditions </w:t>
              <w:br/>
              <w:t xml:space="preserve">in the 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93" w:type="dxa"/>
            <w:gridSpan w:val="4"/>
            <w:tcBorders/>
            <w:shd w:fill="702076" w:val="clear"/>
            <w:vAlign w:val="center"/>
          </w:tcPr>
          <w:p>
            <w:pPr>
              <w:pStyle w:val="TableContents"/>
              <w:bidi w:val="0"/>
              <w:spacing w:before="0" w:after="0"/>
              <w:jc w:val="center"/>
              <w:rPr>
                <w:spacing w:val="2"/>
              </w:rPr>
            </w:pPr>
            <w:r>
              <w:rPr>
                <w:spacing w:val="2"/>
              </w:rPr>
              <w:t xml:space="preserve">Value of </w:t>
              <w:br/>
              <w:t xml:space="preserve">Dividends </w:t>
              <w:br/>
              <w:t xml:space="preserve">or other </w:t>
              <w:br/>
              <w:t xml:space="preserve">Earnings Paid </w:t>
              <w:br/>
              <w:t xml:space="preserve">on Stock or </w:t>
              <w:br/>
              <w:t xml:space="preserve">Option Awards </w:t>
              <w:br/>
              <w:t xml:space="preserve">not Otherwise </w:t>
              <w:br/>
              <w:t xml:space="preserve">Reflected in </w:t>
              <w:br/>
              <w:t xml:space="preserve">Fair Value </w:t>
              <w:br/>
              <w:t xml:space="preserve">or Total </w:t>
              <w:br/>
              <w:t xml:space="preserve">Compensation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30" w:type="dxa"/>
            <w:gridSpan w:val="4"/>
            <w:tcBorders/>
            <w:shd w:fill="702076" w:val="clear"/>
            <w:vAlign w:val="center"/>
          </w:tcPr>
          <w:p>
            <w:pPr>
              <w:pStyle w:val="TableContents"/>
              <w:bidi w:val="0"/>
              <w:spacing w:before="0" w:after="0"/>
              <w:jc w:val="center"/>
              <w:rPr/>
            </w:pPr>
            <w:r>
              <w:rPr>
                <w:spacing w:val="2"/>
              </w:rPr>
              <w:t xml:space="preserve">Total </w:t>
              <w:br/>
              <w:t xml:space="preserve">Equity Award </w:t>
              <w:br/>
              <w:t>Adjustments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92" w:type="dxa"/>
            <w:tcBorders>
              <w:bottom w:val="single" w:sz="6" w:space="0" w:color="702076"/>
            </w:tcBorders>
            <w:tcMar>
              <w:bottom w:w="43"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272,025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07" w:type="dxa"/>
            <w:tcBorders>
              <w:bottom w:val="single" w:sz="6" w:space="0" w:color="702076"/>
            </w:tcBorders>
            <w:tcMar>
              <w:bottom w:w="28" w:type="dxa"/>
            </w:tcMar>
            <w:vAlign w:val="center"/>
          </w:tcPr>
          <w:p>
            <w:pPr>
              <w:pStyle w:val="TableContents"/>
              <w:bidi w:val="0"/>
              <w:spacing w:before="0" w:after="283"/>
              <w:jc w:val="left"/>
              <w:rPr/>
            </w:pPr>
            <w:r>
              <w:rPr/>
              <w:t>​</w:t>
            </w:r>
          </w:p>
        </w:tc>
        <w:tc>
          <w:tcPr>
            <w:tcW w:w="207" w:type="dxa"/>
            <w:tcBorders>
              <w:bottom w:val="single" w:sz="6" w:space="0" w:color="702076"/>
            </w:tcBorders>
            <w:tcMar>
              <w:bottom w:w="43" w:type="dxa"/>
            </w:tcMar>
            <w:vAlign w:val="center"/>
          </w:tcPr>
          <w:p>
            <w:pPr>
              <w:pStyle w:val="TableContents"/>
              <w:bidi w:val="0"/>
              <w:spacing w:before="0" w:after="283"/>
              <w:jc w:val="right"/>
              <w:rPr/>
            </w:pPr>
            <w:r>
              <w:rPr/>
              <w:t>​</w:t>
            </w:r>
          </w:p>
        </w:tc>
        <w:tc>
          <w:tcPr>
            <w:tcW w:w="658" w:type="dxa"/>
            <w:tcBorders>
              <w:bottom w:val="single" w:sz="6" w:space="0" w:color="702076"/>
            </w:tcBorders>
            <w:tcMar>
              <w:bottom w:w="43" w:type="dxa"/>
            </w:tcMar>
            <w:vAlign w:val="center"/>
          </w:tcPr>
          <w:p>
            <w:pPr>
              <w:pStyle w:val="TableContents"/>
              <w:bidi w:val="0"/>
              <w:spacing w:before="0" w:after="283"/>
              <w:jc w:val="right"/>
              <w:rPr/>
            </w:pPr>
            <w:r>
              <w:rPr/>
              <w:t>—</w:t>
            </w:r>
          </w:p>
        </w:tc>
        <w:tc>
          <w:tcPr>
            <w:tcW w:w="2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43" w:type="dxa"/>
            </w:tcMar>
            <w:vAlign w:val="center"/>
          </w:tcPr>
          <w:p>
            <w:pPr>
              <w:pStyle w:val="TableContents"/>
              <w:bidi w:val="0"/>
              <w:spacing w:before="0" w:after="283"/>
              <w:jc w:val="right"/>
              <w:rPr/>
            </w:pPr>
            <w:r>
              <w:rPr/>
              <w:t>​</w:t>
            </w:r>
          </w:p>
        </w:tc>
        <w:tc>
          <w:tcPr>
            <w:tcW w:w="453" w:type="dxa"/>
            <w:tcBorders>
              <w:bottom w:val="single" w:sz="6" w:space="0" w:color="702076"/>
            </w:tcBorders>
            <w:tcMar>
              <w:bottom w:w="43" w:type="dxa"/>
            </w:tcMar>
            <w:vAlign w:val="center"/>
          </w:tcPr>
          <w:p>
            <w:pPr>
              <w:pStyle w:val="TableContents"/>
              <w:bidi w:val="0"/>
              <w:spacing w:before="0" w:after="283"/>
              <w:jc w:val="right"/>
              <w:rPr/>
            </w:pPr>
            <w:r>
              <w:rPr/>
              <w:t>—</w:t>
            </w:r>
          </w:p>
        </w:tc>
        <w:tc>
          <w:tcPr>
            <w:tcW w:w="1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766" w:type="dxa"/>
            <w:tcBorders>
              <w:bottom w:val="single" w:sz="6" w:space="0" w:color="702076"/>
            </w:tcBorders>
            <w:tcMar>
              <w:bottom w:w="43" w:type="dxa"/>
            </w:tcMar>
            <w:vAlign w:val="center"/>
          </w:tcPr>
          <w:p>
            <w:pPr>
              <w:pStyle w:val="TableContents"/>
              <w:bidi w:val="0"/>
              <w:spacing w:before="0" w:after="283"/>
              <w:jc w:val="right"/>
              <w:rPr/>
            </w:pPr>
            <w:r>
              <w:rPr/>
              <w:t>44,552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87" w:type="dxa"/>
            <w:tcBorders>
              <w:bottom w:val="single" w:sz="6" w:space="0" w:color="702076"/>
            </w:tcBorders>
            <w:tcMar>
              <w:bottom w:w="28" w:type="dxa"/>
            </w:tcMar>
            <w:vAlign w:val="center"/>
          </w:tcPr>
          <w:p>
            <w:pPr>
              <w:pStyle w:val="TableContents"/>
              <w:bidi w:val="0"/>
              <w:spacing w:before="0" w:after="283"/>
              <w:jc w:val="left"/>
              <w:rPr/>
            </w:pPr>
            <w:r>
              <w:rPr/>
              <w:t>​</w:t>
            </w:r>
          </w:p>
        </w:tc>
        <w:tc>
          <w:tcPr>
            <w:tcW w:w="187" w:type="dxa"/>
            <w:tcBorders>
              <w:bottom w:val="single" w:sz="6" w:space="0" w:color="702076"/>
            </w:tcBorders>
            <w:tcMar>
              <w:bottom w:w="43" w:type="dxa"/>
            </w:tcMar>
            <w:vAlign w:val="center"/>
          </w:tcPr>
          <w:p>
            <w:pPr>
              <w:pStyle w:val="TableContents"/>
              <w:bidi w:val="0"/>
              <w:spacing w:before="0" w:after="283"/>
              <w:jc w:val="right"/>
              <w:rPr/>
            </w:pPr>
            <w:r>
              <w:rPr/>
              <w:t>​</w:t>
            </w:r>
          </w:p>
        </w:tc>
        <w:tc>
          <w:tcPr>
            <w:tcW w:w="595" w:type="dxa"/>
            <w:tcBorders>
              <w:bottom w:val="single" w:sz="6" w:space="0" w:color="702076"/>
            </w:tcBorders>
            <w:tcMar>
              <w:bottom w:w="43" w:type="dxa"/>
            </w:tcMar>
            <w:vAlign w:val="center"/>
          </w:tcPr>
          <w:p>
            <w:pPr>
              <w:pStyle w:val="TableContents"/>
              <w:bidi w:val="0"/>
              <w:spacing w:before="0" w:after="283"/>
              <w:jc w:val="right"/>
              <w:rPr/>
            </w:pPr>
            <w:r>
              <w:rPr/>
              <w:t>—</w:t>
            </w:r>
          </w:p>
        </w:tc>
        <w:tc>
          <w:tcPr>
            <w:tcW w:w="19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43" w:type="dxa"/>
            </w:tcMar>
            <w:vAlign w:val="center"/>
          </w:tcPr>
          <w:p>
            <w:pPr>
              <w:pStyle w:val="TableContents"/>
              <w:bidi w:val="0"/>
              <w:spacing w:before="0" w:after="283"/>
              <w:jc w:val="right"/>
              <w:rPr/>
            </w:pPr>
            <w:r>
              <w:rPr/>
              <w:t>​</w:t>
            </w:r>
          </w:p>
        </w:tc>
        <w:tc>
          <w:tcPr>
            <w:tcW w:w="767" w:type="dxa"/>
            <w:tcBorders>
              <w:bottom w:val="single" w:sz="6" w:space="0" w:color="702076"/>
            </w:tcBorders>
            <w:tcMar>
              <w:bottom w:w="43" w:type="dxa"/>
            </w:tcMar>
            <w:vAlign w:val="center"/>
          </w:tcPr>
          <w:p>
            <w:pPr>
              <w:pStyle w:val="TableContents"/>
              <w:bidi w:val="0"/>
              <w:spacing w:before="0" w:after="283"/>
              <w:jc w:val="right"/>
              <w:rPr/>
            </w:pPr>
            <w:r>
              <w:rPr/>
              <w:t>—</w:t>
            </w:r>
          </w:p>
        </w:tc>
        <w:tc>
          <w:tcPr>
            <w:tcW w:w="2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316,577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91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166" w:type="dxa"/>
            <w:tcBorders/>
            <w:shd w:fill="D8D8D8" w:val="clear"/>
            <w:vAlign w:val="center"/>
          </w:tcPr>
          <w:p>
            <w:pPr>
              <w:pStyle w:val="TableContents"/>
              <w:bidi w:val="0"/>
              <w:spacing w:lineRule="atLeast" w:line="192" w:before="0" w:after="0"/>
              <w:ind w:left="300" w:right="0" w:hanging="0"/>
              <w:jc w:val="both"/>
              <w:rPr>
                <w:spacing w:val="2"/>
              </w:rPr>
            </w:pPr>
            <w:r>
              <w:rPr>
                <w:spacing w:val="2"/>
              </w:rPr>
              <w:t xml:space="preserve">In accordance with the requirements of Item 402(v) of Regulation S-K, the fair values of unvested and outstanding equity awards held by our NEOs were remeasured as of the end of each fiscal year, and as of each vesting date, during 2024. For options, the fair values as of each measurement date were determined using a binomial lattice model, with assumptions and methodologies regarding volatility, dividend yield, and risk-free rates that are generally consistent with those used to estimate fair value at grant under generally accepted accounting principles. The range of estimates used in the option fair value calculations for 2024 are as follows: (i) remaining option contractual life between 1 year – 9.7 years, volatility between 36% – 45%, dividend yield of 0%, and risk-free rate between 4% – 4.5%. For relative TSR PSUs, the fair values as of each measurement date (prior to the end of the performance period) were determined using a Monte Carlo simulation pricing model. For Adjusted Free Cash Flow PSUs (“FCF PSUs”) and Return on Invested Capital PSUS (“ROIC PSUs”), the fair values reflect the probable outcome of the performance vesting conditions as of each measurement date that are consistent with those used to calculate the grant date fair value of such awards, except that the FCF &amp; ROIC PSUs granted in 2022, and the FCF PSUs granted in 2023 assumed below-target payout at the end of 2024, while the FCF &amp; ROIC PSUs granted in 2021, the ROIC PSUs granted in 2023, and the FCF &amp; ROIC PSUs granted in 2024 assumed above-target payout at the end of 2024.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166" w:type="dxa"/>
            <w:tcBorders/>
            <w:shd w:fill="D8D8D8" w:val="clear"/>
            <w:vAlign w:val="center"/>
          </w:tcPr>
          <w:p>
            <w:pPr>
              <w:pStyle w:val="TableContents"/>
              <w:bidi w:val="0"/>
              <w:spacing w:before="122" w:after="283"/>
              <w:ind w:left="0" w:right="0" w:hanging="0"/>
              <w:jc w:val="left"/>
              <w:rPr>
                <w:bdr w:val="single" w:sz="8" w:space="1" w:color="000000"/>
              </w:rPr>
            </w:pPr>
            <w:r>
              <w:rPr>
                <w:bdr w:val="single" w:sz="8" w:space="1" w:color="000000"/>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9166" w:type="dxa"/>
            <w:tcBorders>
              <w:bottom w:val="single" w:sz="6" w:space="0" w:color="702076"/>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total compensation reported for LivaNova’s NEOs (excluding Mr. Makatsaria who is currently serving as PEO, Mr. Kozy who served as interim PEO for parts of 2023 and 2024, and Mr. McDonald who served as PEO in 2020, 2021, 2022, and part of 2023) in the “Total” column in the “Summary Compensation Table” for each corresponding year. The NEOs whose compensation was included for purposes of calculating the average amounts in each applicable year in this column are as follows: (i) for 2024, Messrs. Shvartsburg, Hutchinson, Poletti, and Tezel and Ms. Hebbelinck, (ii) for 2023, Messrs. Shvartsburg, Dolci, and Hutchinson, and Ms. Hebbelinck; (iii) for 2022, Messrs. Shvartsburg and Dolci and Mses. Skeffington and Hebbelinck; (iv) for 2021, Messrs. Shvartsburg and Dolci and Mses. Skeffington and Hebbelinck; and (v) for 2020, Messrs. Huston, Shvartsburg, Dolci, and Khoury, and Ms. Skeffington. </w:t>
            </w:r>
            <w:r>
              <mc:AlternateContent>
                <mc:Choice Requires="wps">
                  <w:drawing>
                    <wp:anchor behindDoc="0" distT="0" distB="0" distL="0" distR="0" simplePos="0" locked="0" layoutInCell="1" allowOverlap="1" relativeHeight="689">
                      <wp:simplePos x="0" y="0"/>
                      <wp:positionH relativeFrom="column">
                        <wp:align>left</wp:align>
                      </wp:positionH>
                      <wp:positionV relativeFrom="line">
                        <wp:posOffset>635</wp:posOffset>
                      </wp:positionV>
                      <wp:extent cx="203200" cy="525780"/>
                      <wp:effectExtent l="0" t="0" r="0" b="0"/>
                      <wp:wrapSquare wrapText="right"/>
                      <wp:docPr id="491" name="Frame33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represent average “compensation actually paid” to the non-CEO NEOs as a group by applying the following adjustments to each NEO’s total compensation for each year, as computed in accordance with Item 402(v). The dollar amounts do not reflect the actual amount of compensation earned by or paid to each NEO during the applicable year.</w:t>
            </w:r>
            <w:r>
              <w:rPr/>
              <w:t xml:space="preserve"> </w:t>
            </w:r>
            <w:r>
              <mc:AlternateContent>
                <mc:Choice Requires="wps">
                  <w:drawing>
                    <wp:anchor behindDoc="0" distT="20320" distB="0" distL="0" distR="0" simplePos="0" locked="0" layoutInCell="1" allowOverlap="1" relativeHeight="690">
                      <wp:simplePos x="0" y="0"/>
                      <wp:positionH relativeFrom="column">
                        <wp:align>left</wp:align>
                      </wp:positionH>
                      <wp:positionV relativeFrom="line">
                        <wp:align>top</wp:align>
                      </wp:positionV>
                      <wp:extent cx="203200" cy="525780"/>
                      <wp:effectExtent l="0" t="0" r="0" b="0"/>
                      <wp:wrapSquare wrapText="right"/>
                      <wp:docPr id="492" name="Frame33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8837" w:type="dxa"/>
        <w:jc w:val="left"/>
        <w:tblInd w:w="543" w:type="dxa"/>
        <w:tblLayout w:type="fixed"/>
        <w:tblCellMar>
          <w:top w:w="0" w:type="dxa"/>
          <w:left w:w="0" w:type="dxa"/>
          <w:bottom w:w="0" w:type="dxa"/>
          <w:right w:w="0" w:type="dxa"/>
        </w:tblCellMar>
      </w:tblPr>
      <w:tblGrid>
        <w:gridCol w:w="124"/>
        <w:gridCol w:w="109"/>
        <w:gridCol w:w="652"/>
        <w:gridCol w:w="109"/>
        <w:gridCol w:w="109"/>
        <w:gridCol w:w="109"/>
        <w:gridCol w:w="116"/>
        <w:gridCol w:w="241"/>
        <w:gridCol w:w="1137"/>
        <w:gridCol w:w="116"/>
        <w:gridCol w:w="109"/>
        <w:gridCol w:w="109"/>
        <w:gridCol w:w="109"/>
        <w:gridCol w:w="116"/>
        <w:gridCol w:w="320"/>
        <w:gridCol w:w="1135"/>
        <w:gridCol w:w="116"/>
        <w:gridCol w:w="109"/>
        <w:gridCol w:w="109"/>
        <w:gridCol w:w="109"/>
        <w:gridCol w:w="124"/>
        <w:gridCol w:w="259"/>
        <w:gridCol w:w="1021"/>
        <w:gridCol w:w="128"/>
        <w:gridCol w:w="109"/>
        <w:gridCol w:w="109"/>
        <w:gridCol w:w="109"/>
        <w:gridCol w:w="112"/>
        <w:gridCol w:w="232"/>
        <w:gridCol w:w="1096"/>
        <w:gridCol w:w="112"/>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652" w:type="dxa"/>
            <w:tcBorders/>
            <w:shd w:fill="702076" w:val="clear"/>
            <w:vAlign w:val="center"/>
          </w:tcPr>
          <w:p>
            <w:pPr>
              <w:pStyle w:val="TableContents"/>
              <w:bidi w:val="0"/>
              <w:spacing w:before="0" w:after="0"/>
              <w:jc w:val="left"/>
              <w:rPr>
                <w:spacing w:val="2"/>
              </w:rPr>
            </w:pPr>
            <w:r>
              <w:rPr>
                <w:spacing w:val="2"/>
              </w:rPr>
              <w:t xml:space="preserve">Year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610" w:type="dxa"/>
            <w:gridSpan w:val="4"/>
            <w:tcBorders/>
            <w:shd w:fill="702076" w:val="clear"/>
            <w:vAlign w:val="center"/>
          </w:tcPr>
          <w:p>
            <w:pPr>
              <w:pStyle w:val="TableContents"/>
              <w:bidi w:val="0"/>
              <w:spacing w:before="0" w:after="0"/>
              <w:jc w:val="center"/>
              <w:rPr>
                <w:spacing w:val="2"/>
              </w:rPr>
            </w:pPr>
            <w:r>
              <w:rPr>
                <w:spacing w:val="2"/>
              </w:rPr>
              <w:t xml:space="preserve">Average </w:t>
              <w:br/>
              <w:t xml:space="preserve">Reported </w:t>
              <w:br/>
              <w:t xml:space="preserve">Summary </w:t>
              <w:br/>
              <w:t xml:space="preserve">Compensation </w:t>
              <w:br/>
              <w:t xml:space="preserve">Table Total for </w:t>
              <w:br/>
              <w:t xml:space="preserve">Non-PEO </w:t>
              <w:br/>
              <w:t xml:space="preserve">NEOs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687" w:type="dxa"/>
            <w:gridSpan w:val="4"/>
            <w:tcBorders/>
            <w:shd w:fill="702076" w:val="clear"/>
            <w:vAlign w:val="center"/>
          </w:tcPr>
          <w:p>
            <w:pPr>
              <w:pStyle w:val="TableContents"/>
              <w:bidi w:val="0"/>
              <w:spacing w:before="0" w:after="0"/>
              <w:jc w:val="center"/>
              <w:rPr>
                <w:spacing w:val="2"/>
              </w:rPr>
            </w:pPr>
            <w:r>
              <w:rPr>
                <w:spacing w:val="2"/>
              </w:rPr>
              <w:t xml:space="preserve">Average </w:t>
              <w:br/>
              <w:t xml:space="preserve">Reported Value </w:t>
              <w:br/>
              <w:t xml:space="preserve">of Equity </w:t>
              <w:br/>
              <w:t xml:space="preserve">Awards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32" w:type="dxa"/>
            <w:gridSpan w:val="4"/>
            <w:tcBorders/>
            <w:shd w:fill="702076" w:val="clear"/>
            <w:vAlign w:val="center"/>
          </w:tcPr>
          <w:p>
            <w:pPr>
              <w:pStyle w:val="TableContents"/>
              <w:bidi w:val="0"/>
              <w:spacing w:lineRule="atLeast" w:line="142" w:before="0" w:after="0"/>
              <w:jc w:val="center"/>
              <w:rPr/>
            </w:pPr>
            <w:r>
              <w:rPr>
                <w:spacing w:val="2"/>
              </w:rPr>
              <w:t xml:space="preserve">Average </w:t>
              <w:br/>
              <w:t xml:space="preserve">Equity Award </w:t>
              <w:br/>
              <w:t>Adjustments</w:t>
            </w:r>
            <w:r>
              <w:rPr>
                <w:spacing w:val="1"/>
                <w:sz w:val="10"/>
              </w:rPr>
              <w:t>(a)</w:t>
            </w:r>
            <w:r>
              <w:rP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2" w:type="dxa"/>
            <w:gridSpan w:val="4"/>
            <w:tcBorders/>
            <w:shd w:fill="702076" w:val="clear"/>
            <w:vAlign w:val="center"/>
          </w:tcPr>
          <w:p>
            <w:pPr>
              <w:pStyle w:val="TableContents"/>
              <w:bidi w:val="0"/>
              <w:spacing w:before="0" w:after="0"/>
              <w:jc w:val="center"/>
              <w:rPr/>
            </w:pPr>
            <w:r>
              <w:rPr>
                <w:spacing w:val="2"/>
              </w:rPr>
              <w:t xml:space="preserve">Average </w:t>
              <w:br/>
              <w:t xml:space="preserve">Compensation </w:t>
              <w:br/>
              <w:t xml:space="preserve">Actually Paid </w:t>
              <w:br/>
              <w:t xml:space="preserve">to Non-PEO </w:t>
              <w:br/>
              <w:t>NEOs</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652" w:type="dxa"/>
            <w:tcBorders>
              <w:bottom w:val="single" w:sz="6" w:space="0" w:color="702076"/>
            </w:tcBorders>
            <w:tcMar>
              <w:bottom w:w="51"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6"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51" w:type="dxa"/>
            </w:tcMar>
            <w:vAlign w:val="center"/>
          </w:tcPr>
          <w:p>
            <w:pPr>
              <w:pStyle w:val="TableContents"/>
              <w:bidi w:val="0"/>
              <w:spacing w:before="0" w:after="283"/>
              <w:jc w:val="right"/>
              <w:rPr/>
            </w:pPr>
            <w:r>
              <w:rPr/>
              <w:t>$</w:t>
            </w:r>
          </w:p>
        </w:tc>
        <w:tc>
          <w:tcPr>
            <w:tcW w:w="1137" w:type="dxa"/>
            <w:tcBorders>
              <w:bottom w:val="single" w:sz="6" w:space="0" w:color="702076"/>
            </w:tcBorders>
            <w:tcMar>
              <w:bottom w:w="51" w:type="dxa"/>
            </w:tcMar>
            <w:vAlign w:val="center"/>
          </w:tcPr>
          <w:p>
            <w:pPr>
              <w:pStyle w:val="TableContents"/>
              <w:bidi w:val="0"/>
              <w:spacing w:before="0" w:after="283"/>
              <w:jc w:val="right"/>
              <w:rPr/>
            </w:pPr>
            <w:r>
              <w:rPr/>
              <w:t>2,544,386</w:t>
            </w:r>
          </w:p>
        </w:tc>
        <w:tc>
          <w:tcPr>
            <w:tcW w:w="116"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6" w:type="dxa"/>
            <w:tcBorders>
              <w:bottom w:val="single" w:sz="6" w:space="0" w:color="702076"/>
            </w:tcBorders>
            <w:tcMar>
              <w:bottom w:w="28" w:type="dxa"/>
            </w:tcMar>
            <w:vAlign w:val="center"/>
          </w:tcPr>
          <w:p>
            <w:pPr>
              <w:pStyle w:val="TableContents"/>
              <w:bidi w:val="0"/>
              <w:spacing w:before="0" w:after="283"/>
              <w:jc w:val="left"/>
              <w:rPr/>
            </w:pPr>
            <w:r>
              <w:rPr/>
              <w:t>​</w:t>
            </w:r>
          </w:p>
        </w:tc>
        <w:tc>
          <w:tcPr>
            <w:tcW w:w="320" w:type="dxa"/>
            <w:tcBorders>
              <w:bottom w:val="single" w:sz="6" w:space="0" w:color="702076"/>
            </w:tcBorders>
            <w:tcMar>
              <w:bottom w:w="51" w:type="dxa"/>
            </w:tcMar>
            <w:vAlign w:val="center"/>
          </w:tcPr>
          <w:p>
            <w:pPr>
              <w:pStyle w:val="TableContents"/>
              <w:bidi w:val="0"/>
              <w:spacing w:before="0" w:after="283"/>
              <w:jc w:val="right"/>
              <w:rPr/>
            </w:pPr>
            <w:r>
              <w:rPr/>
              <w:t>-$</w:t>
            </w:r>
          </w:p>
        </w:tc>
        <w:tc>
          <w:tcPr>
            <w:tcW w:w="1135" w:type="dxa"/>
            <w:tcBorders>
              <w:bottom w:val="single" w:sz="6" w:space="0" w:color="702076"/>
            </w:tcBorders>
            <w:tcMar>
              <w:bottom w:w="51" w:type="dxa"/>
            </w:tcMar>
            <w:vAlign w:val="center"/>
          </w:tcPr>
          <w:p>
            <w:pPr>
              <w:pStyle w:val="TableContents"/>
              <w:bidi w:val="0"/>
              <w:spacing w:before="0" w:after="283"/>
              <w:jc w:val="right"/>
              <w:rPr/>
            </w:pPr>
            <w:r>
              <w:rPr/>
              <w:t>1,467,904</w:t>
            </w:r>
          </w:p>
        </w:tc>
        <w:tc>
          <w:tcPr>
            <w:tcW w:w="116"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24" w:type="dxa"/>
            <w:tcBorders>
              <w:bottom w:val="single" w:sz="6" w:space="0" w:color="702076"/>
            </w:tcBorders>
            <w:tcMar>
              <w:bottom w:w="28" w:type="dxa"/>
            </w:tcMar>
            <w:vAlign w:val="center"/>
          </w:tcPr>
          <w:p>
            <w:pPr>
              <w:pStyle w:val="TableContents"/>
              <w:bidi w:val="0"/>
              <w:spacing w:before="0" w:after="283"/>
              <w:jc w:val="left"/>
              <w:rPr/>
            </w:pPr>
            <w:r>
              <w:rPr/>
              <w:t>​</w:t>
            </w:r>
          </w:p>
        </w:tc>
        <w:tc>
          <w:tcPr>
            <w:tcW w:w="259" w:type="dxa"/>
            <w:tcBorders>
              <w:bottom w:val="single" w:sz="6" w:space="0" w:color="702076"/>
            </w:tcBorders>
            <w:tcMar>
              <w:bottom w:w="51" w:type="dxa"/>
            </w:tcMar>
            <w:vAlign w:val="center"/>
          </w:tcPr>
          <w:p>
            <w:pPr>
              <w:pStyle w:val="TableContents"/>
              <w:bidi w:val="0"/>
              <w:spacing w:before="0" w:after="283"/>
              <w:jc w:val="right"/>
              <w:rPr/>
            </w:pPr>
            <w:r>
              <w:rPr/>
              <w:t>$</w:t>
            </w:r>
          </w:p>
        </w:tc>
        <w:tc>
          <w:tcPr>
            <w:tcW w:w="1021" w:type="dxa"/>
            <w:tcBorders>
              <w:bottom w:val="single" w:sz="6" w:space="0" w:color="702076"/>
            </w:tcBorders>
            <w:tcMar>
              <w:bottom w:w="51" w:type="dxa"/>
            </w:tcMar>
            <w:vAlign w:val="center"/>
          </w:tcPr>
          <w:p>
            <w:pPr>
              <w:pStyle w:val="TableContents"/>
              <w:bidi w:val="0"/>
              <w:spacing w:before="0" w:after="283"/>
              <w:jc w:val="right"/>
              <w:rPr/>
            </w:pPr>
            <w:r>
              <w:rPr/>
              <w:t>860,874</w:t>
            </w:r>
          </w:p>
        </w:tc>
        <w:tc>
          <w:tcPr>
            <w:tcW w:w="128"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2" w:type="dxa"/>
            <w:tcBorders>
              <w:bottom w:val="single" w:sz="6" w:space="0" w:color="702076"/>
            </w:tcBorders>
            <w:tcMar>
              <w:bottom w:w="28" w:type="dxa"/>
            </w:tcMar>
            <w:vAlign w:val="center"/>
          </w:tcPr>
          <w:p>
            <w:pPr>
              <w:pStyle w:val="TableContents"/>
              <w:bidi w:val="0"/>
              <w:spacing w:before="0" w:after="283"/>
              <w:jc w:val="left"/>
              <w:rPr/>
            </w:pPr>
            <w:r>
              <w:rPr/>
              <w:t>​</w:t>
            </w:r>
          </w:p>
        </w:tc>
        <w:tc>
          <w:tcPr>
            <w:tcW w:w="232" w:type="dxa"/>
            <w:tcBorders>
              <w:bottom w:val="single" w:sz="6" w:space="0" w:color="702076"/>
            </w:tcBorders>
            <w:tcMar>
              <w:bottom w:w="51" w:type="dxa"/>
            </w:tcMar>
            <w:vAlign w:val="center"/>
          </w:tcPr>
          <w:p>
            <w:pPr>
              <w:pStyle w:val="TableContents"/>
              <w:bidi w:val="0"/>
              <w:spacing w:before="0" w:after="283"/>
              <w:jc w:val="right"/>
              <w:rPr/>
            </w:pPr>
            <w:r>
              <w:rPr/>
              <w:t>$</w:t>
            </w:r>
          </w:p>
        </w:tc>
        <w:tc>
          <w:tcPr>
            <w:tcW w:w="1096" w:type="dxa"/>
            <w:tcBorders>
              <w:bottom w:val="single" w:sz="6" w:space="0" w:color="702076"/>
            </w:tcBorders>
            <w:tcMar>
              <w:bottom w:w="51" w:type="dxa"/>
            </w:tcMar>
            <w:vAlign w:val="center"/>
          </w:tcPr>
          <w:p>
            <w:pPr>
              <w:pStyle w:val="TableContents"/>
              <w:bidi w:val="0"/>
              <w:spacing w:before="0" w:after="283"/>
              <w:jc w:val="right"/>
              <w:rPr/>
            </w:pPr>
            <w:r>
              <w:rPr/>
              <w:t>1,937,356</w:t>
            </w:r>
          </w:p>
        </w:tc>
        <w:tc>
          <w:tcPr>
            <w:tcW w:w="112"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341" w:type="dxa"/>
            <w:gridSpan w:val="29"/>
            <w:tcBorders>
              <w:bottom w:val="single" w:sz="6" w:space="0" w:color="702076"/>
            </w:tcBorders>
            <w:shd w:fill="D8D8D8" w:val="clear"/>
            <w:tcMar>
              <w:bottom w:w="51" w:type="dxa"/>
            </w:tcMar>
            <w:vAlign w:val="center"/>
          </w:tcPr>
          <w:p>
            <w:pPr>
              <w:pStyle w:val="TableContents"/>
              <w:bidi w:val="0"/>
              <w:spacing w:lineRule="atLeast" w:line="160" w:before="0" w:after="0"/>
              <w:ind w:left="320" w:right="0" w:hanging="0"/>
              <w:jc w:val="left"/>
              <w:rPr/>
            </w:pPr>
            <w:r>
              <w:rPr>
                <w:spacing w:val="2"/>
              </w:rPr>
              <w:t>The equity award adjustments reflected in this column were calculated as follows:</w:t>
            </w:r>
            <w:r>
              <w:rPr/>
              <w:t xml:space="preserve"> </w:t>
            </w:r>
            <w:r>
              <mc:AlternateContent>
                <mc:Choice Requires="wps">
                  <w:drawing>
                    <wp:anchor behindDoc="0" distT="0" distB="0" distL="0" distR="0" simplePos="0" locked="0" layoutInCell="1" allowOverlap="1" relativeHeight="691">
                      <wp:simplePos x="0" y="0"/>
                      <wp:positionH relativeFrom="column">
                        <wp:align>left</wp:align>
                      </wp:positionH>
                      <wp:positionV relativeFrom="line">
                        <wp:posOffset>635</wp:posOffset>
                      </wp:positionV>
                      <wp:extent cx="203200" cy="525780"/>
                      <wp:effectExtent l="0" t="0" r="0" b="0"/>
                      <wp:wrapSquare wrapText="right"/>
                      <wp:docPr id="493" name="Frame33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49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55" descr=""/>
                          <pic:cNvPicPr>
                            <a:picLocks noChangeAspect="1" noChangeArrowheads="1"/>
                          </pic:cNvPicPr>
                        </pic:nvPicPr>
                        <pic:blipFill>
                          <a:blip r:embed="rId156"/>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67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FFFFFF"/>
        </w:rPr>
      </w:pPr>
      <w:r>
        <w:rPr>
          <w:caps w:val="false"/>
          <w:smallCaps w:val="false"/>
          <w:color w:val="FFFFFF"/>
        </w:rPr>
        <w:drawing>
          <wp:inline distT="0" distB="0" distL="0" distR="0">
            <wp:extent cx="1219200" cy="1181100"/>
            <wp:effectExtent l="0" t="0" r="0" b="0"/>
            <wp:docPr id="49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156" descr=""/>
                    <pic:cNvPicPr>
                      <a:picLocks noChangeAspect="1" noChangeArrowheads="1"/>
                    </pic:cNvPicPr>
                  </pic:nvPicPr>
                  <pic:blipFill>
                    <a:blip r:embed="rId157"/>
                    <a:stretch>
                      <a:fillRect/>
                    </a:stretch>
                  </pic:blipFill>
                  <pic:spPr bwMode="auto">
                    <a:xfrm>
                      <a:off x="0" y="0"/>
                      <a:ext cx="1219200" cy="1181100"/>
                    </a:xfrm>
                    <a:prstGeom prst="rect">
                      <a:avLst/>
                    </a:prstGeom>
                  </pic:spPr>
                </pic:pic>
              </a:graphicData>
            </a:graphic>
          </wp:inline>
        </w:drawing>
      </w:r>
      <w:r>
        <w:rPr>
          <w:caps w:val="false"/>
          <w:smallCaps w:val="false"/>
          <w:color w:val="FFFFFF"/>
        </w:rPr>
        <w:t xml:space="preserve"> </w:t>
      </w:r>
    </w:p>
    <w:tbl>
      <w:tblPr>
        <w:tblW w:w="12583"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1066"/>
        <w:gridCol w:w="109"/>
        <w:gridCol w:w="109"/>
        <w:gridCol w:w="109"/>
        <w:gridCol w:w="109"/>
        <w:gridCol w:w="109"/>
        <w:gridCol w:w="226"/>
        <w:gridCol w:w="886"/>
        <w:gridCol w:w="109"/>
        <w:gridCol w:w="109"/>
        <w:gridCol w:w="109"/>
        <w:gridCol w:w="109"/>
        <w:gridCol w:w="143"/>
        <w:gridCol w:w="143"/>
        <w:gridCol w:w="453"/>
        <w:gridCol w:w="144"/>
        <w:gridCol w:w="109"/>
        <w:gridCol w:w="109"/>
        <w:gridCol w:w="109"/>
        <w:gridCol w:w="109"/>
        <w:gridCol w:w="226"/>
        <w:gridCol w:w="886"/>
        <w:gridCol w:w="109"/>
        <w:gridCol w:w="109"/>
        <w:gridCol w:w="109"/>
        <w:gridCol w:w="109"/>
        <w:gridCol w:w="109"/>
        <w:gridCol w:w="226"/>
        <w:gridCol w:w="886"/>
        <w:gridCol w:w="109"/>
        <w:gridCol w:w="109"/>
        <w:gridCol w:w="109"/>
        <w:gridCol w:w="109"/>
        <w:gridCol w:w="241"/>
        <w:gridCol w:w="241"/>
        <w:gridCol w:w="767"/>
        <w:gridCol w:w="244"/>
        <w:gridCol w:w="109"/>
        <w:gridCol w:w="109"/>
        <w:gridCol w:w="109"/>
        <w:gridCol w:w="109"/>
        <w:gridCol w:w="226"/>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592" w:type="dxa"/>
            <w:tcBorders>
              <w:bottom w:val="single" w:sz="2" w:space="0" w:color="000000"/>
            </w:tcBorders>
            <w:shd w:fill="702076" w:val="clear"/>
            <w:tcMar>
              <w:bottom w:w="43" w:type="dxa"/>
            </w:tcMar>
            <w:vAlign w:val="center"/>
          </w:tcPr>
          <w:p>
            <w:pPr>
              <w:pStyle w:val="TableContents"/>
              <w:bidi w:val="0"/>
              <w:spacing w:before="0" w:after="0"/>
              <w:jc w:val="left"/>
              <w:rPr>
                <w:spacing w:val="2"/>
              </w:rPr>
            </w:pPr>
            <w:r>
              <w:rPr>
                <w:spacing w:val="2"/>
              </w:rPr>
              <w:t xml:space="preserve">Year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Year End </w:t>
              <w:br/>
              <w:t xml:space="preserve">Fair Value </w:t>
              <w:br/>
              <w:t xml:space="preserve">of Outstanding </w:t>
              <w:br/>
              <w:t xml:space="preserve">and Unvested </w:t>
              <w:br/>
              <w:t xml:space="preserve">Equity Awards </w:t>
              <w:br/>
              <w:t xml:space="preserve">Granted in </w:t>
              <w:br/>
              <w:t xml:space="preserve">the Year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Change in </w:t>
              <w:br/>
              <w:t xml:space="preserve">Fair Value </w:t>
              <w:br/>
              <w:t xml:space="preserve">of Equity </w:t>
              <w:br/>
              <w:t xml:space="preserve">Awards </w:t>
              <w:br/>
              <w:t xml:space="preserve">Granted in </w:t>
              <w:br/>
              <w:t xml:space="preserve">Prior Years </w:t>
              <w:br/>
              <w:t xml:space="preserve">that Remain </w:t>
              <w:br/>
              <w:t xml:space="preserve">Outstanding </w:t>
              <w:br/>
              <w:t xml:space="preserve">and Unvested </w:t>
              <w:br/>
              <w:t xml:space="preserve">as of Year End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Fair Value </w:t>
              <w:br/>
              <w:t xml:space="preserve">as of Vesting </w:t>
              <w:br/>
              <w:t xml:space="preserve">Date of </w:t>
              <w:br/>
              <w:t xml:space="preserve">Equity </w:t>
              <w:br/>
              <w:t xml:space="preserve">Awards </w:t>
              <w:br/>
              <w:t xml:space="preserve">Granted </w:t>
              <w:br/>
              <w:t xml:space="preserve">and Vested </w:t>
              <w:br/>
              <w:t xml:space="preserve">in the Year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Change in </w:t>
              <w:br/>
              <w:t xml:space="preserve">Fair Value of </w:t>
              <w:br/>
              <w:t xml:space="preserve">Equity Awards </w:t>
              <w:br/>
              <w:t xml:space="preserve">Granted in </w:t>
              <w:br/>
              <w:t xml:space="preserve">Prior Years </w:t>
              <w:br/>
              <w:t xml:space="preserve">that Vested </w:t>
              <w:br/>
              <w:t xml:space="preserve">in the Year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Fair Value </w:t>
              <w:br/>
              <w:t xml:space="preserve">at the End </w:t>
              <w:br/>
              <w:t xml:space="preserve">of the Prior </w:t>
              <w:br/>
              <w:t xml:space="preserve">Year of Equity </w:t>
              <w:br/>
              <w:t xml:space="preserve">Awards that </w:t>
              <w:br/>
              <w:t xml:space="preserve">Failed to </w:t>
              <w:br/>
              <w:t xml:space="preserve">Meet Vesting </w:t>
              <w:br/>
              <w:t xml:space="preserve">Conditions </w:t>
              <w:br/>
              <w:t xml:space="preserve">in the Year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493" w:type="dxa"/>
            <w:gridSpan w:val="4"/>
            <w:tcBorders>
              <w:bottom w:val="single" w:sz="2" w:space="0" w:color="000000"/>
            </w:tcBorders>
            <w:shd w:fill="702076" w:val="clear"/>
            <w:tcMar>
              <w:bottom w:w="43" w:type="dxa"/>
            </w:tcMar>
            <w:vAlign w:val="center"/>
          </w:tcPr>
          <w:p>
            <w:pPr>
              <w:pStyle w:val="TableContents"/>
              <w:bidi w:val="0"/>
              <w:spacing w:before="0" w:after="0"/>
              <w:jc w:val="center"/>
              <w:rPr>
                <w:spacing w:val="2"/>
              </w:rPr>
            </w:pPr>
            <w:r>
              <w:rPr>
                <w:spacing w:val="2"/>
              </w:rPr>
              <w:t xml:space="preserve">Value of </w:t>
              <w:br/>
              <w:t xml:space="preserve">Dividends or </w:t>
              <w:br/>
              <w:t xml:space="preserve">other Earnings </w:t>
              <w:br/>
              <w:t xml:space="preserve">Paid on Stock </w:t>
              <w:br/>
              <w:t xml:space="preserve">or Option </w:t>
              <w:br/>
              <w:t xml:space="preserve">Awards not </w:t>
              <w:br/>
              <w:t xml:space="preserve">Otherwise </w:t>
              <w:br/>
              <w:t xml:space="preserve">Reflected in </w:t>
              <w:br/>
              <w:t xml:space="preserve">Fair Value </w:t>
              <w:br/>
              <w:t xml:space="preserve">or Total </w:t>
              <w:br/>
              <w:t xml:space="preserve">Compensation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shd w:fill="702076" w:val="clear"/>
            <w:tcMar>
              <w:bottom w:w="43" w:type="dxa"/>
            </w:tcMar>
            <w:vAlign w:val="center"/>
          </w:tcPr>
          <w:p>
            <w:pPr>
              <w:pStyle w:val="TableContents"/>
              <w:bidi w:val="0"/>
              <w:spacing w:before="0" w:after="0"/>
              <w:jc w:val="center"/>
              <w:rPr/>
            </w:pPr>
            <w:r>
              <w:rPr>
                <w:spacing w:val="2"/>
              </w:rPr>
              <w:t xml:space="preserve">Total </w:t>
              <w:br/>
              <w:t xml:space="preserve">Equity </w:t>
              <w:br/>
              <w:t xml:space="preserve">Award </w:t>
              <w:br/>
              <w:t>Adjustments</w:t>
            </w:r>
            <w:r>
              <w:rPr/>
              <w:t xml:space="preserve"> </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592" w:type="dxa"/>
            <w:tcBorders>
              <w:bottom w:val="single" w:sz="6" w:space="0" w:color="702076"/>
            </w:tcBorders>
            <w:tcMar>
              <w:bottom w:w="43" w:type="dxa"/>
            </w:tcMar>
            <w:vAlign w:val="center"/>
          </w:tcPr>
          <w:p>
            <w:pPr>
              <w:pStyle w:val="TableContents"/>
              <w:bidi w:val="0"/>
              <w:spacing w:before="0" w:after="0"/>
              <w:jc w:val="left"/>
              <w:rPr>
                <w:spacing w:val="2"/>
              </w:rPr>
            </w:pPr>
            <w:r>
              <w:rPr>
                <w:spacing w:val="2"/>
              </w:rPr>
              <w:t xml:space="preserve">2024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1066" w:type="dxa"/>
            <w:tcBorders>
              <w:bottom w:val="single" w:sz="6" w:space="0" w:color="702076"/>
            </w:tcBorders>
            <w:tcMar>
              <w:bottom w:w="43" w:type="dxa"/>
            </w:tcMar>
            <w:vAlign w:val="center"/>
          </w:tcPr>
          <w:p>
            <w:pPr>
              <w:pStyle w:val="TableContents"/>
              <w:bidi w:val="0"/>
              <w:spacing w:before="0" w:after="283"/>
              <w:jc w:val="right"/>
              <w:rPr/>
            </w:pPr>
            <w:r>
              <w:rPr/>
              <w:t>1,065,098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150,524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28" w:type="dxa"/>
            </w:tcMar>
            <w:vAlign w:val="center"/>
          </w:tcPr>
          <w:p>
            <w:pPr>
              <w:pStyle w:val="TableContents"/>
              <w:bidi w:val="0"/>
              <w:spacing w:before="0" w:after="283"/>
              <w:jc w:val="left"/>
              <w:rPr/>
            </w:pPr>
            <w:r>
              <w:rPr/>
              <w:t>​</w:t>
            </w:r>
          </w:p>
        </w:tc>
        <w:tc>
          <w:tcPr>
            <w:tcW w:w="143" w:type="dxa"/>
            <w:tcBorders>
              <w:bottom w:val="single" w:sz="6" w:space="0" w:color="702076"/>
            </w:tcBorders>
            <w:tcMar>
              <w:bottom w:w="43" w:type="dxa"/>
            </w:tcMar>
            <w:vAlign w:val="center"/>
          </w:tcPr>
          <w:p>
            <w:pPr>
              <w:pStyle w:val="TableContents"/>
              <w:bidi w:val="0"/>
              <w:spacing w:before="0" w:after="283"/>
              <w:jc w:val="right"/>
              <w:rPr/>
            </w:pPr>
            <w:r>
              <w:rPr/>
              <w:t>​</w:t>
            </w:r>
          </w:p>
        </w:tc>
        <w:tc>
          <w:tcPr>
            <w:tcW w:w="453" w:type="dxa"/>
            <w:tcBorders>
              <w:bottom w:val="single" w:sz="6" w:space="0" w:color="702076"/>
            </w:tcBorders>
            <w:tcMar>
              <w:bottom w:w="43" w:type="dxa"/>
            </w:tcMar>
            <w:vAlign w:val="center"/>
          </w:tcPr>
          <w:p>
            <w:pPr>
              <w:pStyle w:val="TableContents"/>
              <w:bidi w:val="0"/>
              <w:spacing w:before="0" w:after="283"/>
              <w:jc w:val="right"/>
              <w:rPr/>
            </w:pPr>
            <w:r>
              <w:rPr/>
              <w:t>—</w:t>
            </w:r>
          </w:p>
        </w:tc>
        <w:tc>
          <w:tcPr>
            <w:tcW w:w="1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126,925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180,625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28" w:type="dxa"/>
            </w:tcMar>
            <w:vAlign w:val="center"/>
          </w:tcPr>
          <w:p>
            <w:pPr>
              <w:pStyle w:val="TableContents"/>
              <w:bidi w:val="0"/>
              <w:spacing w:before="0" w:after="283"/>
              <w:jc w:val="left"/>
              <w:rPr/>
            </w:pPr>
            <w:r>
              <w:rPr/>
              <w:t>​</w:t>
            </w:r>
          </w:p>
        </w:tc>
        <w:tc>
          <w:tcPr>
            <w:tcW w:w="241" w:type="dxa"/>
            <w:tcBorders>
              <w:bottom w:val="single" w:sz="6" w:space="0" w:color="702076"/>
            </w:tcBorders>
            <w:tcMar>
              <w:bottom w:w="43" w:type="dxa"/>
            </w:tcMar>
            <w:vAlign w:val="center"/>
          </w:tcPr>
          <w:p>
            <w:pPr>
              <w:pStyle w:val="TableContents"/>
              <w:bidi w:val="0"/>
              <w:spacing w:before="0" w:after="283"/>
              <w:jc w:val="right"/>
              <w:rPr/>
            </w:pPr>
            <w:r>
              <w:rPr/>
              <w:t>​</w:t>
            </w:r>
          </w:p>
        </w:tc>
        <w:tc>
          <w:tcPr>
            <w:tcW w:w="767" w:type="dxa"/>
            <w:tcBorders>
              <w:bottom w:val="single" w:sz="6" w:space="0" w:color="702076"/>
            </w:tcBorders>
            <w:tcMar>
              <w:bottom w:w="43" w:type="dxa"/>
            </w:tcMar>
            <w:vAlign w:val="center"/>
          </w:tcPr>
          <w:p>
            <w:pPr>
              <w:pStyle w:val="TableContents"/>
              <w:bidi w:val="0"/>
              <w:spacing w:before="0" w:after="283"/>
              <w:jc w:val="right"/>
              <w:rPr/>
            </w:pPr>
            <w:r>
              <w:rPr/>
              <w:t>—</w:t>
            </w:r>
          </w:p>
        </w:tc>
        <w:tc>
          <w:tcPr>
            <w:tcW w:w="24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43" w:type="dxa"/>
            </w:tcMar>
            <w:vAlign w:val="center"/>
          </w:tcPr>
          <w:p>
            <w:pPr>
              <w:pStyle w:val="TableContents"/>
              <w:bidi w:val="0"/>
              <w:spacing w:before="0" w:after="283"/>
              <w:jc w:val="right"/>
              <w:rPr/>
            </w:pPr>
            <w:r>
              <w:rPr/>
              <w:t>$</w:t>
            </w:r>
          </w:p>
        </w:tc>
        <w:tc>
          <w:tcPr>
            <w:tcW w:w="886" w:type="dxa"/>
            <w:tcBorders>
              <w:bottom w:val="single" w:sz="6" w:space="0" w:color="702076"/>
            </w:tcBorders>
            <w:tcMar>
              <w:bottom w:w="43" w:type="dxa"/>
            </w:tcMar>
            <w:vAlign w:val="center"/>
          </w:tcPr>
          <w:p>
            <w:pPr>
              <w:pStyle w:val="TableContents"/>
              <w:bidi w:val="0"/>
              <w:spacing w:before="0" w:after="283"/>
              <w:jc w:val="right"/>
              <w:rPr/>
            </w:pPr>
            <w:r>
              <w:rPr/>
              <w:t>860,874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91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9166" w:type="dxa"/>
            <w:tcBorders>
              <w:bottom w:val="single" w:sz="6" w:space="0" w:color="702076"/>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The amounts in this column assume the investment of $100 on December 31, 2019 in LivaNova’s common shares traded on the Nasdaq and the reinvestment of all dividends since that date. </w:t>
            </w:r>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203200" cy="525780"/>
                      <wp:effectExtent l="0" t="0" r="0" b="0"/>
                      <wp:wrapSquare wrapText="right"/>
                      <wp:docPr id="496" name="Frame34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amounts in this column assume the investment of $100 on December 31, 2019 in the S&amp;P Healthcare Equipment Index, the peer group used for purposes of the Company’s performance graph pursuant to Item 201(e) of Regulation S-K, and the reinvestment of all dividends since that date. </w:t>
            </w:r>
            <w:r>
              <mc:AlternateContent>
                <mc:Choice Requires="wps">
                  <w:drawing>
                    <wp:anchor behindDoc="0" distT="20320" distB="0" distL="0" distR="0" simplePos="0" locked="0" layoutInCell="1" allowOverlap="1" relativeHeight="693">
                      <wp:simplePos x="0" y="0"/>
                      <wp:positionH relativeFrom="column">
                        <wp:align>left</wp:align>
                      </wp:positionH>
                      <wp:positionV relativeFrom="line">
                        <wp:align>top</wp:align>
                      </wp:positionV>
                      <wp:extent cx="203200" cy="525780"/>
                      <wp:effectExtent l="0" t="0" r="0" b="0"/>
                      <wp:wrapSquare wrapText="right"/>
                      <wp:docPr id="497" name="Frame34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spacing w:val="2"/>
              </w:rPr>
            </w:pPr>
            <w:r>
              <w:rPr>
                <w:spacing w:val="2"/>
              </w:rPr>
              <w:t xml:space="preserve">Amounts reflect the Company’s net income as reported in its audited financial statements for the applicable year. </w:t>
            </w:r>
            <w:r>
              <mc:AlternateContent>
                <mc:Choice Requires="wps">
                  <w:drawing>
                    <wp:anchor behindDoc="0" distT="20320" distB="0" distL="0" distR="0" simplePos="0" locked="0" layoutInCell="1" allowOverlap="1" relativeHeight="694">
                      <wp:simplePos x="0" y="0"/>
                      <wp:positionH relativeFrom="column">
                        <wp:align>left</wp:align>
                      </wp:positionH>
                      <wp:positionV relativeFrom="line">
                        <wp:align>top</wp:align>
                      </wp:positionV>
                      <wp:extent cx="203200" cy="525780"/>
                      <wp:effectExtent l="0" t="0" r="0" b="0"/>
                      <wp:wrapSquare wrapText="right"/>
                      <wp:docPr id="498" name="Frame34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reflect Adjusted Operating Income as the Company-Selected Measure. The Company defines Adjusted Operating Income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w:t>
            </w:r>
            <w:r>
              <w:rPr/>
              <w:t xml:space="preserve"> </w:t>
            </w:r>
            <w:r>
              <mc:AlternateContent>
                <mc:Choice Requires="wps">
                  <w:drawing>
                    <wp:anchor behindDoc="0" distT="20320" distB="0" distL="0" distR="0" simplePos="0" locked="0" layoutInCell="1" allowOverlap="1" relativeHeight="695">
                      <wp:simplePos x="0" y="0"/>
                      <wp:positionH relativeFrom="column">
                        <wp:align>left</wp:align>
                      </wp:positionH>
                      <wp:positionV relativeFrom="line">
                        <wp:align>top</wp:align>
                      </wp:positionV>
                      <wp:extent cx="203200" cy="525780"/>
                      <wp:effectExtent l="0" t="0" r="0" b="0"/>
                      <wp:wrapSquare wrapText="right"/>
                      <wp:docPr id="499" name="Frame34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(10)</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68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0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157" descr=""/>
                          <pic:cNvPicPr>
                            <a:picLocks noChangeAspect="1" noChangeArrowheads="1"/>
                          </pic:cNvPicPr>
                        </pic:nvPicPr>
                        <pic:blipFill>
                          <a:blip r:embed="rId158"/>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0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158" descr=""/>
                    <pic:cNvPicPr>
                      <a:picLocks noChangeAspect="1" noChangeArrowheads="1"/>
                    </pic:cNvPicPr>
                  </pic:nvPicPr>
                  <pic:blipFill>
                    <a:blip r:embed="rId159"/>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3991"/>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Pay vs. Performance Table Discussion and Analysis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the requirements of Item 402(v) of Regulation S-K, we are providing the following charts to describe the relationships between information presented in the Pay vs. Performance table.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(CAP) for CEOs and Non-CEO NEOs (Average) vs. Cumulative TSR of Company and the Peer Group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following chart shows the relationship between Compensation Actually Paid to our CEOs and the average Compensation Actually Paid to our non-CEO NEOs relative to the Company’s TSR as well as the TSR of our performance graph peer group. As the chart demonstrates, historically, Compensation Actually Paid has been directionally aligned with the movement of our TSR, predominantly as a result of the fact that a substantial portion of executive officer compensation is in the form of long-term incentives where value is tied directly to the Company’s share price. In 2024, Compensation Actually Paid reflects the impact of Mr. Kozy service as Interim CEO until February 29, 2024 as well as the pay for Mr. Makatsaria’s service as CEO starting on March 1, 2024.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38850" cy="2790825"/>
            <wp:effectExtent l="0" t="0" r="0" b="0"/>
            <wp:docPr id="50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59" descr=""/>
                    <pic:cNvPicPr>
                      <a:picLocks noChangeAspect="1" noChangeArrowheads="1"/>
                    </pic:cNvPicPr>
                  </pic:nvPicPr>
                  <pic:blipFill>
                    <a:blip r:embed="rId160"/>
                    <a:stretch>
                      <a:fillRect/>
                    </a:stretch>
                  </pic:blipFill>
                  <pic:spPr bwMode="auto">
                    <a:xfrm>
                      <a:off x="0" y="0"/>
                      <a:ext cx="603885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0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160" descr=""/>
                          <pic:cNvPicPr>
                            <a:picLocks noChangeAspect="1" noChangeArrowheads="1"/>
                          </pic:cNvPicPr>
                        </pic:nvPicPr>
                        <pic:blipFill>
                          <a:blip r:embed="rId16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69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0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161" descr=""/>
                    <pic:cNvPicPr>
                      <a:picLocks noChangeAspect="1" noChangeArrowheads="1"/>
                    </pic:cNvPicPr>
                  </pic:nvPicPr>
                  <pic:blipFill>
                    <a:blip r:embed="rId16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5831"/>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for CEOs and Non-CEO NEOs (Average) vs. Net Income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chart shows the relationship between net income and Compensation Actually Paid to our CEOs and the average Compensation Actually Paid to our non-CEO NEOs. Net income does not play a direct role in determining compensation for our short- and long-term incentive plans. To the extent that net income drives stock price performance and returns value to our shareholders, we would expect net income to impact compensation through the equity instruments included in our long-term incentive plan.</w:t>
      </w:r>
      <w:r>
        <w:rPr>
          <w:rFonts w:ascii="Tahoma;Geneva;sans-serif" w:hAnsi="Tahoma;Genev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38850" cy="2790825"/>
            <wp:effectExtent l="0" t="0" r="0" b="0"/>
            <wp:docPr id="50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162" descr=""/>
                    <pic:cNvPicPr>
                      <a:picLocks noChangeAspect="1" noChangeArrowheads="1"/>
                    </pic:cNvPicPr>
                  </pic:nvPicPr>
                  <pic:blipFill>
                    <a:blip r:embed="rId163"/>
                    <a:stretch>
                      <a:fillRect/>
                    </a:stretch>
                  </pic:blipFill>
                  <pic:spPr bwMode="auto">
                    <a:xfrm>
                      <a:off x="0" y="0"/>
                      <a:ext cx="603885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70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0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163" descr=""/>
                          <pic:cNvPicPr>
                            <a:picLocks noChangeAspect="1" noChangeArrowheads="1"/>
                          </pic:cNvPicPr>
                        </pic:nvPicPr>
                        <pic:blipFill>
                          <a:blip r:embed="rId164"/>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0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164" descr=""/>
                    <pic:cNvPicPr>
                      <a:picLocks noChangeAspect="1" noChangeArrowheads="1"/>
                    </pic:cNvPicPr>
                  </pic:nvPicPr>
                  <pic:blipFill>
                    <a:blip r:embed="rId165"/>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1711"/>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for CEOs and Non-CEO NEOs (Average) vs. Adjusted Operating Income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chart shows the relationship between adjusted operating income and Compensation Actually Paid to our CEOs and the average Compensation Actually Paid to our non-CEO NEOs. Adjusted operating income is one of the two financial metrics of our short-term incentive plan and is one of the factors that the CHCM Committee considers when reviewing the compensation of our NEOs annually. Although there was meaningful correlation between CAP and adjusted net income for 2020 and 2021, Compensation Actually Paid in 2022 decreased significantly relative to 2021 despite a significant improvement in adjusted net income in 2022. In a volatile stock market, the CAP for our NEOs is strongly impacted by LivaNova’s stock price, which aligns with shareholders’ interests, although the stock price at the end of 2022 did not necessarily reflect the Company’s improved adjusted net income performance. In 2023 and 2024, the stock price decrease was not nearly as steep as in 2022, causing the CAP to increase as well.</w:t>
      </w:r>
      <w:r>
        <w:rPr>
          <w:rFonts w:ascii="Tahoma;Geneva;sans-serif" w:hAnsi="Tahoma;Genev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38850" cy="2790825"/>
            <wp:effectExtent l="0" t="0" r="0" b="0"/>
            <wp:docPr id="50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165" descr=""/>
                    <pic:cNvPicPr>
                      <a:picLocks noChangeAspect="1" noChangeArrowheads="1"/>
                    </pic:cNvPicPr>
                  </pic:nvPicPr>
                  <pic:blipFill>
                    <a:blip r:embed="rId166"/>
                    <a:stretch>
                      <a:fillRect/>
                    </a:stretch>
                  </pic:blipFill>
                  <pic:spPr bwMode="auto">
                    <a:xfrm>
                      <a:off x="0" y="0"/>
                      <a:ext cx="603885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Most Important Company Performance Measures for Determining Executive Compensation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most important financial performance measures used by LivaNova to link executive compensation to company performance during fiscal year 2024 were: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Net Sales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96">
                <wp:simplePos x="0" y="0"/>
                <wp:positionH relativeFrom="column">
                  <wp:align>left</wp:align>
                </wp:positionH>
                <wp:positionV relativeFrom="line">
                  <wp:align>top</wp:align>
                </wp:positionV>
                <wp:extent cx="228600" cy="350520"/>
                <wp:effectExtent l="0" t="0" r="0" b="0"/>
                <wp:wrapSquare wrapText="right"/>
                <wp:docPr id="509" name="Frame3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Adjusted Operating Income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97">
                <wp:simplePos x="0" y="0"/>
                <wp:positionH relativeFrom="column">
                  <wp:align>left</wp:align>
                </wp:positionH>
                <wp:positionV relativeFrom="line">
                  <wp:align>top</wp:align>
                </wp:positionV>
                <wp:extent cx="228600" cy="350520"/>
                <wp:effectExtent l="0" t="0" r="0" b="0"/>
                <wp:wrapSquare wrapText="right"/>
                <wp:docPr id="510" name="Frame3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Relative TSR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98">
                <wp:simplePos x="0" y="0"/>
                <wp:positionH relativeFrom="column">
                  <wp:align>left</wp:align>
                </wp:positionH>
                <wp:positionV relativeFrom="line">
                  <wp:align>top</wp:align>
                </wp:positionV>
                <wp:extent cx="228600" cy="350520"/>
                <wp:effectExtent l="0" t="0" r="0" b="0"/>
                <wp:wrapSquare wrapText="right"/>
                <wp:docPr id="511" name="Frame3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Free Cash Flow</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699">
                <wp:simplePos x="0" y="0"/>
                <wp:positionH relativeFrom="column">
                  <wp:align>left</wp:align>
                </wp:positionH>
                <wp:positionV relativeFrom="line">
                  <wp:align>top</wp:align>
                </wp:positionV>
                <wp:extent cx="228600" cy="350520"/>
                <wp:effectExtent l="0" t="0" r="0" b="0"/>
                <wp:wrapSquare wrapText="right"/>
                <wp:docPr id="512" name="Frame3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Return on Invested Capital</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00">
                <wp:simplePos x="0" y="0"/>
                <wp:positionH relativeFrom="column">
                  <wp:align>left</wp:align>
                </wp:positionH>
                <wp:positionV relativeFrom="line">
                  <wp:align>top</wp:align>
                </wp:positionV>
                <wp:extent cx="228600" cy="350520"/>
                <wp:effectExtent l="0" t="0" r="0" b="0"/>
                <wp:wrapSquare wrapText="right"/>
                <wp:docPr id="513" name="Frame3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1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166" descr=""/>
                          <pic:cNvPicPr>
                            <a:picLocks noChangeAspect="1" noChangeArrowheads="1"/>
                          </pic:cNvPicPr>
                        </pic:nvPicPr>
                        <pic:blipFill>
                          <a:blip r:embed="rId16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71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NPTB"/>
      <w:bookmarkEnd w:id="28"/>
      <w:r>
        <w:rPr>
          <w:rFonts w:ascii="calibri;arial;sans-serif" w:hAnsi="calibri;arial;sans-serif"/>
          <w:b w:val="false"/>
          <w:i w:val="false"/>
          <w:caps w:val="false"/>
          <w:smallCaps w:val="false"/>
          <w:color w:val="000000"/>
          <w:sz w:val="16"/>
        </w:rPr>
        <w:t>​</w:t>
      </w:r>
      <w:bookmarkStart w:id="29" w:name="tPROP1"/>
      <w:bookmarkEnd w:id="29"/>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1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167" descr=""/>
                    <pic:cNvPicPr>
                      <a:picLocks noChangeAspect="1" noChangeArrowheads="1"/>
                    </pic:cNvPicPr>
                  </pic:nvPicPr>
                  <pic:blipFill>
                    <a:blip r:embed="rId16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7122" w:type="dxa"/>
        <w:jc w:val="left"/>
        <w:tblInd w:w="1173" w:type="dxa"/>
        <w:tblLayout w:type="fixed"/>
        <w:tblCellMar>
          <w:top w:w="0" w:type="dxa"/>
          <w:left w:w="0" w:type="dxa"/>
          <w:bottom w:w="0" w:type="dxa"/>
          <w:right w:w="0" w:type="dxa"/>
        </w:tblCellMar>
      </w:tblPr>
      <w:tblGrid>
        <w:gridCol w:w="124"/>
        <w:gridCol w:w="6844"/>
        <w:gridCol w:w="154"/>
      </w:tblGrid>
      <w:tr>
        <w:trPr/>
        <w:tc>
          <w:tcPr>
            <w:tcW w:w="124" w:type="dxa"/>
            <w:tcBorders/>
            <w:shd w:fill="702076" w:val="clear"/>
            <w:vAlign w:val="center"/>
          </w:tcPr>
          <w:p>
            <w:pPr>
              <w:pStyle w:val="TableContents"/>
              <w:bidi w:val="0"/>
              <w:spacing w:before="0" w:after="283"/>
              <w:jc w:val="left"/>
              <w:rPr/>
            </w:pPr>
            <w:r>
              <w:rPr/>
              <w:t>​</w:t>
            </w:r>
          </w:p>
        </w:tc>
        <w:tc>
          <w:tcPr>
            <w:tcW w:w="6844" w:type="dxa"/>
            <w:tcBorders/>
            <w:shd w:fill="702076" w:val="clear"/>
            <w:vAlign w:val="center"/>
          </w:tcPr>
          <w:p>
            <w:pPr>
              <w:pStyle w:val="TableContents"/>
              <w:bidi w:val="0"/>
              <w:spacing w:lineRule="atLeast" w:line="240" w:before="0" w:after="0"/>
              <w:jc w:val="center"/>
              <w:rPr/>
            </w:pPr>
            <w:r>
              <w:rPr>
                <w:spacing w:val="14"/>
              </w:rPr>
              <w:t>NOTICE PROPOSALS TO BE ACTED UPON AT THE AGM</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Further details on the proposals to be acted upon at the AGM are presented in the following section of this proxy statement.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1 — Election of Directors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525"/>
        <w:gridCol w:w="109"/>
        <w:gridCol w:w="109"/>
        <w:gridCol w:w="109"/>
        <w:gridCol w:w="268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525" w:type="dxa"/>
            <w:tcBorders>
              <w:bottom w:val="single" w:sz="8" w:space="0" w:color="702076"/>
            </w:tcBorders>
            <w:tcMar>
              <w:bottom w:w="107" w:type="dxa"/>
            </w:tcMar>
            <w:vAlign w:val="center"/>
          </w:tcPr>
          <w:p>
            <w:pPr>
              <w:pStyle w:val="TableContents"/>
              <w:bidi w:val="0"/>
              <w:spacing w:before="0" w:after="0"/>
              <w:jc w:val="both"/>
              <w:rPr/>
            </w:pPr>
            <w:r>
              <w:rPr>
                <w:spacing w:val="2"/>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Board’s established process for director selection begins with an assessment of LivaNova’s strategic objectives and the skills, experience and qualifications needed to further those objectives. Through that process, the Board has determined that its nominees for election as directors at the AGM collectively represent the best mix of experience, qualifications, and skills to further the long-term interests of all shareholders.</w:t>
            </w:r>
            <w:r>
              <w:rPr/>
              <w:t xml:space="preserve"> </w:t>
            </w:r>
          </w:p>
          <w:p>
            <w:pPr>
              <w:pStyle w:val="TableContents"/>
              <w:bidi w:val="0"/>
              <w:spacing w:before="280" w:after="283"/>
              <w:jc w:val="both"/>
              <w:rPr/>
            </w:pPr>
            <w:r>
              <w:rPr>
                <w:spacing w:val="2"/>
              </w:rPr>
              <w:t>The Board is unclassified. Directors are elected for one-year terms.</w:t>
            </w:r>
            <w:r>
              <w:rPr/>
              <w:t xml:space="preserve"> </w:t>
            </w:r>
          </w:p>
          <w:p>
            <w:pPr>
              <w:pStyle w:val="TableContents"/>
              <w:bidi w:val="0"/>
              <w:spacing w:before="280" w:after="283"/>
              <w:jc w:val="both"/>
              <w:rPr/>
            </w:pPr>
            <w:r>
              <w:rPr>
                <w:spacing w:val="2"/>
              </w:rPr>
              <w:t>You are being asked to vote, by separate ordinary resolutions, on the election of the following ten director nominees, each for a one-year term:</w:t>
            </w:r>
            <w:r>
              <w:rPr/>
              <w:t xml:space="preserve"> </w:t>
            </w:r>
          </w:p>
          <w:p>
            <w:pPr>
              <w:pStyle w:val="TableContents"/>
              <w:bidi w:val="0"/>
              <w:spacing w:lineRule="atLeast" w:line="200" w:before="280" w:after="0"/>
              <w:ind w:left="200" w:right="0" w:hanging="0"/>
              <w:jc w:val="left"/>
              <w:rPr>
                <w:rFonts w:ascii="Helvetica;Arial Narrow;sans-serif" w:hAnsi="Helvetica;Arial Narrow;sans-serif"/>
              </w:rPr>
            </w:pPr>
            <w:r>
              <w:rPr>
                <w:rFonts w:ascii="Tahoma;Geneva;sans-serif" w:hAnsi="Tahoma;Geneva;sans-serif"/>
                <w:spacing w:val="2"/>
              </w:rPr>
              <w:t>J. Christopher Barry</w:t>
            </w:r>
            <w:r>
              <w:rPr>
                <w:rFonts w:ascii="Helvetica;Arial Narrow;sans-serif" w:hAnsi="Helvetica;Arial Narrow;sans-serif"/>
              </w:rPr>
              <w:t xml:space="preserve"> </w:t>
            </w:r>
            <w:r>
              <mc:AlternateContent>
                <mc:Choice Requires="wps">
                  <w:drawing>
                    <wp:anchor behindDoc="0" distT="177800" distB="0" distL="0" distR="0" simplePos="0" locked="0" layoutInCell="1" allowOverlap="1" relativeHeight="701">
                      <wp:simplePos x="0" y="0"/>
                      <wp:positionH relativeFrom="column">
                        <wp:align>left</wp:align>
                      </wp:positionH>
                      <wp:positionV relativeFrom="line">
                        <wp:align>top</wp:align>
                      </wp:positionV>
                      <wp:extent cx="127000" cy="350520"/>
                      <wp:effectExtent l="0" t="0" r="0" b="0"/>
                      <wp:wrapSquare wrapText="right"/>
                      <wp:docPr id="516"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Francesco Bianchi</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2">
                      <wp:simplePos x="0" y="0"/>
                      <wp:positionH relativeFrom="column">
                        <wp:align>left</wp:align>
                      </wp:positionH>
                      <wp:positionV relativeFrom="line">
                        <wp:align>top</wp:align>
                      </wp:positionV>
                      <wp:extent cx="127000" cy="350520"/>
                      <wp:effectExtent l="0" t="0" r="0" b="0"/>
                      <wp:wrapSquare wrapText="right"/>
                      <wp:docPr id="517"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Stacy Enxing Seng</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3">
                      <wp:simplePos x="0" y="0"/>
                      <wp:positionH relativeFrom="column">
                        <wp:align>left</wp:align>
                      </wp:positionH>
                      <wp:positionV relativeFrom="line">
                        <wp:align>top</wp:align>
                      </wp:positionV>
                      <wp:extent cx="127000" cy="350520"/>
                      <wp:effectExtent l="0" t="0" r="0" b="0"/>
                      <wp:wrapSquare wrapText="right"/>
                      <wp:docPr id="518"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William Kozy</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4">
                      <wp:simplePos x="0" y="0"/>
                      <wp:positionH relativeFrom="column">
                        <wp:align>left</wp:align>
                      </wp:positionH>
                      <wp:positionV relativeFrom="line">
                        <wp:align>top</wp:align>
                      </wp:positionV>
                      <wp:extent cx="127000" cy="350520"/>
                      <wp:effectExtent l="0" t="0" r="0" b="0"/>
                      <wp:wrapSquare wrapText="right"/>
                      <wp:docPr id="519"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Vladimir Makatsaria</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5">
                      <wp:simplePos x="0" y="0"/>
                      <wp:positionH relativeFrom="column">
                        <wp:align>left</wp:align>
                      </wp:positionH>
                      <wp:positionV relativeFrom="line">
                        <wp:align>top</wp:align>
                      </wp:positionV>
                      <wp:extent cx="127000" cy="350520"/>
                      <wp:effectExtent l="0" t="0" r="0" b="0"/>
                      <wp:wrapSquare wrapText="right"/>
                      <wp:docPr id="520"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Dr. Sharon O’Kane</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6">
                      <wp:simplePos x="0" y="0"/>
                      <wp:positionH relativeFrom="column">
                        <wp:align>left</wp:align>
                      </wp:positionH>
                      <wp:positionV relativeFrom="line">
                        <wp:align>top</wp:align>
                      </wp:positionV>
                      <wp:extent cx="127000" cy="350520"/>
                      <wp:effectExtent l="0" t="0" r="0" b="0"/>
                      <wp:wrapSquare wrapText="right"/>
                      <wp:docPr id="521"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Susan Podlogar</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7">
                      <wp:simplePos x="0" y="0"/>
                      <wp:positionH relativeFrom="column">
                        <wp:align>left</wp:align>
                      </wp:positionH>
                      <wp:positionV relativeFrom="line">
                        <wp:align>top</wp:align>
                      </wp:positionV>
                      <wp:extent cx="127000" cy="350520"/>
                      <wp:effectExtent l="0" t="0" r="0" b="0"/>
                      <wp:wrapSquare wrapText="right"/>
                      <wp:docPr id="522"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Todd Schermerhorn</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8">
                      <wp:simplePos x="0" y="0"/>
                      <wp:positionH relativeFrom="column">
                        <wp:align>left</wp:align>
                      </wp:positionH>
                      <wp:positionV relativeFrom="line">
                        <wp:align>top</wp:align>
                      </wp:positionV>
                      <wp:extent cx="127000" cy="350520"/>
                      <wp:effectExtent l="0" t="0" r="0" b="0"/>
                      <wp:wrapSquare wrapText="right"/>
                      <wp:docPr id="523"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Brooke Story</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09">
                      <wp:simplePos x="0" y="0"/>
                      <wp:positionH relativeFrom="column">
                        <wp:align>left</wp:align>
                      </wp:positionH>
                      <wp:positionV relativeFrom="line">
                        <wp:align>top</wp:align>
                      </wp:positionV>
                      <wp:extent cx="127000" cy="350520"/>
                      <wp:effectExtent l="0" t="0" r="0" b="0"/>
                      <wp:wrapSquare wrapText="right"/>
                      <wp:docPr id="524"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Peter Wilver</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710">
                      <wp:simplePos x="0" y="0"/>
                      <wp:positionH relativeFrom="column">
                        <wp:align>left</wp:align>
                      </wp:positionH>
                      <wp:positionV relativeFrom="line">
                        <wp:align>top</wp:align>
                      </wp:positionV>
                      <wp:extent cx="127000" cy="350520"/>
                      <wp:effectExtent l="0" t="0" r="0" b="0"/>
                      <wp:wrapSquare wrapText="right"/>
                      <wp:docPr id="525"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2"/>
              </w:rPr>
              <w:t>Detailed information about each director nominee’s background, skill sets, and areas of expertise can be found beginning on page </w:t>
            </w:r>
            <w:hyperlink w:anchor="tDN1">
              <w:r>
                <w:rPr>
                  <w:rStyle w:val="InternetLink"/>
                  <w:spacing w:val="2"/>
                </w:rPr>
                <w:t>25</w:t>
              </w:r>
            </w:hyperlink>
            <w:r>
              <w:rPr>
                <w:spacing w:val="2"/>
              </w:rPr>
              <w:t xml:space="preserve"> of this proxy statement.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683"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Each director nominee is elected by a simple majority of the total votes cast.</w:t>
            </w:r>
            <w:r>
              <w:rPr>
                <w:color w:val="702076"/>
              </w:rPr>
              <w:t xml:space="preserve"> </w:t>
            </w:r>
          </w:p>
          <w:p>
            <w:pPr>
              <w:pStyle w:val="TableContents"/>
              <w:bidi w:val="0"/>
              <w:spacing w:before="280" w:after="283"/>
              <w:jc w:val="both"/>
              <w:rPr>
                <w:color w:val="702076"/>
              </w:rPr>
            </w:pPr>
            <w:r>
              <w:rPr>
                <w:color w:val="702076"/>
                <w:spacing w:val="2"/>
              </w:rPr>
              <w:t>Election is by a majority of the votes cast in an uncontested election such as this one. In a contested election, directors are elected by a plurality of the votes cast.</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election to the Board of each of the director nominees.</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72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2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68" descr=""/>
                          <pic:cNvPicPr>
                            <a:picLocks noChangeAspect="1" noChangeArrowheads="1"/>
                          </pic:cNvPicPr>
                        </pic:nvPicPr>
                        <pic:blipFill>
                          <a:blip r:embed="rId16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ROP2"/>
      <w:bookmarkEnd w:id="30"/>
      <w:r>
        <w:rPr>
          <w:rFonts w:ascii="calibri;arial;sans-serif" w:hAnsi="calibri;arial;sans-serif"/>
          <w:b w:val="false"/>
          <w:i w:val="false"/>
          <w:caps w:val="false"/>
          <w:smallCaps w:val="false"/>
          <w:color w:val="000000"/>
          <w:sz w:val="16"/>
        </w:rPr>
        <w:t>​</w:t>
      </w:r>
      <w:bookmarkStart w:id="31" w:name="tPROP3"/>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2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169" descr=""/>
                    <pic:cNvPicPr>
                      <a:picLocks noChangeAspect="1" noChangeArrowheads="1"/>
                    </pic:cNvPicPr>
                  </pic:nvPicPr>
                  <pic:blipFill>
                    <a:blip r:embed="rId17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120"/>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2 — Advisory (Non-Binding) Vote to Approve Executive Compensation (Say on Pay)</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385"/>
        <w:gridCol w:w="109"/>
        <w:gridCol w:w="109"/>
        <w:gridCol w:w="109"/>
        <w:gridCol w:w="282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385" w:type="dxa"/>
            <w:tcBorders>
              <w:bottom w:val="single" w:sz="8" w:space="0" w:color="702076"/>
            </w:tcBorders>
            <w:tcMar>
              <w:bottom w:w="107" w:type="dxa"/>
            </w:tcMar>
            <w:vAlign w:val="center"/>
          </w:tcPr>
          <w:p>
            <w:pPr>
              <w:pStyle w:val="TableContents"/>
              <w:bidi w:val="0"/>
              <w:spacing w:before="0" w:after="0"/>
              <w:jc w:val="both"/>
              <w:rPr/>
            </w:pPr>
            <w:r>
              <w:rPr>
                <w:spacing w:val="2"/>
              </w:rPr>
              <w:t>LivaNova’s shareholders are entitled to cast an advisory vote at the AGM to approve the compensation of the Company’s NEOs, as disclosed in this proxy statement. The shareholder vote is an advisory vote only and is not binding on the Company, the Board, or the CHCM Committee, but is required by Section 14A of the Exchange Act.</w:t>
            </w:r>
            <w:r>
              <w:rPr/>
              <w:t xml:space="preserve"> </w:t>
            </w:r>
          </w:p>
          <w:p>
            <w:pPr>
              <w:pStyle w:val="TableContents"/>
              <w:bidi w:val="0"/>
              <w:spacing w:before="280" w:after="283"/>
              <w:jc w:val="both"/>
              <w:rPr/>
            </w:pPr>
            <w:r>
              <w:rPr>
                <w:spacing w:val="2"/>
              </w:rPr>
              <w:t>Although the vote is non-binding, the CHCM Committee and the Board value your opinions and will consider the outcome of the vote in establishing compensation philosophy and making future compensation decisions. As described more fully in the “Compensation Discussion and Analysis” and “Executive Compensation” sections of this proxy statement, LivaNova’s NEOs are compensated in a manner consistent with the Company’s business strategy, competitive practice, sound compensation governance principles and shareholder interests and concerns. LivaNova’s compensation policies and decisions are focused on pay-for-performance.</w:t>
            </w:r>
            <w:r>
              <w:rPr/>
              <w:t xml:space="preserve"> </w:t>
            </w:r>
          </w:p>
          <w:p>
            <w:pPr>
              <w:pStyle w:val="TableContents"/>
              <w:bidi w:val="0"/>
              <w:spacing w:before="280" w:after="283"/>
              <w:jc w:val="both"/>
              <w:rPr>
                <w:spacing w:val="2"/>
              </w:rPr>
            </w:pPr>
            <w:r>
              <w:rPr>
                <w:spacing w:val="2"/>
              </w:rPr>
              <w:t xml:space="preserve">LivaNova is requesting your non-binding vote to approve the compensation of its NEOs as disclosed pursuant to Item 402 of Regulation S-K, and as described in the “Compensation Discussion and Analysis” and “Executive Compensation” sections of the proxy statement.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823"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advisory vote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approval of the compensation of LivaNova’s NEOs as disclosed in this proxy statement, including the Compensation Discussion and Analysis, compensation tables, and narrative discussion.</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3 — Ratification of the Appointment of PwC-US as the Company’s Independent Registered Public Accounting Firm</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931"/>
        <w:gridCol w:w="109"/>
        <w:gridCol w:w="109"/>
        <w:gridCol w:w="109"/>
        <w:gridCol w:w="327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931" w:type="dxa"/>
            <w:tcBorders>
              <w:bottom w:val="single" w:sz="8" w:space="0" w:color="702076"/>
            </w:tcBorders>
            <w:tcMar>
              <w:bottom w:w="107" w:type="dxa"/>
            </w:tcMar>
            <w:vAlign w:val="center"/>
          </w:tcPr>
          <w:p>
            <w:pPr>
              <w:pStyle w:val="TableContents"/>
              <w:bidi w:val="0"/>
              <w:spacing w:before="0" w:after="0"/>
              <w:jc w:val="both"/>
              <w:rPr/>
            </w:pPr>
            <w:r>
              <w:rPr>
                <w:spacing w:val="2"/>
              </w:rPr>
              <w:t>The AC Committee has appointed PwC-US as LivaNova’s independent registered public accounting firm for the year ending December 31, 2025,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2025.</w:t>
            </w:r>
            <w:r>
              <w:rPr/>
              <w:t xml:space="preserve"> </w:t>
            </w:r>
          </w:p>
          <w:p>
            <w:pPr>
              <w:pStyle w:val="TableContents"/>
              <w:bidi w:val="0"/>
              <w:spacing w:before="280" w:after="283"/>
              <w:jc w:val="both"/>
              <w:rPr>
                <w:spacing w:val="2"/>
              </w:rPr>
            </w:pPr>
            <w:r>
              <w:rPr>
                <w:spacing w:val="2"/>
              </w:rPr>
              <w:t xml:space="preserve">LivaNova anticipates that a representative of PwC-US or an affiliated member firm will be present at the AGM. The representative will be given the opportunity to make a statement if they desire to do so and are expected to be available to respond to any appropriate questions that may be submitted by shareholders at the AGM.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277"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ordinary resolution vote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both"/>
              <w:rPr>
                <w:color w:val="702076"/>
              </w:rPr>
            </w:pPr>
            <w:r>
              <w:rPr>
                <w:color w:val="702076"/>
                <w:spacing w:val="2"/>
              </w:rPr>
              <w:t>If this proposal does not receive the required vote for approval, the AC Committee will reconsider the appointment but may decide to maintain its appointment of PwC-US.</w:t>
            </w:r>
            <w:r>
              <w:rPr>
                <w:color w:val="702076"/>
              </w:rPr>
              <w:t xml:space="preserve"> </w:t>
            </w:r>
          </w:p>
          <w:p>
            <w:pPr>
              <w:pStyle w:val="TableContents"/>
              <w:bidi w:val="0"/>
              <w:spacing w:before="280" w:after="283"/>
              <w:jc w:val="both"/>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and Audit and Compliance Committee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ratification of the appointment of PwC-US as the Company’s independent registered public accounting firm for the year ending December 31, 2025.</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2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170" descr=""/>
                          <pic:cNvPicPr>
                            <a:picLocks noChangeAspect="1" noChangeArrowheads="1"/>
                          </pic:cNvPicPr>
                        </pic:nvPicPr>
                        <pic:blipFill>
                          <a:blip r:embed="rId17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73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ACCR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2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171" descr=""/>
                    <pic:cNvPicPr>
                      <a:picLocks noChangeAspect="1" noChangeArrowheads="1"/>
                    </pic:cNvPicPr>
                  </pic:nvPicPr>
                  <pic:blipFill>
                    <a:blip r:embed="rId17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Fees Paid to PwC</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summarizes the aggregate fees billed to the Company by PwC-US and its respective network member firms including PwC S.p.A. and PwC-UK, LivaNova’s UK statutory auditor (collectively, “PwC”) for services performed in connection with the fiscal years ended December 31, 2024, and 2023 (all numbers for fees in the table below are in thousands):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963"/>
        <w:gridCol w:w="166"/>
        <w:gridCol w:w="166"/>
        <w:gridCol w:w="166"/>
        <w:gridCol w:w="226"/>
        <w:gridCol w:w="474"/>
        <w:gridCol w:w="1355"/>
        <w:gridCol w:w="230"/>
        <w:gridCol w:w="166"/>
        <w:gridCol w:w="166"/>
        <w:gridCol w:w="166"/>
        <w:gridCol w:w="226"/>
        <w:gridCol w:w="474"/>
        <w:gridCol w:w="1355"/>
        <w:gridCol w:w="230"/>
        <w:gridCol w:w="109"/>
        <w:gridCol w:w="161"/>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963" w:type="dxa"/>
            <w:tcBorders/>
            <w:shd w:fill="702076" w:val="clear"/>
            <w:vAlign w:val="center"/>
          </w:tcPr>
          <w:p>
            <w:pPr>
              <w:pStyle w:val="TableContents"/>
              <w:bidi w:val="0"/>
              <w:spacing w:before="0" w:after="283"/>
              <w:jc w:val="left"/>
              <w:rPr/>
            </w:pPr>
            <w:r>
              <w:rPr/>
              <w:t>​</w:t>
            </w:r>
          </w:p>
        </w:tc>
        <w:tc>
          <w:tcPr>
            <w:tcW w:w="166" w:type="dxa"/>
            <w:tcBorders/>
            <w:shd w:fill="702076" w:val="clear"/>
            <w:vAlign w:val="center"/>
          </w:tcPr>
          <w:p>
            <w:pPr>
              <w:pStyle w:val="TableContents"/>
              <w:bidi w:val="0"/>
              <w:spacing w:before="0" w:after="283"/>
              <w:jc w:val="left"/>
              <w:rPr/>
            </w:pPr>
            <w:r>
              <w:rPr/>
              <w:t>​</w:t>
            </w:r>
          </w:p>
        </w:tc>
        <w:tc>
          <w:tcPr>
            <w:tcW w:w="166" w:type="dxa"/>
            <w:tcBorders/>
            <w:shd w:fill="702076" w:val="clear"/>
            <w:vAlign w:val="center"/>
          </w:tcPr>
          <w:p>
            <w:pPr>
              <w:pStyle w:val="TableContents"/>
              <w:bidi w:val="0"/>
              <w:spacing w:before="0" w:after="283"/>
              <w:jc w:val="left"/>
              <w:rPr/>
            </w:pPr>
            <w:r>
              <w:rPr/>
              <w:t>​</w:t>
            </w:r>
          </w:p>
        </w:tc>
        <w:tc>
          <w:tcPr>
            <w:tcW w:w="166" w:type="dxa"/>
            <w:tcBorders/>
            <w:shd w:fill="702076" w:val="clear"/>
            <w:vAlign w:val="center"/>
          </w:tcPr>
          <w:p>
            <w:pPr>
              <w:pStyle w:val="TableContents"/>
              <w:bidi w:val="0"/>
              <w:spacing w:before="0" w:after="283"/>
              <w:jc w:val="left"/>
              <w:rPr/>
            </w:pPr>
            <w:r>
              <w:rPr/>
              <w:t>​</w:t>
            </w:r>
          </w:p>
        </w:tc>
        <w:tc>
          <w:tcPr>
            <w:tcW w:w="2285" w:type="dxa"/>
            <w:gridSpan w:val="4"/>
            <w:tcBorders/>
            <w:shd w:fill="702076" w:val="clear"/>
            <w:vAlign w:val="center"/>
          </w:tcPr>
          <w:p>
            <w:pPr>
              <w:pStyle w:val="TableContents"/>
              <w:bidi w:val="0"/>
              <w:spacing w:before="0" w:after="0"/>
              <w:jc w:val="center"/>
              <w:rPr>
                <w:spacing w:val="2"/>
              </w:rPr>
            </w:pPr>
            <w:r>
              <w:rPr>
                <w:spacing w:val="2"/>
              </w:rPr>
              <w:t xml:space="preserve">Year Ended </w:t>
              <w:br/>
              <w:t xml:space="preserve">December 31, </w:t>
              <w:br/>
              <w:t xml:space="preserve">2024 </w:t>
            </w:r>
          </w:p>
        </w:tc>
        <w:tc>
          <w:tcPr>
            <w:tcW w:w="166" w:type="dxa"/>
            <w:tcBorders/>
            <w:shd w:fill="702076" w:val="clear"/>
            <w:vAlign w:val="center"/>
          </w:tcPr>
          <w:p>
            <w:pPr>
              <w:pStyle w:val="TableContents"/>
              <w:bidi w:val="0"/>
              <w:spacing w:before="0" w:after="283"/>
              <w:jc w:val="left"/>
              <w:rPr/>
            </w:pPr>
            <w:r>
              <w:rPr/>
              <w:t>​</w:t>
            </w:r>
          </w:p>
        </w:tc>
        <w:tc>
          <w:tcPr>
            <w:tcW w:w="166" w:type="dxa"/>
            <w:tcBorders/>
            <w:shd w:fill="702076" w:val="clear"/>
            <w:vAlign w:val="center"/>
          </w:tcPr>
          <w:p>
            <w:pPr>
              <w:pStyle w:val="TableContents"/>
              <w:bidi w:val="0"/>
              <w:spacing w:before="0" w:after="283"/>
              <w:jc w:val="left"/>
              <w:rPr/>
            </w:pPr>
            <w:r>
              <w:rPr/>
              <w:t>​</w:t>
            </w:r>
          </w:p>
        </w:tc>
        <w:tc>
          <w:tcPr>
            <w:tcW w:w="166" w:type="dxa"/>
            <w:tcBorders/>
            <w:shd w:fill="702076" w:val="clear"/>
            <w:vAlign w:val="center"/>
          </w:tcPr>
          <w:p>
            <w:pPr>
              <w:pStyle w:val="TableContents"/>
              <w:bidi w:val="0"/>
              <w:spacing w:before="0" w:after="283"/>
              <w:jc w:val="left"/>
              <w:rPr/>
            </w:pPr>
            <w:r>
              <w:rPr/>
              <w:t>​</w:t>
            </w:r>
          </w:p>
        </w:tc>
        <w:tc>
          <w:tcPr>
            <w:tcW w:w="2285" w:type="dxa"/>
            <w:gridSpan w:val="4"/>
            <w:tcBorders/>
            <w:shd w:fill="702076" w:val="clear"/>
            <w:vAlign w:val="center"/>
          </w:tcPr>
          <w:p>
            <w:pPr>
              <w:pStyle w:val="TableContents"/>
              <w:bidi w:val="0"/>
              <w:spacing w:before="0" w:after="0"/>
              <w:jc w:val="center"/>
              <w:rPr/>
            </w:pPr>
            <w:r>
              <w:rPr>
                <w:spacing w:val="2"/>
              </w:rPr>
              <w:t xml:space="preserve">Year Ended </w:t>
              <w:br/>
              <w:t xml:space="preserve">December 31, </w:t>
              <w:br/>
              <w:t>2023</w:t>
            </w:r>
            <w:r>
              <w:rPr/>
              <w:t xml:space="preserve"> </w:t>
            </w:r>
          </w:p>
        </w:tc>
        <w:tc>
          <w:tcPr>
            <w:tcW w:w="109" w:type="dxa"/>
            <w:tcBorders/>
            <w:shd w:fill="702076" w:val="clear"/>
            <w:vAlign w:val="center"/>
          </w:tcPr>
          <w:p>
            <w:pPr>
              <w:pStyle w:val="TableContents"/>
              <w:bidi w:val="0"/>
              <w:spacing w:before="0" w:after="283"/>
              <w:jc w:val="left"/>
              <w:rPr/>
            </w:pPr>
            <w:r>
              <w:rPr/>
              <w:t>​</w:t>
            </w:r>
          </w:p>
        </w:tc>
        <w:tc>
          <w:tcPr>
            <w:tcW w:w="161"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963" w:type="dxa"/>
            <w:tcBorders>
              <w:bottom w:val="single" w:sz="6" w:space="0" w:color="702076"/>
            </w:tcBorders>
            <w:tcMar>
              <w:bottom w:w="45" w:type="dxa"/>
            </w:tcMar>
            <w:vAlign w:val="center"/>
          </w:tcPr>
          <w:p>
            <w:pPr>
              <w:pStyle w:val="TableContents"/>
              <w:bidi w:val="0"/>
              <w:spacing w:before="0" w:after="0"/>
              <w:jc w:val="left"/>
              <w:rPr/>
            </w:pPr>
            <w:r>
              <w:rPr>
                <w:spacing w:val="2"/>
              </w:rPr>
              <w:t>Audit Fees</w:t>
            </w:r>
            <w:r>
              <w:rPr/>
              <w:t xml:space="preserve"> </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5,365</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5,687</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963" w:type="dxa"/>
            <w:tcBorders>
              <w:bottom w:val="single" w:sz="6" w:space="0" w:color="702076"/>
            </w:tcBorders>
            <w:tcMar>
              <w:bottom w:w="45" w:type="dxa"/>
            </w:tcMar>
            <w:vAlign w:val="center"/>
          </w:tcPr>
          <w:p>
            <w:pPr>
              <w:pStyle w:val="TableContents"/>
              <w:bidi w:val="0"/>
              <w:spacing w:lineRule="atLeast" w:line="142" w:before="0" w:after="0"/>
              <w:jc w:val="left"/>
              <w:rPr/>
            </w:pPr>
            <w:r>
              <w:rPr>
                <w:spacing w:val="2"/>
              </w:rPr>
              <w:t>Audit-Related Fees</w:t>
            </w:r>
            <w:r>
              <w:rPr>
                <w:spacing w:val="2"/>
                <w:sz w:val="13"/>
              </w:rPr>
              <w:t>(1)</w:t>
            </w:r>
            <w:r>
              <w:rPr/>
              <w:t xml:space="preserve"> </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99</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20</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963" w:type="dxa"/>
            <w:tcBorders>
              <w:bottom w:val="single" w:sz="6" w:space="0" w:color="702076"/>
            </w:tcBorders>
            <w:tcMar>
              <w:bottom w:w="45" w:type="dxa"/>
            </w:tcMar>
            <w:vAlign w:val="center"/>
          </w:tcPr>
          <w:p>
            <w:pPr>
              <w:pStyle w:val="TableContents"/>
              <w:bidi w:val="0"/>
              <w:spacing w:before="0" w:after="0"/>
              <w:jc w:val="left"/>
              <w:rPr/>
            </w:pPr>
            <w:r>
              <w:rPr>
                <w:spacing w:val="2"/>
              </w:rPr>
              <w:t>Tax Fees</w:t>
            </w:r>
            <w:r>
              <w:rPr/>
              <w:t xml:space="preserve"> </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556</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849</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963" w:type="dxa"/>
            <w:tcBorders>
              <w:bottom w:val="single" w:sz="6" w:space="0" w:color="702076"/>
            </w:tcBorders>
            <w:tcMar>
              <w:bottom w:w="45" w:type="dxa"/>
            </w:tcMar>
            <w:vAlign w:val="center"/>
          </w:tcPr>
          <w:p>
            <w:pPr>
              <w:pStyle w:val="TableContents"/>
              <w:bidi w:val="0"/>
              <w:spacing w:lineRule="atLeast" w:line="142" w:before="0" w:after="0"/>
              <w:jc w:val="left"/>
              <w:rPr/>
            </w:pPr>
            <w:r>
              <w:rPr>
                <w:spacing w:val="2"/>
              </w:rPr>
              <w:t>All Other Fees</w:t>
            </w:r>
            <w:r>
              <w:rPr>
                <w:spacing w:val="2"/>
                <w:sz w:val="13"/>
              </w:rPr>
              <w:t>(2)</w:t>
            </w:r>
            <w:r>
              <w:rPr/>
              <w:t xml:space="preserve"> </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178</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2</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2963"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Total </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6,198</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166"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66" w:type="dxa"/>
            <w:tcBorders>
              <w:bottom w:val="single" w:sz="6" w:space="0" w:color="702076"/>
            </w:tcBorders>
            <w:tcMar>
              <w:bottom w:w="28" w:type="dxa"/>
            </w:tcMar>
            <w:vAlign w:val="center"/>
          </w:tcPr>
          <w:p>
            <w:pPr>
              <w:pStyle w:val="TableContents"/>
              <w:bidi w:val="0"/>
              <w:spacing w:before="0" w:after="283"/>
              <w:jc w:val="left"/>
              <w:rPr/>
            </w:pPr>
            <w:r>
              <w:rPr/>
              <w:t>​</w:t>
            </w:r>
          </w:p>
        </w:tc>
        <w:tc>
          <w:tcPr>
            <w:tcW w:w="226" w:type="dxa"/>
            <w:tcBorders>
              <w:bottom w:val="single" w:sz="6" w:space="0" w:color="702076"/>
            </w:tcBorders>
            <w:tcMar>
              <w:bottom w:w="28" w:type="dxa"/>
            </w:tcMar>
            <w:vAlign w:val="center"/>
          </w:tcPr>
          <w:p>
            <w:pPr>
              <w:pStyle w:val="TableContents"/>
              <w:bidi w:val="0"/>
              <w:spacing w:before="0" w:after="283"/>
              <w:jc w:val="left"/>
              <w:rPr/>
            </w:pPr>
            <w:r>
              <w:rPr/>
              <w:t>​</w:t>
            </w:r>
          </w:p>
        </w:tc>
        <w:tc>
          <w:tcPr>
            <w:tcW w:w="474" w:type="dxa"/>
            <w:tcBorders>
              <w:bottom w:val="single" w:sz="6" w:space="0" w:color="702076"/>
            </w:tcBorders>
            <w:tcMar>
              <w:bottom w:w="45" w:type="dxa"/>
            </w:tcMar>
            <w:vAlign w:val="center"/>
          </w:tcPr>
          <w:p>
            <w:pPr>
              <w:pStyle w:val="TableContents"/>
              <w:bidi w:val="0"/>
              <w:spacing w:before="0" w:after="283"/>
              <w:jc w:val="right"/>
              <w:rPr/>
            </w:pPr>
            <w:r>
              <w:rPr/>
              <w:t>$</w:t>
            </w:r>
          </w:p>
        </w:tc>
        <w:tc>
          <w:tcPr>
            <w:tcW w:w="1355" w:type="dxa"/>
            <w:tcBorders>
              <w:bottom w:val="single" w:sz="6" w:space="0" w:color="702076"/>
            </w:tcBorders>
            <w:tcMar>
              <w:bottom w:w="45" w:type="dxa"/>
            </w:tcMar>
            <w:vAlign w:val="center"/>
          </w:tcPr>
          <w:p>
            <w:pPr>
              <w:pStyle w:val="TableContents"/>
              <w:bidi w:val="0"/>
              <w:spacing w:before="0" w:after="283"/>
              <w:jc w:val="right"/>
              <w:rPr/>
            </w:pPr>
            <w:r>
              <w:rPr/>
              <w:t>6,558</w:t>
            </w:r>
          </w:p>
        </w:tc>
        <w:tc>
          <w:tcPr>
            <w:tcW w:w="230"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29" w:type="dxa"/>
            <w:gridSpan w:val="15"/>
            <w:tcBorders>
              <w:bottom w:val="single" w:sz="6" w:space="0" w:color="702076"/>
            </w:tcBorders>
            <w:shd w:fill="D8D8D8" w:val="clear"/>
            <w:tcMar>
              <w:bottom w:w="45" w:type="dxa"/>
            </w:tcMar>
            <w:vAlign w:val="center"/>
          </w:tcPr>
          <w:p>
            <w:pPr>
              <w:pStyle w:val="TableContents"/>
              <w:bidi w:val="0"/>
              <w:spacing w:lineRule="atLeast" w:line="160" w:before="0" w:after="0"/>
              <w:ind w:left="760" w:right="0" w:hanging="0"/>
              <w:jc w:val="left"/>
              <w:rPr>
                <w:spacing w:val="2"/>
              </w:rPr>
            </w:pPr>
            <w:r>
              <w:rPr>
                <w:spacing w:val="2"/>
              </w:rPr>
              <w:t>“</w:t>
            </w:r>
            <w:r>
              <w:rPr>
                <w:spacing w:val="2"/>
              </w:rPr>
              <w:t xml:space="preserve">Audit-Related Fees” include consents associated with Registration Statements on Form S-8 and pre-implementation fees. </w:t>
            </w:r>
            <w:r>
              <mc:AlternateContent>
                <mc:Choice Requires="wps">
                  <w:drawing>
                    <wp:anchor behindDoc="0" distT="0" distB="0" distL="228600" distR="0" simplePos="0" locked="0" layoutInCell="1" allowOverlap="1" relativeHeight="711">
                      <wp:simplePos x="0" y="0"/>
                      <wp:positionH relativeFrom="column">
                        <wp:align>left</wp:align>
                      </wp:positionH>
                      <wp:positionV relativeFrom="line">
                        <wp:posOffset>635</wp:posOffset>
                      </wp:positionV>
                      <wp:extent cx="254000" cy="350520"/>
                      <wp:effectExtent l="0" t="0" r="0" b="0"/>
                      <wp:wrapSquare wrapText="right"/>
                      <wp:docPr id="530"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283"/>
              <w:ind w:left="360" w:right="0" w:hanging="0"/>
              <w:jc w:val="left"/>
              <w:rPr/>
            </w:pPr>
            <w:r>
              <w:rPr>
                <w:spacing w:val="2"/>
              </w:rPr>
              <w:t>(2)</w:t>
            </w:r>
            <w:r>
              <w:rPr/>
              <w:t xml:space="preserve"> </w:t>
            </w:r>
          </w:p>
          <w:p>
            <w:pPr>
              <w:pStyle w:val="TableContents"/>
              <w:bidi w:val="0"/>
              <w:spacing w:lineRule="atLeast" w:line="200" w:before="0" w:after="283"/>
              <w:ind w:left="760" w:right="0" w:hanging="0"/>
              <w:jc w:val="left"/>
              <w:rPr/>
            </w:pPr>
            <w:r>
              <w:rPr>
                <w:spacing w:val="2"/>
              </w:rPr>
              <w:t>“</w:t>
            </w:r>
            <w:r>
              <w:rPr>
                <w:spacing w:val="2"/>
              </w:rPr>
              <w:t>All Other Fees” include a disclosure checklist and pre-assurance work on non-financial metrics.</w:t>
            </w:r>
            <w:r>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1" w:type="dxa"/>
            <w:tcBorders/>
            <w:shd w:fill="D8D8D8" w:val="clear"/>
            <w:vAlign w:val="center"/>
          </w:tcPr>
          <w:p>
            <w:pPr>
              <w:pStyle w:val="TableContents"/>
              <w:bidi w:val="0"/>
              <w:spacing w:before="0" w:after="283"/>
              <w:jc w:val="left"/>
              <w:rPr/>
            </w:pPr>
            <w:r>
              <w:rPr/>
              <w:t>​</w:t>
            </w:r>
          </w:p>
        </w:tc>
      </w:tr>
    </w:tbl>
    <w:p>
      <w:pPr>
        <w:pStyle w:val="TextBody"/>
        <w:bidi w:val="0"/>
        <w:spacing w:lineRule="atLeast" w:line="230" w:before="238"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Policy on Audit and Compliance Committee Pre-Approval of Audit and Non-Audit Services Performed by the Independent Registered Public Accounting Firm</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has established an auditor independence policy that addresses the hiring of former employees of the Company’s auditors as well as the nature of audit and non-audit services that may be provided by the auditors. The policy sets out certain non-audit services that are prohibited at all times as well as a separate list of services that may be permitted if approved by the AC Committee, subject to certain caps (expressed as a percentage of the average of all fees paid to the auditor in each of the prior three years). The AC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AC Committee also delegates approval authority to the AC Committee’s Chair (or by resolution to any other member of the AC Committee) to approve any one or more individual audit or permitted non-audit services for which estimated fees do not exceed $100,000. In such cases, the AC Committee Chair reports such approvals at the next scheduled meeting of the AC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the beginning of each audit year, management requests prior AC Committee approval of the annual audit, statutory 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AC Committee for approval.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each engagement, management provides the AC Committee with information about the services and fees, in sufficient detail to allow the AC Committee to make an informed judgment about the nature and scope of the services and the potential for the services to impair the independence of the Company’s auditors. After the end of the audit year, management provides the AC Committee with a summary of the actual fees incurred for the completed audit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Audit and Compliance Committee Report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is comprised of four non-executive directors, all of whom are “independent” under the applicable Nasdaq rules and the applicable rules of the SEC. The AC Committee is governed by a written charter which has been approved by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controls over financial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74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3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172" descr=""/>
                          <pic:cNvPicPr>
                            <a:picLocks noChangeAspect="1" noChangeArrowheads="1"/>
                          </pic:cNvPicPr>
                        </pic:nvPicPr>
                        <pic:blipFill>
                          <a:blip r:embed="rId17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ACCR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3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173" descr=""/>
                    <pic:cNvPicPr>
                      <a:picLocks noChangeAspect="1" noChangeArrowheads="1"/>
                    </pic:cNvPicPr>
                  </pic:nvPicPr>
                  <pic:blipFill>
                    <a:blip r:embed="rId17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reporting in accordance with the rules of the Public Company Accounting Oversight Board (United States) and expressing an opinion as to the consolidated financial statements’ conformity with U.S. generally accepted accounting principles (“GAAP”) and as to internal controls over financial reporting. The AC Committee monitors and oversees these processes and is responsible for selecting and overseeing the Company’s independent registered public accounting firm. As part of the oversight process, the AC Committee met eight times in 2024. Throughout the year, the AC Committee met with LivaNova’s independent registered public accounting firm, management, and internal auditor, both together and separately in closed sessions. In the course of fulfilling its responsibilities, the AC Committee did, among other things, the following: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and the independent registered public accounting firm LivaNova’s consolidated financial statements for the year ended December 31, 2024, and the quarters ended March 31, 2024, June 30, 2024, and September 30, 2024;</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712">
                <wp:simplePos x="0" y="0"/>
                <wp:positionH relativeFrom="column">
                  <wp:align>left</wp:align>
                </wp:positionH>
                <wp:positionV relativeFrom="line">
                  <wp:align>top</wp:align>
                </wp:positionV>
                <wp:extent cx="228600" cy="350520"/>
                <wp:effectExtent l="0" t="0" r="0" b="0"/>
                <wp:wrapSquare wrapText="right"/>
                <wp:docPr id="533" name="Frame3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the review of LivaNova’s internal controls over financial reporting;</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3">
                <wp:simplePos x="0" y="0"/>
                <wp:positionH relativeFrom="column">
                  <wp:align>left</wp:align>
                </wp:positionH>
                <wp:positionV relativeFrom="line">
                  <wp:align>top</wp:align>
                </wp:positionV>
                <wp:extent cx="228600" cy="350520"/>
                <wp:effectExtent l="0" t="0" r="0" b="0"/>
                <wp:wrapSquare wrapText="right"/>
                <wp:docPr id="534" name="Frame3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management’s representations that LivaNova’s consolidated financial statements were prepared in accordance with GAAP and present fairly the Company’s results of operations and financial position;</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4">
                <wp:simplePos x="0" y="0"/>
                <wp:positionH relativeFrom="column">
                  <wp:align>left</wp:align>
                </wp:positionH>
                <wp:positionV relativeFrom="line">
                  <wp:align>top</wp:align>
                </wp:positionV>
                <wp:extent cx="228600" cy="350520"/>
                <wp:effectExtent l="0" t="0" r="0" b="0"/>
                <wp:wrapSquare wrapText="right"/>
                <wp:docPr id="535" name="Frame3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the independent registered public accounting firm the matters required to be discussed by the applicable requirements of the Public Company Accounting Oversight Board and the SEC;</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5">
                <wp:simplePos x="0" y="0"/>
                <wp:positionH relativeFrom="column">
                  <wp:align>left</wp:align>
                </wp:positionH>
                <wp:positionV relativeFrom="line">
                  <wp:align>top</wp:align>
                </wp:positionV>
                <wp:extent cx="228600" cy="350520"/>
                <wp:effectExtent l="0" t="0" r="0" b="0"/>
                <wp:wrapSquare wrapText="right"/>
                <wp:docPr id="536" name="Frame3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Received the written disclosures and letters from the independent registered public accounting firm required by the applicable requirements of the Public Company Accounting Oversight Board regarding the independent registered public accounting firm’s communication with the AC Committee concerning independence, and discussed with the independent registered public accounting firm its independence; </w:t>
      </w:r>
      <w:r>
        <mc:AlternateContent>
          <mc:Choice Requires="wps">
            <w:drawing>
              <wp:anchor behindDoc="0" distT="76200" distB="0" distL="228600" distR="0" simplePos="0" locked="0" layoutInCell="1" allowOverlap="1" relativeHeight="716">
                <wp:simplePos x="0" y="0"/>
                <wp:positionH relativeFrom="column">
                  <wp:align>left</wp:align>
                </wp:positionH>
                <wp:positionV relativeFrom="line">
                  <wp:align>top</wp:align>
                </wp:positionV>
                <wp:extent cx="228600" cy="350520"/>
                <wp:effectExtent l="0" t="0" r="0" b="0"/>
                <wp:wrapSquare wrapText="right"/>
                <wp:docPr id="537" name="Frame3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AC Committee and from the perspective of management and the internal auditor;</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7">
                <wp:simplePos x="0" y="0"/>
                <wp:positionH relativeFrom="column">
                  <wp:align>left</wp:align>
                </wp:positionH>
                <wp:positionV relativeFrom="line">
                  <wp:align>top</wp:align>
                </wp:positionV>
                <wp:extent cx="228600" cy="350520"/>
                <wp:effectExtent l="0" t="0" r="0" b="0"/>
                <wp:wrapSquare wrapText="right"/>
                <wp:docPr id="538" name="Frame3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Considered whether the provision of non-audit services by the Company’s registered public accounting firm is compatible with maintaining the firm’s independence;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8">
                <wp:simplePos x="0" y="0"/>
                <wp:positionH relativeFrom="column">
                  <wp:align>left</wp:align>
                </wp:positionH>
                <wp:positionV relativeFrom="line">
                  <wp:align>top</wp:align>
                </wp:positionV>
                <wp:extent cx="228600" cy="350520"/>
                <wp:effectExtent l="0" t="0" r="0" b="0"/>
                <wp:wrapSquare wrapText="right"/>
                <wp:docPr id="539" name="Frame3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the scope of and overall plans for the annual external audit and the internal audit program;</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19">
                <wp:simplePos x="0" y="0"/>
                <wp:positionH relativeFrom="column">
                  <wp:align>left</wp:align>
                </wp:positionH>
                <wp:positionV relativeFrom="line">
                  <wp:align>top</wp:align>
                </wp:positionV>
                <wp:extent cx="228600" cy="350520"/>
                <wp:effectExtent l="0" t="0" r="0" b="0"/>
                <wp:wrapSquare wrapText="right"/>
                <wp:docPr id="540" name="Frame3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applicable new accounting standards with the Company’s CFO, internal audit department, and its external auditors;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20">
                <wp:simplePos x="0" y="0"/>
                <wp:positionH relativeFrom="column">
                  <wp:align>left</wp:align>
                </wp:positionH>
                <wp:positionV relativeFrom="line">
                  <wp:align>top</wp:align>
                </wp:positionV>
                <wp:extent cx="228600" cy="350520"/>
                <wp:effectExtent l="0" t="0" r="0" b="0"/>
                <wp:wrapSquare wrapText="right"/>
                <wp:docPr id="541" name="Frame3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Consulted with management with respect to the Company’s processes for financial risk assessment and risk mitigation;</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21">
                <wp:simplePos x="0" y="0"/>
                <wp:positionH relativeFrom="column">
                  <wp:align>left</wp:align>
                </wp:positionH>
                <wp:positionV relativeFrom="line">
                  <wp:align>top</wp:align>
                </wp:positionV>
                <wp:extent cx="228600" cy="350520"/>
                <wp:effectExtent l="0" t="0" r="0" b="0"/>
                <wp:wrapSquare wrapText="right"/>
                <wp:docPr id="542" name="Frame3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LivaNova’s processes for monitoring compliance with the law and the Company’s policies and Code of Business Conduct and Ethics;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22">
                <wp:simplePos x="0" y="0"/>
                <wp:positionH relativeFrom="column">
                  <wp:align>left</wp:align>
                </wp:positionH>
                <wp:positionV relativeFrom="line">
                  <wp:align>top</wp:align>
                </wp:positionV>
                <wp:extent cx="228600" cy="350520"/>
                <wp:effectExtent l="0" t="0" r="0" b="0"/>
                <wp:wrapSquare wrapText="right"/>
                <wp:docPr id="543" name="Frame3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its assessment and report on the effectiveness of LivaNova’s internal controls over financial reporting as of December 31, 2024.</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23">
                <wp:simplePos x="0" y="0"/>
                <wp:positionH relativeFrom="column">
                  <wp:align>left</wp:align>
                </wp:positionH>
                <wp:positionV relativeFrom="line">
                  <wp:align>top</wp:align>
                </wp:positionV>
                <wp:extent cx="228600" cy="350520"/>
                <wp:effectExtent l="0" t="0" r="0" b="0"/>
                <wp:wrapSquare wrapText="right"/>
                <wp:docPr id="544" name="Frame3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its review and discussion of the items listed above and Management’s Report on the Company’s internal controls over financial reporting as of December 31, 2024, the AC Committee recommended to the Board that the audited consolidated financial statements be included in the Company’s U.S. Annual Report on Form 10-K for the year ended December 31,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Todd Schermerhorn (Chair) </w:t>
        <w:br/>
        <w:t xml:space="preserve">J. Christopher Barry </w:t>
        <w:br/>
        <w:t xml:space="preserve">Francesco Bianchi </w:t>
        <w:br/>
        <w:t>Peter Wilver</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4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174" descr=""/>
                          <pic:cNvPicPr>
                            <a:picLocks noChangeAspect="1" noChangeArrowheads="1"/>
                          </pic:cNvPicPr>
                        </pic:nvPicPr>
                        <pic:blipFill>
                          <a:blip r:embed="rId17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75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ROP4"/>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4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75" descr=""/>
                    <pic:cNvPicPr>
                      <a:picLocks noChangeAspect="1" noChangeArrowheads="1"/>
                    </pic:cNvPicPr>
                  </pic:nvPicPr>
                  <pic:blipFill>
                    <a:blip r:embed="rId17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0"/>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4 — Approval of the Second Amended and Restated LivaNova PLC 2022 Incentive Award Plan</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805"/>
        <w:gridCol w:w="109"/>
        <w:gridCol w:w="109"/>
        <w:gridCol w:w="109"/>
        <w:gridCol w:w="340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805" w:type="dxa"/>
            <w:tcBorders>
              <w:bottom w:val="single" w:sz="8" w:space="0" w:color="702076"/>
            </w:tcBorders>
            <w:tcMar>
              <w:bottom w:w="107" w:type="dxa"/>
            </w:tcMar>
            <w:vAlign w:val="center"/>
          </w:tcPr>
          <w:p>
            <w:pPr>
              <w:pStyle w:val="TableContents"/>
              <w:bidi w:val="0"/>
              <w:spacing w:before="0" w:after="0"/>
              <w:jc w:val="both"/>
              <w:rPr/>
            </w:pPr>
            <w:r>
              <w:rPr>
                <w:spacing w:val="2"/>
              </w:rPr>
              <w:t>Proposal No. 4 is to approve the Second Amended and Restated LivaNova PLC 2022 Incentive Award Plan (the “Second A&amp;R Plan”). The full terms of the Second A&amp;R Plan are set out in Appendix A to this proxy statement.</w:t>
            </w:r>
            <w:r>
              <w:rPr/>
              <w:t xml:space="preserve"> </w:t>
            </w:r>
          </w:p>
          <w:p>
            <w:pPr>
              <w:pStyle w:val="TableContents"/>
              <w:bidi w:val="0"/>
              <w:spacing w:before="280" w:after="283"/>
              <w:jc w:val="both"/>
              <w:rPr/>
            </w:pPr>
            <w:r>
              <w:rPr>
                <w:spacing w:val="2"/>
              </w:rPr>
              <w:t>LivaNova is seeking shareholder approval of the Second A&amp;R Plan to ensure that the Company has an appropriate number of shares available to have a competitive equity incentive program to compete with the Company’s peer group for key talent.</w:t>
            </w:r>
            <w:r>
              <w:rPr/>
              <w:t xml:space="preserve"> </w:t>
            </w:r>
          </w:p>
          <w:p>
            <w:pPr>
              <w:pStyle w:val="TableContents"/>
              <w:bidi w:val="0"/>
              <w:spacing w:before="280" w:after="283"/>
              <w:jc w:val="both"/>
              <w:rPr/>
            </w:pPr>
            <w:r>
              <w:rPr>
                <w:spacing w:val="2"/>
              </w:rPr>
              <w:t>The Company currently grants equity incentive awards to its employees under the LivaNova PLC Amended and Restated 2022 Incentive Award Plan that was approved by LivaNova’s shareholders at the Company’s 2023 Annual General Meeting of Shareholders and amended with the approval of LivaNova’s shareholders at the Company’s 2024 Annual General Meeting of Shareholders (the “Existing Plan”).</w:t>
            </w:r>
            <w:r>
              <w:rPr/>
              <w:t xml:space="preserve"> </w:t>
            </w:r>
          </w:p>
          <w:p>
            <w:pPr>
              <w:pStyle w:val="TableContents"/>
              <w:bidi w:val="0"/>
              <w:spacing w:before="220" w:after="283"/>
              <w:jc w:val="both"/>
              <w:rPr/>
            </w:pPr>
            <w:r>
              <w:rPr>
                <w:spacing w:val="2"/>
              </w:rPr>
              <w:t>Due in part to significant non-recurring grants made as part of executive leadership changes, the Company anticipates that, by March 30, 2026, the number of authorized shares remaining under the Existing Plan will be insufficient for the Company to continue to make equity-based compensation a meaningful part of the Company’s employees’ and executives’ overall compensation.</w:t>
            </w:r>
            <w:r>
              <w:rPr/>
              <w:t xml:space="preserve"> </w:t>
            </w:r>
          </w:p>
          <w:p>
            <w:pPr>
              <w:pStyle w:val="TableContents"/>
              <w:bidi w:val="0"/>
              <w:spacing w:before="280" w:after="283"/>
              <w:jc w:val="both"/>
              <w:rPr/>
            </w:pPr>
            <w:r>
              <w:rPr>
                <w:spacing w:val="2"/>
              </w:rPr>
              <w:t>As of March 31, 2025, 428,633 shares remained available for future grants under the Existing Plan in the form of options or stock appreciation rights (“SARs”), and 271,337 shares remained available for future grants in the form of awards other than options or SARs.</w:t>
            </w:r>
            <w:r>
              <w:rPr/>
              <w:t xml:space="preserve"> </w:t>
            </w:r>
          </w:p>
          <w:p>
            <w:pPr>
              <w:pStyle w:val="TableContents"/>
              <w:bidi w:val="0"/>
              <w:spacing w:before="280" w:after="283"/>
              <w:jc w:val="both"/>
              <w:rPr/>
            </w:pPr>
            <w:r>
              <w:rPr>
                <w:spacing w:val="2"/>
              </w:rPr>
              <w:t>The Board approved and adopted the Second A&amp;R Plan, to be effective immediately following the AGM, subject to shareholder approval at the AGM. The Board adopted the Second A&amp;R Plan in order to provide for an aggregate of 2,200,000 shares that can be issued pursuant to awards granted on or after the date on which the Second A&amp;R Plan is approved by the Company’s shareholders.</w:t>
            </w:r>
            <w:r>
              <w:rPr/>
              <w:t xml:space="preserve"> </w:t>
            </w:r>
          </w:p>
          <w:p>
            <w:pPr>
              <w:pStyle w:val="TableContents"/>
              <w:bidi w:val="0"/>
              <w:spacing w:before="280" w:after="283"/>
              <w:jc w:val="both"/>
              <w:rPr/>
            </w:pPr>
            <w:r>
              <w:rPr>
                <w:spacing w:val="2"/>
              </w:rPr>
              <w:t>Assuming the Second A&amp;R Plan is approved by shareholders, a maximum of 2,200,000 shares will be available for issuance pursuant to awards granted on or after the date on which the Second A&amp;R Plan is approved by the Company’s shareholders.</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403"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color w:val="702076"/>
                <w:spacing w:val="2"/>
              </w:rPr>
              <w:t>This ordinary resolution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approval of the Second Amended and Restated LivaNova PLC 2022 Incentive Award Plan.</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76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4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176" descr=""/>
                          <pic:cNvPicPr>
                            <a:picLocks noChangeAspect="1" noChangeArrowheads="1"/>
                          </pic:cNvPicPr>
                        </pic:nvPicPr>
                        <pic:blipFill>
                          <a:blip r:embed="rId17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4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77" descr=""/>
                    <pic:cNvPicPr>
                      <a:picLocks noChangeAspect="1" noChangeArrowheads="1"/>
                    </pic:cNvPicPr>
                  </pic:nvPicPr>
                  <pic:blipFill>
                    <a:blip r:embed="rId17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8100" w:type="dxa"/>
            <w:tcBorders>
              <w:bottom w:val="single" w:sz="8" w:space="0" w:color="702076"/>
            </w:tcBorders>
            <w:tcMar>
              <w:bottom w:w="107" w:type="dxa"/>
            </w:tcMar>
            <w:vAlign w:val="center"/>
          </w:tcPr>
          <w:p>
            <w:pPr>
              <w:pStyle w:val="TableContents"/>
              <w:bidi w:val="0"/>
              <w:spacing w:before="0" w:after="0"/>
              <w:jc w:val="both"/>
              <w:rPr/>
            </w:pPr>
            <w:r>
              <w:rPr>
                <w:spacing w:val="2"/>
              </w:rPr>
              <w:t>As of March 31, 2025, a total of 4,075,796 shares were subject to outstanding awards of options or SARs under the Existing Plan and other predecessor plans. These awards had a weighted average exercise price of $55.86 and a weighted average remaining contractual life of 7.40 years. In addition, 1,462,692 shares were subject to other types of awards outstanding under the Existing Plan and other predecessor plans. Under the LivaNova PLC 2015 Incentive Award Plan, as amended (the “2015 Plan”), 88,267 shares remained available for issuance pursuant to awards as of March 31, 2025. In accordance with its terms, awards under the 2015 Plan may be granted solely to non-executive directors.</w:t>
            </w:r>
            <w:r>
              <w:rPr/>
              <w:t xml:space="preserve"> </w:t>
            </w:r>
          </w:p>
          <w:p>
            <w:pPr>
              <w:pStyle w:val="TableContents"/>
              <w:bidi w:val="0"/>
              <w:spacing w:before="240" w:after="283"/>
              <w:jc w:val="both"/>
              <w:rPr/>
            </w:pPr>
            <w:r>
              <w:rPr>
                <w:spacing w:val="2"/>
              </w:rPr>
              <w:t>Since March 31, 2025, no awards of any kind were granted, and the Company will not grant an award of any kind under the Existing Plan unless the Second A&amp;R Plan is not approved by shareholders. Assuming the Second A&amp;R Plan is approved by shareholders, future grants from and after the date of the AGM will be made pursuant to the terms of the Second A&amp;R Plan.</w:t>
            </w:r>
            <w:r>
              <w:rPr/>
              <w:t xml:space="preserve"> </w:t>
            </w:r>
          </w:p>
          <w:p>
            <w:pPr>
              <w:pStyle w:val="TableContents"/>
              <w:bidi w:val="0"/>
              <w:spacing w:before="240" w:after="283"/>
              <w:jc w:val="both"/>
              <w:rPr/>
            </w:pPr>
            <w:r>
              <w:rPr>
                <w:spacing w:val="2"/>
              </w:rPr>
              <w:t>If this proposal does not receive the required vote for approval, then the Existing Plan will remain in effect in accordance with its existing terms, and the Company will continue to grant equity incentive awards under the Existing Plan. However, as noted above, by March 30, 2026, the Company expects that it may have an insufficient number of shares available to continue to make equity-based compensation a meaningful part of its employees’ and executives’ overall compensation. Further, the Company believes its ability to retain and attract talented personnel could be adversely affected due to the ability of its competitors to offer long-term equity compensation to those individuals and its inability to do so. Without sufficient share capacity in its compensation program, the Company could lose employees or be forced to pay higher compensation in cash to maintain competitive levels of compensation.</w:t>
            </w:r>
            <w:r>
              <w:rPr/>
              <w:t xml:space="preserve"> </w:t>
            </w:r>
          </w:p>
          <w:p>
            <w:pPr>
              <w:pStyle w:val="TableContents"/>
              <w:bidi w:val="0"/>
              <w:spacing w:before="240" w:after="283"/>
              <w:jc w:val="left"/>
              <w:rPr>
                <w:rFonts w:ascii="Arial Narrow;Arial;Tahoma;Geneva;sans-serif" w:hAnsi="Arial Narrow;Arial;Tahoma;Geneva;sans-serif"/>
                <w:b/>
              </w:rPr>
            </w:pPr>
            <w:r>
              <w:rPr>
                <w:rFonts w:ascii="Arial Narrow;Arial;Tahoma;Geneva;sans-serif" w:hAnsi="Arial Narrow;Arial;Tahoma;Geneva;sans-serif"/>
                <w:b/>
                <w:spacing w:val="11"/>
              </w:rPr>
              <w:t>French Sub-Plan</w:t>
            </w:r>
            <w:r>
              <w:rPr>
                <w:rFonts w:ascii="Arial Narrow;Arial;Tahoma;Geneva;sans-serif" w:hAnsi="Arial Narrow;Arial;Tahoma;Geneva;sans-serif"/>
                <w:b/>
              </w:rPr>
              <w:t xml:space="preserve"> </w:t>
            </w:r>
          </w:p>
          <w:p>
            <w:pPr>
              <w:pStyle w:val="TableContents"/>
              <w:bidi w:val="0"/>
              <w:spacing w:before="240" w:after="283"/>
              <w:jc w:val="both"/>
              <w:rPr>
                <w:spacing w:val="2"/>
              </w:rPr>
            </w:pPr>
            <w:r>
              <w:rPr>
                <w:spacing w:val="2"/>
              </w:rPr>
              <w:t xml:space="preserve">Proposal No. 4 is also to approve the French sub-plan of the Second A&amp;R Plan (the “French Sub-Plan”), as set out in Appendix B to the Second A&amp;R Plan, in order to grant Restricted Stock Units to eligible French employees (as defined in the French Sub-Plan) complying with all applicable provisions of Articles L 225-197-1 et seq. of the French Commercial Code (or any successor provisions thereto) (as construed by the official guidelines of the French tax authorities, unless otherwise permitted by such guidelines) and which provides that (i) no portion of Restricted Stock Units granted under the French Sub-Plan may vest prior to the first anniversary of the date of grant of such award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120"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4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178" descr=""/>
                          <pic:cNvPicPr>
                            <a:picLocks noChangeAspect="1" noChangeArrowheads="1"/>
                          </pic:cNvPicPr>
                        </pic:nvPicPr>
                        <pic:blipFill>
                          <a:blip r:embed="rId17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77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5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179" descr=""/>
                    <pic:cNvPicPr>
                      <a:picLocks noChangeAspect="1" noChangeArrowheads="1"/>
                    </pic:cNvPicPr>
                  </pic:nvPicPr>
                  <pic:blipFill>
                    <a:blip r:embed="rId18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8100" w:type="dxa"/>
            <w:tcBorders>
              <w:bottom w:val="single" w:sz="8" w:space="0" w:color="702076"/>
            </w:tcBorders>
            <w:tcMar>
              <w:bottom w:w="107" w:type="dxa"/>
            </w:tcMar>
            <w:vAlign w:val="center"/>
          </w:tcPr>
          <w:p>
            <w:pPr>
              <w:pStyle w:val="TableContents"/>
              <w:bidi w:val="0"/>
              <w:spacing w:before="0" w:after="0"/>
              <w:jc w:val="both"/>
              <w:rPr>
                <w:spacing w:val="2"/>
              </w:rPr>
            </w:pPr>
            <w:r>
              <w:rPr>
                <w:spacing w:val="2"/>
              </w:rPr>
              <w:t xml:space="preserve">(except in the event of the participant’s death or disability as permitted by the provisions of Article L 225-197-1 of the French Commercial Code), (ii) following the settlement of any portion of an award in shares before the second anniversary of the date of grant, such shares must be held without being directly or indirectly transferred, assigned in any respect whatsoever or leased until the second anniversary of the date of grant (except in the event of the Participant’s death or disability as provided by the provisions of Articles L 225-197-1 and L 225-197-3 of the French Commercial Code) and (iii) the total number of Restricted Stock Units granted under the French Sub-Plan shall (when added together with other Restricted Stock Units granted by the Company under the Second A&amp;R Plan in accordance with Article L 225-197-1, § 2 of the French Commercial Code) not exceed 15% of the issued and outstanding shares of the Company upon the grant date and to further authorize, as long as the Second A&amp;R Plan remains in force, the Administrator (as defined in the Second A&amp;R Plan) to revise, renew or adopt a French sub-plan provided that it complies with all applicable provisions of Articles L 225-197-1 et seq. of the French Commercial Code (or any successor provisions thereto) (as construed by the official guidelines of the French tax authorities, unless otherwise permitted by such guidelines) and items (i) to (iii) above.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120"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4"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Awards Granted under the Existing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No awards made under the Second A&amp;R Plan prior to the date of the AGM were granted subject to shareholder approval of this proposal. Future grants under the Second A&amp;R Plan will be made at the discretion of the Administrator and, accordingly, are not yet determinable. In addition, benefits under the Second A&amp;R Plan will depend on a number of factors, including the fair market value of LivaNova’s Ordinary Shares on future dates and the exercise decisions made by participants. Consequently, at this time, it is not possible to determine the future benefits that might be received by participants receiving discretionary grants under the Second A&amp;R Plan.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sets forth information with respect to the number of outstanding SARs, RSUs, and PSUs that have been granted to the named executive officers and the specified groups set forth below under the Existing Plan as of March 31, 2025. On March 31, 2025, the closing price of the underlying shares of LivaNova’s Ordinary Shares traded on the Nasdaq was $39.28 per share.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78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5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80" descr=""/>
                          <pic:cNvPicPr>
                            <a:picLocks noChangeAspect="1" noChangeArrowheads="1"/>
                          </pic:cNvPicPr>
                        </pic:nvPicPr>
                        <pic:blipFill>
                          <a:blip r:embed="rId18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5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181" descr=""/>
                    <pic:cNvPicPr>
                      <a:picLocks noChangeAspect="1" noChangeArrowheads="1"/>
                    </pic:cNvPicPr>
                  </pic:nvPicPr>
                  <pic:blipFill>
                    <a:blip r:embed="rId18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3736"/>
        <w:gridCol w:w="109"/>
        <w:gridCol w:w="109"/>
        <w:gridCol w:w="109"/>
        <w:gridCol w:w="109"/>
        <w:gridCol w:w="109"/>
        <w:gridCol w:w="1066"/>
        <w:gridCol w:w="109"/>
        <w:gridCol w:w="109"/>
        <w:gridCol w:w="109"/>
        <w:gridCol w:w="109"/>
        <w:gridCol w:w="109"/>
        <w:gridCol w:w="109"/>
        <w:gridCol w:w="886"/>
        <w:gridCol w:w="10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3736" w:type="dxa"/>
            <w:tcBorders/>
            <w:shd w:fill="702076" w:val="clear"/>
            <w:vAlign w:val="center"/>
          </w:tcPr>
          <w:p>
            <w:pPr>
              <w:pStyle w:val="TableContents"/>
              <w:bidi w:val="0"/>
              <w:spacing w:before="0" w:after="0"/>
              <w:jc w:val="left"/>
              <w:rPr>
                <w:spacing w:val="2"/>
              </w:rPr>
            </w:pPr>
            <w:r>
              <w:rPr>
                <w:spacing w:val="2"/>
              </w:rPr>
              <w:t xml:space="preserve">Name/Group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before="0" w:after="0"/>
              <w:jc w:val="center"/>
              <w:rPr>
                <w:spacing w:val="2"/>
              </w:rPr>
            </w:pPr>
            <w:r>
              <w:rPr>
                <w:spacing w:val="2"/>
              </w:rPr>
              <w:t xml:space="preserve">SARs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before="0" w:after="0"/>
              <w:jc w:val="center"/>
              <w:rPr>
                <w:spacing w:val="2"/>
              </w:rPr>
            </w:pPr>
            <w:r>
              <w:rPr>
                <w:spacing w:val="2"/>
              </w:rPr>
              <w:t xml:space="preserve">RSUs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13" w:type="dxa"/>
            <w:gridSpan w:val="4"/>
            <w:tcBorders/>
            <w:shd w:fill="702076" w:val="clear"/>
            <w:vAlign w:val="center"/>
          </w:tcPr>
          <w:p>
            <w:pPr>
              <w:pStyle w:val="TableContents"/>
              <w:bidi w:val="0"/>
              <w:spacing w:lineRule="atLeast" w:line="142" w:before="0" w:after="0"/>
              <w:jc w:val="center"/>
              <w:rPr/>
            </w:pPr>
            <w:r>
              <w:rPr>
                <w:spacing w:val="2"/>
              </w:rPr>
              <w:t>PSUs</w:t>
            </w:r>
            <w:r>
              <w:rPr>
                <w:spacing w:val="2"/>
                <w:sz w:val="13"/>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54"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Vladimir Makatsaria, </w:t>
            </w:r>
            <w:r>
              <w:rPr>
                <w:i/>
              </w:rPr>
              <w:t>Chief Executive Officer</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158,504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63,125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114,063</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William Kozy, </w:t>
            </w:r>
            <w:r>
              <w:rPr>
                <w:i/>
              </w:rPr>
              <w:t>Former Interim CEO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Alex Shvartsburg, </w:t>
            </w:r>
            <w:r>
              <w:rPr>
                <w:i/>
              </w:rPr>
              <w:t>CFO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59,497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20,951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53,687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Ahmet Tezel, </w:t>
            </w:r>
            <w:r>
              <w:rPr>
                <w:i/>
              </w:rPr>
              <w:t>SVP, Chief Innovation Officer</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47,761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22,085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33,507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Michael Hutchinson, </w:t>
            </w:r>
            <w:r>
              <w:rPr>
                <w:i/>
              </w:rPr>
              <w:t>SVP, Chief Legal Officer and Company Secretary</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44,836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20,762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40,299</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Franco Poletti</w:t>
            </w:r>
            <w:r>
              <w:rPr>
                <w:i/>
              </w:rPr>
              <w:t>, President, Cardiopulmonary Business Unit</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27,418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12,255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21,661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Trui Hebbelinck, </w:t>
            </w:r>
            <w:r>
              <w:rPr>
                <w:i/>
              </w:rPr>
              <w:t>Former CHRO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20,092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5,675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16,681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All executive officers as a group (6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375,766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152,550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315,568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All non-executive directors as a group (9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45" w:type="dxa"/>
            </w:tcMar>
            <w:vAlign w:val="center"/>
          </w:tcPr>
          <w:p>
            <w:pPr>
              <w:pStyle w:val="TableContents"/>
              <w:bidi w:val="0"/>
              <w:spacing w:before="0" w:after="0"/>
              <w:jc w:val="left"/>
              <w:rPr/>
            </w:pPr>
            <w:r>
              <w:rPr>
                <w:spacing w:val="2"/>
              </w:rPr>
              <w:t>Each associate of the above-mentioned directors or executive officers</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395,858</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158,225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886" w:type="dxa"/>
            <w:tcBorders>
              <w:bottom w:val="single" w:sz="6" w:space="0" w:color="702076"/>
            </w:tcBorders>
            <w:tcMar>
              <w:bottom w:w="45" w:type="dxa"/>
            </w:tcMar>
            <w:vAlign w:val="center"/>
          </w:tcPr>
          <w:p>
            <w:pPr>
              <w:pStyle w:val="TableContents"/>
              <w:bidi w:val="0"/>
              <w:spacing w:before="0" w:after="283"/>
              <w:jc w:val="right"/>
              <w:rPr/>
            </w:pPr>
            <w:r>
              <w:rPr/>
              <w:t>315,611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32" w:type="dxa"/>
            </w:tcMar>
            <w:vAlign w:val="center"/>
          </w:tcPr>
          <w:p>
            <w:pPr>
              <w:pStyle w:val="TableContents"/>
              <w:bidi w:val="0"/>
              <w:spacing w:before="0" w:after="0"/>
              <w:jc w:val="left"/>
              <w:rPr>
                <w:spacing w:val="2"/>
              </w:rPr>
            </w:pPr>
            <w:r>
              <w:rPr>
                <w:spacing w:val="2"/>
              </w:rPr>
              <w:t xml:space="preserve">Each other person who received or is to receive 5% of such options, warrants or rights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1066"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886"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886"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3736" w:type="dxa"/>
            <w:tcBorders>
              <w:bottom w:val="single" w:sz="6" w:space="0" w:color="702076"/>
            </w:tcBorders>
            <w:tcMar>
              <w:bottom w:w="32" w:type="dxa"/>
            </w:tcMar>
            <w:vAlign w:val="center"/>
          </w:tcPr>
          <w:p>
            <w:pPr>
              <w:pStyle w:val="TableContents"/>
              <w:bidi w:val="0"/>
              <w:spacing w:before="0" w:after="0"/>
              <w:jc w:val="left"/>
              <w:rPr>
                <w:spacing w:val="2"/>
              </w:rPr>
            </w:pPr>
            <w:r>
              <w:rPr>
                <w:spacing w:val="2"/>
              </w:rPr>
              <w:t xml:space="preserve">All employees (other than executive officers) as a group (791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1066" w:type="dxa"/>
            <w:tcBorders>
              <w:bottom w:val="single" w:sz="6" w:space="0" w:color="702076"/>
            </w:tcBorders>
            <w:tcMar>
              <w:bottom w:w="32" w:type="dxa"/>
            </w:tcMar>
            <w:vAlign w:val="center"/>
          </w:tcPr>
          <w:p>
            <w:pPr>
              <w:pStyle w:val="TableContents"/>
              <w:bidi w:val="0"/>
              <w:spacing w:before="0" w:after="283"/>
              <w:jc w:val="right"/>
              <w:rPr/>
            </w:pPr>
            <w:r>
              <w:rPr/>
              <w:t>1,987,384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886" w:type="dxa"/>
            <w:tcBorders>
              <w:bottom w:val="single" w:sz="6" w:space="0" w:color="702076"/>
            </w:tcBorders>
            <w:tcMar>
              <w:bottom w:w="32" w:type="dxa"/>
            </w:tcMar>
            <w:vAlign w:val="center"/>
          </w:tcPr>
          <w:p>
            <w:pPr>
              <w:pStyle w:val="TableContents"/>
              <w:bidi w:val="0"/>
              <w:spacing w:before="0" w:after="283"/>
              <w:jc w:val="right"/>
              <w:rPr/>
            </w:pPr>
            <w:r>
              <w:rPr/>
              <w:t>814,224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886" w:type="dxa"/>
            <w:tcBorders>
              <w:bottom w:val="single" w:sz="6" w:space="0" w:color="702076"/>
            </w:tcBorders>
            <w:tcMar>
              <w:bottom w:w="32" w:type="dxa"/>
            </w:tcMar>
            <w:vAlign w:val="center"/>
          </w:tcPr>
          <w:p>
            <w:pPr>
              <w:pStyle w:val="TableContents"/>
              <w:bidi w:val="0"/>
              <w:spacing w:before="0" w:after="283"/>
              <w:jc w:val="right"/>
              <w:rPr/>
            </w:pPr>
            <w:r>
              <w:rPr/>
              <w:t>91,990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36" w:type="dxa"/>
            <w:gridSpan w:val="22"/>
            <w:tcBorders>
              <w:bottom w:val="single" w:sz="6" w:space="0" w:color="702076"/>
            </w:tcBorders>
            <w:shd w:fill="D8D8D8" w:val="clear"/>
            <w:tcMar>
              <w:bottom w:w="32" w:type="dxa"/>
            </w:tcMar>
            <w:vAlign w:val="center"/>
          </w:tcPr>
          <w:p>
            <w:pPr>
              <w:pStyle w:val="TableContents"/>
              <w:bidi w:val="0"/>
              <w:spacing w:lineRule="atLeast" w:line="200" w:before="0" w:after="0"/>
              <w:ind w:left="360" w:right="0" w:hanging="0"/>
              <w:jc w:val="left"/>
              <w:rPr/>
            </w:pPr>
            <w:r>
              <w:rPr>
                <w:spacing w:val="2"/>
              </w:rPr>
              <w:t>(1)</w:t>
            </w:r>
            <w:r>
              <w:rPr/>
              <w:t xml:space="preserve"> </w:t>
            </w:r>
          </w:p>
          <w:p>
            <w:pPr>
              <w:pStyle w:val="TableContents"/>
              <w:bidi w:val="0"/>
              <w:spacing w:lineRule="atLeast" w:line="200" w:before="0" w:after="283"/>
              <w:ind w:left="760" w:right="0" w:hanging="0"/>
              <w:jc w:val="left"/>
              <w:rPr/>
            </w:pPr>
            <w:r>
              <w:rPr>
                <w:spacing w:val="2"/>
              </w:rPr>
              <w:t>The number of shares represents the target number of shares that could be issued underlying the PSUs.</w:t>
            </w:r>
            <w:r>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Description of the Second A&amp;R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is a summary of the material features of the Second A&amp;R Plan. This summary is qualified in its entirety by the full text of the Second A&amp;R Plan, a copy of which is attached to this proxy statement as Appendix 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Purpose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purpose of the Second A&amp;R Plan is to promote the success and enhance the value of the Company by linking the individual interests of the employees to those of Company shareholders and providing an incentive to drive value creation for the Company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Administration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A&amp;R Plan will be administered by the CHCM Committee of the Board or a committee of one or more members of the Board or one or more officers of the Company authorized by the CHCM Committee or the Board to grant awards under the Second A&amp;R Plan in a manner that complies with the applicable requirements of Section 16 of the Exchange Act and any other applicable legal or stock exchange listing requirements (the “Administrator”). The Administrator has the authority to interpret the Second A&amp;R Plan and may prescribe, amend, and rescind rules and make all other determinations necessary or desirable for the administration of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Eligibility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Only employees of the Company and its subsidiaries will be eligible to receive awards under the Second A&amp;R Plan, which constitutes approximately 2,900 individuals.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Shares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total number of LivaNova’s Ordinary Shares available for awards granted under the Second A&amp;R Plan on or after the date on which the Second A&amp;R Plan is approved by the Company’s shareholders (the “Effective Date”) may not exceed 2,200,000 shares. Since March 31, 2025, no awards of any kind were granted, and the Company will not grant an award of any kind under Existing Plan unless the Second A&amp;R Plan is not approved by shareholders. Assuming the Second A&amp;R Plan is approved by shareholders, future grants from and after the date of the AGM will be made pursuant to the terms of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5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182" descr=""/>
                          <pic:cNvPicPr>
                            <a:picLocks noChangeAspect="1" noChangeArrowheads="1"/>
                          </pic:cNvPicPr>
                        </pic:nvPicPr>
                        <pic:blipFill>
                          <a:blip r:embed="rId18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79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5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183" descr=""/>
                    <pic:cNvPicPr>
                      <a:picLocks noChangeAspect="1" noChangeArrowheads="1"/>
                    </pic:cNvPicPr>
                  </pic:nvPicPr>
                  <pic:blipFill>
                    <a:blip r:embed="rId18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any shares subject to an award are forfeited, lapse, or expire, or if any shares subject to an award are converted to shares of another company in connection with a takeover, sale, recapitalization, reorganization, merger, consolidation, split-up, spin-off, combination, exchange of shares or other similar event, or if any award is settled for cash (in whole or in part) or repurchased, in each case, regardless of whether any such award was granted prior to, on or after the Effective Date, the shares subject to such award shall, to the extent of such forfeiture, lapse, expiration or cash settlement, again be available for future grants of awards under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following shares, however,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award; (iii) shares subject to a SAR that are not issued in connection with the settlement of the SAR in shares upon exercise thereof; and (iv) shares purchased on the open market with the cash proceeds from the exercise of options. No shares may again be optioned, granted, or awarded if such action would cause an incentive stock option to fail to qualify as an incentive stock option under Section 422 of the Internal Revenue Code of 1986 (the “Code”).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Types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A&amp;R Plan permits the issuance of incentive stock options, non-statutory stock options, SARs, restricted stock, restricted stock units (“RSUs”), other stock- or cash-based awards, and dividend equivalent rights.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A&amp;R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settled or forfeited, prescribe the form of each award agreement, which need not be identical for each participant, and decide all other matters that must be determined in connection with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terms of the Second A&amp;R Plan, the Company is authorized to award or grant the following types of equity and equity-based awards to employees of the Company and its subsidiaries: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Options and SARs</w:t>
      </w:r>
      <w:r>
        <w:rPr>
          <w:rFonts w:ascii="Tahoma;Geneva;sans-serif" w:hAnsi="Tahoma;Geneva;sans-serif"/>
          <w:b w:val="false"/>
          <w:i w:val="false"/>
          <w:caps w:val="false"/>
          <w:smallCaps w:val="false"/>
          <w:color w:val="000000"/>
          <w:spacing w:val="2"/>
          <w:sz w:val="20"/>
        </w:rPr>
        <w:t>: The Administrator is authorized to grant options and SARs to eligible individuals in such amounts and subject to such terms and conditions as determined by the Administrator. Options granted under the Second A&amp;R Plan may be incentive stock options or nonqualified stock options. The Administrator will determine the term of each option and SAR, which may not exceed ten years, or five years in the case of an incentive stock option granted to a greater than ten percent shareholder, the exercise price, which shall not be less than the fair market value of a share on the grant date, or in the case of an incentive stock option granted to a greater than ten percent shareholder, 110% of the fair market value of a share on the grant date, the vesting schedule, if any, and the other material terms of each option and SAR, provided that, except in the event of a holder’s death, disability or retirement, the vesting period will in all cases be at least 12 months from the grant date. Unless otherwise provided by the Administrator or directed by the holder, each vested and exercisable option and SAR outstanding on the last day of the term, such option or SAR with an exercise price per share that is less than the fair market value per share as of such date, shall automatically be exercised.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24">
                <wp:simplePos x="0" y="0"/>
                <wp:positionH relativeFrom="column">
                  <wp:align>left</wp:align>
                </wp:positionH>
                <wp:positionV relativeFrom="line">
                  <wp:align>top</wp:align>
                </wp:positionV>
                <wp:extent cx="228600" cy="350520"/>
                <wp:effectExtent l="0" t="0" r="0" b="0"/>
                <wp:wrapSquare wrapText="right"/>
                <wp:docPr id="555" name="Frame3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Restricted Stock</w:t>
      </w:r>
      <w:r>
        <w:rPr>
          <w:rFonts w:ascii="Tahoma;Geneva;sans-serif" w:hAnsi="Tahoma;Geneva;sans-serif"/>
          <w:b w:val="false"/>
          <w:i w:val="false"/>
          <w:caps w:val="false"/>
          <w:smallCaps w:val="false"/>
          <w:color w:val="000000"/>
          <w:spacing w:val="2"/>
          <w:sz w:val="20"/>
        </w:rPr>
        <w:t xml:space="preserve">: The Administrator is authorized to grant restricted stock to eligible individuals under the Second A&amp;R Plan. The Administrator will determine the terms and conditions of restricted stock, including vesting conditions, provided that, except in the event of a holder’s death, disability or retirement, the vesting period will in all cases be at least 12 months from the grant date. Unless otherwise provided by the Administrator, holders of restricted stock will generally have all of the rights of a shareholder with respect to such restricted stock, including the right to receive dividends and other distributions, provided that any dividends that are paid prior to vesting shall only be paid out to the holder to the extent that vesting conditions are subsequently satisfied. Upon a termination of service all unvested restricted stock shall be forfeited, or if the holder paid a purchase price for such restricted stock, will be subject to a repurchase right by the Company at a price equal to the purchase price or such other amount as specified in the applicable award agreement, except that the Administrator may, </w:t>
      </w:r>
      <w:r>
        <mc:AlternateContent>
          <mc:Choice Requires="wps">
            <w:drawing>
              <wp:anchor behindDoc="0" distT="76200" distB="0" distL="228600" distR="0" simplePos="0" locked="0" layoutInCell="1" allowOverlap="1" relativeHeight="725">
                <wp:simplePos x="0" y="0"/>
                <wp:positionH relativeFrom="column">
                  <wp:align>left</wp:align>
                </wp:positionH>
                <wp:positionV relativeFrom="line">
                  <wp:align>top</wp:align>
                </wp:positionV>
                <wp:extent cx="228600" cy="350520"/>
                <wp:effectExtent l="0" t="0" r="0" b="0"/>
                <wp:wrapSquare wrapText="right"/>
                <wp:docPr id="556" name="Frame3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5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184" descr=""/>
                          <pic:cNvPicPr>
                            <a:picLocks noChangeAspect="1" noChangeArrowheads="1"/>
                          </pic:cNvPicPr>
                        </pic:nvPicPr>
                        <pic:blipFill>
                          <a:blip r:embed="rId18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5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85" descr=""/>
                    <pic:cNvPicPr>
                      <a:picLocks noChangeAspect="1" noChangeArrowheads="1"/>
                    </pic:cNvPicPr>
                  </pic:nvPicPr>
                  <pic:blipFill>
                    <a:blip r:embed="rId18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holder’s death, disability or retirement, provide for the acceleration or continued vesting of unvested restricted stock.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RSUs</w:t>
      </w:r>
      <w:r>
        <w:rPr>
          <w:rFonts w:ascii="Tahoma;Geneva;sans-serif" w:hAnsi="Tahoma;Geneva;sans-serif"/>
          <w:b w:val="false"/>
          <w:i w:val="false"/>
          <w:caps w:val="false"/>
          <w:smallCaps w:val="false"/>
          <w:color w:val="000000"/>
          <w:spacing w:val="2"/>
          <w:sz w:val="20"/>
        </w:rPr>
        <w:t>: The Administrator is authorized to grant RSUs to eligible individuals under the Second A&amp;R Plan. The Administrator will determine the terms and conditions of RSUs, including any purchase price, provided that the value of the consideration shall not be less than the par value of a share unless otherwise permitted by applicable law, the term of the RSUs, the vesting conditions, providing that, except in the event of a holder’s death, disability or retirement, the vesting period will in all cases be at least 12 months from the grant date, and the maturity date, which shall be no later than the vesting date and shall comply with Section 409A of the Code. An award of RSUs shall only be settled while the holder is an employee, unless the Administrator provides for settlement following termination of service in the event of the holder’s death or disability.</w:t>
      </w:r>
      <w:r>
        <w:rPr>
          <w:rFonts w:ascii="Tahoma;Geneva;sans-serif" w:hAnsi="Tahoma;Geneva;sans-serif"/>
          <w:b w:val="false"/>
          <w:i w:val="false"/>
          <w:caps w:val="false"/>
          <w:smallCaps w:val="false"/>
          <w:color w:val="000000"/>
          <w:sz w:val="20"/>
        </w:rPr>
        <w:t xml:space="preserve"> </w:t>
      </w:r>
      <w:r>
        <mc:AlternateContent>
          <mc:Choice Requires="wps">
            <w:drawing>
              <wp:anchor behindDoc="0" distT="78740" distB="0" distL="228600" distR="0" simplePos="0" locked="0" layoutInCell="1" allowOverlap="1" relativeHeight="726">
                <wp:simplePos x="0" y="0"/>
                <wp:positionH relativeFrom="column">
                  <wp:align>left</wp:align>
                </wp:positionH>
                <wp:positionV relativeFrom="line">
                  <wp:align>top</wp:align>
                </wp:positionV>
                <wp:extent cx="228600" cy="350520"/>
                <wp:effectExtent l="0" t="0" r="0" b="0"/>
                <wp:wrapSquare wrapText="right"/>
                <wp:docPr id="559" name="Frame3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Other Stock or Cash Based Award</w:t>
      </w:r>
      <w:r>
        <w:rPr>
          <w:rFonts w:ascii="Tahoma;Geneva;sans-serif" w:hAnsi="Tahoma;Geneva;sans-serif"/>
          <w:b w:val="false"/>
          <w:i w:val="false"/>
          <w:caps w:val="false"/>
          <w:smallCaps w:val="false"/>
          <w:color w:val="000000"/>
          <w:spacing w:val="2"/>
          <w:sz w:val="20"/>
        </w:rPr>
        <w:t>: The Administrator is authorized to grant other stock or cash based awards, including awards entitling a holder to receive shares or cash to be delivered immediately or in the future, to any eligible individual. The Administrator shall determine the terms and conditions of each stock or cash based award, including the term of the award, any exercise or purchase price, performance goals, transfer restrictions, and vesting conditions, but, except in the event of a holder’s death, disability or retirement, the vesting period shall in all cases be a period of at least 12 months from the grant date.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727">
                <wp:simplePos x="0" y="0"/>
                <wp:positionH relativeFrom="column">
                  <wp:align>left</wp:align>
                </wp:positionH>
                <wp:positionV relativeFrom="line">
                  <wp:align>top</wp:align>
                </wp:positionV>
                <wp:extent cx="228600" cy="350520"/>
                <wp:effectExtent l="0" t="0" r="0" b="0"/>
                <wp:wrapSquare wrapText="right"/>
                <wp:docPr id="560" name="Frame3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Dividend Equivalent Award</w:t>
      </w:r>
      <w:r>
        <w:rPr>
          <w:rFonts w:ascii="Tahoma;Geneva;sans-serif" w:hAnsi="Tahoma;Geneva;sans-serif"/>
          <w:b w:val="false"/>
          <w:i w:val="false"/>
          <w:caps w:val="false"/>
          <w:smallCaps w:val="false"/>
          <w:color w:val="000000"/>
          <w:spacing w:val="2"/>
          <w:sz w:val="20"/>
        </w:rPr>
        <w:t>: The Administrator is authorized to grant dividend equivalents, either alone or in tandem with another award (other than an option or SAR), based on dividends declared on Ordinary Shares, to be credited as of dividend payment dates determined by the Administrator, payable in cash or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728">
                <wp:simplePos x="0" y="0"/>
                <wp:positionH relativeFrom="column">
                  <wp:align>left</wp:align>
                </wp:positionH>
                <wp:positionV relativeFrom="line">
                  <wp:align>top</wp:align>
                </wp:positionV>
                <wp:extent cx="228600" cy="350520"/>
                <wp:effectExtent l="0" t="0" r="0" b="0"/>
                <wp:wrapSquare wrapText="right"/>
                <wp:docPr id="561" name="Frame3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each of the foregoing provisions, up to a maximum of five percent (5%) of the maximum aggregate number of shares that may be issued under the Second A&amp;R Plan without regard for any limitations or other requirements for vesting or transferability under the Second A&amp;R Plan.</w:t>
      </w:r>
      <w:r>
        <w:rPr>
          <w:rFonts w:ascii="Tahoma;Geneva;sans-serif" w:hAnsi="Tahoma;Geneva;sans-serif"/>
          <w:b w:val="false"/>
          <w:i w:val="false"/>
          <w:caps w:val="false"/>
          <w:smallCaps w:val="false"/>
          <w:color w:val="000000"/>
          <w:sz w:val="20"/>
        </w:rPr>
        <w:t xml:space="preserve"> </w:t>
      </w:r>
      <w:r>
        <mc:AlternateContent>
          <mc:Choice Requires="wps">
            <w:drawing>
              <wp:anchor behindDoc="0" distT="77470" distB="0" distL="228600" distR="0" simplePos="0" locked="0" layoutInCell="1" allowOverlap="1" relativeHeight="729">
                <wp:simplePos x="0" y="0"/>
                <wp:positionH relativeFrom="column">
                  <wp:align>left</wp:align>
                </wp:positionH>
                <wp:positionV relativeFrom="line">
                  <wp:align>top</wp:align>
                </wp:positionV>
                <wp:extent cx="228600" cy="350520"/>
                <wp:effectExtent l="0" t="0" r="0" b="0"/>
                <wp:wrapSquare wrapText="right"/>
                <wp:docPr id="562" name="Frame3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8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Change in Control</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change in control as defined in the Second A&amp;R Plan and as explained further below (a “Change in Control”), unless the Administrator elects to (i) terminate an award in exchange for cash, rights or property, or (ii) cause an award to become fully exercisable and no longer subject to any forfeiture restrictions prior to the consummation of a Change in Control,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or the Administrator’s discretion.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An award shall be considered assumed if, following the Change in Control, the award confers the right to purchase or receive the same consideration as shareholders or an equivalent number of shares of the successor corporation, and an award with performance-based vesting will not be considered assumed if the applicable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6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186" descr=""/>
                          <pic:cNvPicPr>
                            <a:picLocks noChangeAspect="1" noChangeArrowheads="1"/>
                          </pic:cNvPicPr>
                        </pic:nvPicPr>
                        <pic:blipFill>
                          <a:blip r:embed="rId18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81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6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187" descr=""/>
                    <pic:cNvPicPr>
                      <a:picLocks noChangeAspect="1" noChangeArrowheads="1"/>
                    </pic:cNvPicPr>
                  </pic:nvPicPr>
                  <pic:blipFill>
                    <a:blip r:embed="rId18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performance goals are modified without the holder’s consent in a manner that could reasonably be expected to have a material adverse impact on the holder.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1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purposes of the Second A&amp;R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for award holders subject to Section 409A of the Code, to the extent that any amount payable under the Second A&amp;R Plan constitutes non-exempt deferred compensation for purposes of Section 409A of the Code, such amount shall not be payable due to a Change in Control unless it also constitutes a “change in control event” as defined in the regulations promulgated under Section 409A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9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Tax Withholding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a condition of the grant, all participants agree that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or any other relevant taxes (including, but not limited, to any federal, state, local or foreign taxes) related to the grant, vesting or exercise of any award, the transfer or issue of any shares or cash upon satisfaction of any award, any restrictions applicable to shares ceasing to apply, the disposal of any shares, or the participation in the Second A&amp;R Plan (a “Tax Liability”) is and remains the responsibility of the relevant holder. The Company has reserved the authority to withhold or require a holder to remit to the Company (or, if different, their employer), an amount sufficient to satisfy any Tax Liability. Holders also irrevocably agree to pay to the Company (or, if different, their employer) the amount of any Tax Liability or to enter into arrangements satisfactory to the Company (or the employer, as applicable) for the payment of any Tax Liability, and the Second A&amp;R Plan also includes an indemnity in favor of the Company in respect of a holder’s liability to pay any Tax Liability.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9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Amendment and Termination of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A&amp;R Plan may be wholly or partially amended or otherwise modified, suspended, or terminated at any time or from time to time by the Board; provided that, no amendment, suspension or termination of the Second A&amp;R Plan shall, without the consent of the holder, materially and adversely affect any rights or obligations under any outstanding award, unless the award itself otherwise expressly so provides.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1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However, the Board may not, except as provided under “Adjustments in the Event of Corporate Events,” take any of the following actions without approval of the Company’s shareholders: (i) increase the maximum number of shares which may be issued under the Second A&amp;R Plan, (ii) reduce the price per share of any outstanding option or SAR granted under the Second A&amp;R Plan, (iii) cancel any Option or SAR in exchange for cash or another award, or (iv) any other action that may require approval of the Company’s shareholders under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9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Term of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Second A&amp;R Plan will expire on April 20, 2032, corresponding to the 10th anniversary of the date the LivaNova PLC 2022 Incentive Award Plan was originally approved by the Board, after which no awards may be granted or awarded. Any awards that are outstanding following the expiration of the Second A&amp;R Plan shall remain in force according to the terms of the Second A&amp;R Plan and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6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188" descr=""/>
                          <pic:cNvPicPr>
                            <a:picLocks noChangeAspect="1" noChangeArrowheads="1"/>
                          </pic:cNvPicPr>
                        </pic:nvPicPr>
                        <pic:blipFill>
                          <a:blip r:embed="rId18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6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89" descr=""/>
                    <pic:cNvPicPr>
                      <a:picLocks noChangeAspect="1" noChangeArrowheads="1"/>
                    </pic:cNvPicPr>
                  </pic:nvPicPr>
                  <pic:blipFill>
                    <a:blip r:embed="rId19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Adjustments in the Event of Corporate Events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the Administrator will make equitable adjustments, if any, as the Administrator, in its sole discretion, may deem appropriate to reflect such change with respect to: (i) the aggregate number and kind of shares that may be issued under the Second A&amp;R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Second A&amp;R Plan or with respect to any award under the Second A&amp;R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Second A&amp;R Plan or the applicable award agreement; (E) replace such award with other rights or property selected by the Administrator; or (F) provide that the award cannot vest, be exercised or become payable after such event.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an equity restructuring, meaning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(i) 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Malus and Claw-Back Provisions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awards (including any proceeds upon any receipt or exercise of any award or upon the receipt or resale of any shares underlying the award) shall be subject to the terms of applicable law that regulates executive remuneration and compensation from time to time and the provisions of any malus or claw-back policy implemented by the Company, including, without limitation, the LivaNova Compensation Recoupment Policy, the LivaNova Compensation Clawback Policy and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Prohibition on Repricing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Other than in connection with a corporate event, the Administrator shall not, without the approval of the shareholders of the Company, (i) authorize the amendment of any outstanding option or SAR to reduce its price per share, or (ii) cancel any option or SAR in exchange for cash or another award when the option or SAR price per share exceeds the fair market value of the underlying shares. Furthermore,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6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190" descr=""/>
                          <pic:cNvPicPr>
                            <a:picLocks noChangeAspect="1" noChangeArrowheads="1"/>
                          </pic:cNvPicPr>
                        </pic:nvPicPr>
                        <pic:blipFill>
                          <a:blip r:embed="rId19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83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6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91" descr=""/>
                    <pic:cNvPicPr>
                      <a:picLocks noChangeAspect="1" noChangeArrowheads="1"/>
                    </pic:cNvPicPr>
                  </pic:nvPicPr>
                  <pic:blipFill>
                    <a:blip r:embed="rId19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exercise price per share of outstanding options or SARs or to cancel outstanding options or SARs in exchange for cash or other awards with an exercise price per share that is less than the exercise price per share of the original options or SARs without the approval of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Securities Registration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Second A&amp;R Plan is approved by the Company’s shareholders, LivaNova expects to file as soon as reasonably practicable after the AGM a Registration Statement on Form S-8 with the SEC to register the additional shares that will be issuable pursuant to the Second A&amp;R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Federal Income Tax Consequences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is a brief summary of the principal U.S. federal income tax consequences of the Second A&amp;R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Second A&amp;R Plan is not qualified under Section 401(a) of the Internal Revenue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Options and SARs</w:t>
      </w:r>
      <w:r>
        <w:rPr>
          <w:rFonts w:ascii="Tahoma;Geneva;sans-serif" w:hAnsi="Tahoma;Geneva;sans-serif"/>
          <w:b w:val="false"/>
          <w:i w:val="false"/>
          <w:caps w:val="false"/>
          <w:smallCaps w:val="false"/>
          <w:color w:val="000000"/>
          <w:spacing w:val="2"/>
          <w:sz w:val="20"/>
        </w:rPr>
        <w:t>. Options granted under the Second A&amp;R Plan may be either incentive stock options, which satisfy the requirements of Section 422 of the IRC, or nonqualified stock options, which are not intended to meet such requirements. In general, neither the grant nor the exercise of an incentive stock option will result in taxable income to the participant (except possible alternative minimum tax upon an exercise) or a deduction to the Company. If: (i) the participant makes no disposition of the shares acquired pursuant to an incentive stock option within two years from the date of grant or within one year from the exercise of the option; and (ii) at all times during the period beginning on the date of the grant of the option and ending on the day three months before the date of such exercise, the participant was an employee of either the Company or one of its subsidiaries, any gain or loss realized on a subsequent disposition of the shares will be treated as a long-term capital gain or loss, and the Company will not be entitled to any deduction for federal income tax purposes.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employee upon exercise.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30">
                <wp:simplePos x="0" y="0"/>
                <wp:positionH relativeFrom="column">
                  <wp:align>left</wp:align>
                </wp:positionH>
                <wp:positionV relativeFrom="line">
                  <wp:align>top</wp:align>
                </wp:positionV>
                <wp:extent cx="228600" cy="350520"/>
                <wp:effectExtent l="0" t="0" r="0" b="0"/>
                <wp:wrapSquare wrapText="right"/>
                <wp:docPr id="569" name="Frame3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Restricted Stock Awards</w:t>
      </w:r>
      <w:r>
        <w:rPr>
          <w:rFonts w:ascii="Tahoma;Geneva;sans-serif" w:hAnsi="Tahoma;Geneva;sans-serif"/>
          <w:b w:val="false"/>
          <w:i w:val="false"/>
          <w:caps w:val="false"/>
          <w:smallCaps w:val="false"/>
          <w:color w:val="000000"/>
          <w:spacing w:val="2"/>
          <w:sz w:val="20"/>
        </w:rPr>
        <w:t>. A participant in the Second A&amp;R Plan who is granted a restricted stock award will not be 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value of the award is included in the recipient’s taxable income, subject to the limits of Section 162(m) of the Code.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83(b)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31">
                <wp:simplePos x="0" y="0"/>
                <wp:positionH relativeFrom="column">
                  <wp:align>left</wp:align>
                </wp:positionH>
                <wp:positionV relativeFrom="line">
                  <wp:align>top</wp:align>
                </wp:positionV>
                <wp:extent cx="228600" cy="350520"/>
                <wp:effectExtent l="0" t="0" r="0" b="0"/>
                <wp:wrapSquare wrapText="right"/>
                <wp:docPr id="570" name="Frame3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RSUs</w:t>
      </w:r>
      <w:r>
        <w:rPr>
          <w:rFonts w:ascii="Tahoma;Geneva;sans-serif" w:hAnsi="Tahoma;Geneva;sans-serif"/>
          <w:b w:val="false"/>
          <w:i w:val="false"/>
          <w:caps w:val="false"/>
          <w:smallCaps w:val="false"/>
          <w:color w:val="000000"/>
          <w:spacing w:val="2"/>
          <w:sz w:val="20"/>
        </w:rPr>
        <w:t xml:space="preserve">. A participant who is granted an RSU will not be taxed upon the grant of the award. Upon receipt of payment of cash or Ordinary Shares pursuant to an RSU, the participant will realize ordinary income </w:t>
      </w:r>
      <w:r>
        <mc:AlternateContent>
          <mc:Choice Requires="wps">
            <w:drawing>
              <wp:anchor behindDoc="0" distT="74930" distB="0" distL="228600" distR="0" simplePos="0" locked="0" layoutInCell="1" allowOverlap="1" relativeHeight="732">
                <wp:simplePos x="0" y="0"/>
                <wp:positionH relativeFrom="column">
                  <wp:align>left</wp:align>
                </wp:positionH>
                <wp:positionV relativeFrom="line">
                  <wp:align>top</wp:align>
                </wp:positionV>
                <wp:extent cx="228600" cy="350520"/>
                <wp:effectExtent l="0" t="0" r="0" b="0"/>
                <wp:wrapSquare wrapText="right"/>
                <wp:docPr id="571" name="Frame3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7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192" descr=""/>
                          <pic:cNvPicPr>
                            <a:picLocks noChangeAspect="1" noChangeArrowheads="1"/>
                          </pic:cNvPicPr>
                        </pic:nvPicPr>
                        <pic:blipFill>
                          <a:blip r:embed="rId19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ROP5"/>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7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193" descr=""/>
                    <pic:cNvPicPr>
                      <a:picLocks noChangeAspect="1" noChangeArrowheads="1"/>
                    </pic:cNvPicPr>
                  </pic:nvPicPr>
                  <pic:blipFill>
                    <a:blip r:embed="rId19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2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an amount equal to any cash received and the fair market value of any Ordinary Shares received, and subject to the limits of Section 162(m) of the Code, the Company will be entitled to an income tax deduction equal to the amount of ordinary income recognized by the participant.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Other Awards</w:t>
      </w:r>
      <w:r>
        <w:rPr>
          <w:rFonts w:ascii="Tahoma;Geneva;sans-serif" w:hAnsi="Tahoma;Geneva;sans-serif"/>
          <w:b w:val="false"/>
          <w:i w:val="false"/>
          <w:caps w:val="false"/>
          <w:smallCaps w:val="false"/>
          <w:color w:val="000000"/>
          <w:spacing w:val="2"/>
          <w:sz w:val="20"/>
        </w:rPr>
        <w:t>. With respect to other stock-based awards, generally when the participant receives payment in respect of the award, the amount of cash and/or the fair market value of any Ordinary Shares or other property received will be ordinary income to the participant, and the Company generally will be entitled to a tax deduction at the same time and in the same amount.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33">
                <wp:simplePos x="0" y="0"/>
                <wp:positionH relativeFrom="column">
                  <wp:align>left</wp:align>
                </wp:positionH>
                <wp:positionV relativeFrom="line">
                  <wp:align>top</wp:align>
                </wp:positionV>
                <wp:extent cx="228600" cy="350520"/>
                <wp:effectExtent l="0" t="0" r="0" b="0"/>
                <wp:wrapSquare wrapText="right"/>
                <wp:docPr id="574" name="Frame3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Dividend Equivalents</w:t>
      </w:r>
      <w:r>
        <w:rPr>
          <w:rFonts w:ascii="Tahoma;Geneva;sans-serif" w:hAnsi="Tahoma;Geneva;sans-serif"/>
          <w:b w:val="false"/>
          <w:i w:val="false"/>
          <w:caps w:val="false"/>
          <w:smallCaps w:val="false"/>
          <w:color w:val="000000"/>
          <w:spacing w:val="2"/>
          <w:sz w:val="20"/>
        </w:rPr>
        <w:t>. A recipient of dividend equivalents generally will recognize ordinary income at the time the dividend equivalent is paid. The Company will be entitled to a corresponding deduction equal to the ordinary income recognized by the participant, subject to the limits of Section 162(m) of the Code.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34">
                <wp:simplePos x="0" y="0"/>
                <wp:positionH relativeFrom="column">
                  <wp:align>left</wp:align>
                </wp:positionH>
                <wp:positionV relativeFrom="line">
                  <wp:align>top</wp:align>
                </wp:positionV>
                <wp:extent cx="228600" cy="350520"/>
                <wp:effectExtent l="0" t="0" r="0" b="0"/>
                <wp:wrapSquare wrapText="right"/>
                <wp:docPr id="575" name="Frame3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5 — Approval of the LivaNova PLC 2025 Director Incentive Award Plan</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214"/>
        <w:gridCol w:w="109"/>
        <w:gridCol w:w="109"/>
        <w:gridCol w:w="109"/>
        <w:gridCol w:w="299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214" w:type="dxa"/>
            <w:tcBorders>
              <w:bottom w:val="single" w:sz="8" w:space="0" w:color="702076"/>
            </w:tcBorders>
            <w:tcMar>
              <w:bottom w:w="107" w:type="dxa"/>
            </w:tcMar>
            <w:vAlign w:val="center"/>
          </w:tcPr>
          <w:p>
            <w:pPr>
              <w:pStyle w:val="TableContents"/>
              <w:bidi w:val="0"/>
              <w:spacing w:before="0" w:after="0"/>
              <w:jc w:val="both"/>
              <w:rPr/>
            </w:pPr>
            <w:r>
              <w:rPr>
                <w:spacing w:val="2"/>
              </w:rPr>
              <w:t>Proposal No. 5 is to approve the LivaNova PLC 2025 Director Incentive Award Plan (the “2025 Director Plan”) in order to provide equity-based compensation to non-executive directors. The full terms of the 2025 Director Plan are set out in Appendix B to this proxy statement.</w:t>
            </w:r>
            <w:r>
              <w:rPr/>
              <w:t xml:space="preserve"> </w:t>
            </w:r>
          </w:p>
          <w:p>
            <w:pPr>
              <w:pStyle w:val="TableContents"/>
              <w:bidi w:val="0"/>
              <w:spacing w:before="280" w:after="283"/>
              <w:jc w:val="both"/>
              <w:rPr/>
            </w:pPr>
            <w:r>
              <w:rPr>
                <w:spacing w:val="2"/>
              </w:rPr>
              <w:t>The Company is seeking shareholder approval of the 2025 Director Plan to ensure that the Company has an appropriate number of shares available to continue to provide equity-based compensation to non-executive directors.</w:t>
            </w:r>
            <w:r>
              <w:rPr/>
              <w:t xml:space="preserve"> </w:t>
            </w:r>
          </w:p>
          <w:p>
            <w:pPr>
              <w:pStyle w:val="TableContents"/>
              <w:bidi w:val="0"/>
              <w:spacing w:before="280" w:after="283"/>
              <w:jc w:val="both"/>
              <w:rPr/>
            </w:pPr>
            <w:r>
              <w:rPr>
                <w:spacing w:val="2"/>
              </w:rPr>
              <w:t>The Company currently grants equity incentive awards to its non-executive directors under the LivaNova PLC 2015 Incentive Award Plan (as amended, the “2015 Plan”). The Company anticipates that in March 30, 2026, the number of authorized shares remaining under the 2015 Plan will be insufficient for the Company to grant equity-based awards to non-executive directors in accordance with the Company’s Non-Executive Director Compensation Policy.</w:t>
            </w:r>
            <w:r>
              <w:rPr/>
              <w:t xml:space="preserve"> </w:t>
            </w:r>
          </w:p>
          <w:p>
            <w:pPr>
              <w:pStyle w:val="TableContents"/>
              <w:bidi w:val="0"/>
              <w:spacing w:before="280" w:after="283"/>
              <w:jc w:val="both"/>
              <w:rPr/>
            </w:pPr>
            <w:r>
              <w:rPr>
                <w:spacing w:val="2"/>
              </w:rPr>
              <w:t>As of March 31, 2025, 88,267 shares remained available for future grants under the 2015 Plan.</w:t>
            </w:r>
            <w:r>
              <w:rPr/>
              <w:t xml:space="preserve"> </w:t>
            </w:r>
          </w:p>
          <w:p>
            <w:pPr>
              <w:pStyle w:val="TableContents"/>
              <w:bidi w:val="0"/>
              <w:spacing w:before="280" w:after="283"/>
              <w:jc w:val="both"/>
              <w:rPr/>
            </w:pPr>
            <w:r>
              <w:rPr>
                <w:spacing w:val="2"/>
              </w:rPr>
              <w:t>The Board approved and adopted the 2025 Director Plan, to be effective immediately following the AGM, subject to shareholder approval at the AGM. The Board adopted the 2025 Director Plan in order to continue to provide equity-based compensation to non-executive directors by making available a total of 300,000 shares for awards under the 2025 Director Plan. The 2025 Director Plan is intended to be the successor to the 2015 Plan. Following the AGM, subject to approval of the 2025 Director Plan, the 2015 Plan will be terminated, provided that any outstanding awards will continue to remain in full force and effect.</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994"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ordinary resolution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approval of the LivaNova PLC 2025 Director Incentive Award Plan.</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76"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194" descr=""/>
                          <pic:cNvPicPr>
                            <a:picLocks noChangeAspect="1" noChangeArrowheads="1"/>
                          </pic:cNvPicPr>
                        </pic:nvPicPr>
                        <pic:blipFill>
                          <a:blip r:embed="rId19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85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77"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195" descr=""/>
                    <pic:cNvPicPr>
                      <a:picLocks noChangeAspect="1" noChangeArrowheads="1"/>
                    </pic:cNvPicPr>
                  </pic:nvPicPr>
                  <pic:blipFill>
                    <a:blip r:embed="rId19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8100" w:type="dxa"/>
            <w:tcBorders>
              <w:bottom w:val="single" w:sz="8" w:space="0" w:color="702076"/>
            </w:tcBorders>
            <w:tcMar>
              <w:bottom w:w="107" w:type="dxa"/>
            </w:tcMar>
            <w:vAlign w:val="center"/>
          </w:tcPr>
          <w:p>
            <w:pPr>
              <w:pStyle w:val="TableContents"/>
              <w:bidi w:val="0"/>
              <w:spacing w:before="0" w:after="0"/>
              <w:jc w:val="both"/>
              <w:rPr/>
            </w:pPr>
            <w:r>
              <w:rPr>
                <w:spacing w:val="2"/>
              </w:rPr>
              <w:t>As of March 31, 2025, a total of 1,692,554 shares were subject to outstanding awards of options or SARs under the 2015 Plan. These awards had a weighted average exercise price of $71.40 and a weighted average remaining contractual life of 4.67 years. In addition, 78,536 shares were subject to other types of awards outstanding under the 2015 Plan.</w:t>
            </w:r>
            <w:r>
              <w:rPr/>
              <w:t xml:space="preserve"> </w:t>
            </w:r>
          </w:p>
          <w:p>
            <w:pPr>
              <w:pStyle w:val="TableContents"/>
              <w:bidi w:val="0"/>
              <w:spacing w:before="280" w:after="283"/>
              <w:jc w:val="both"/>
              <w:rPr/>
            </w:pPr>
            <w:r>
              <w:rPr>
                <w:spacing w:val="2"/>
              </w:rPr>
              <w:t>Since March 31, 2025, no awards of any kind were granted, and the Company will not grant an award of any kind under the 2015 Plan unless the 2025 Director Plan is not approved by shareholders. Assuming the 2025 Director Plan is approved by shareholders, future non-executive director equity grants from and after the date of the AGM will be made pursuant to the terms of the 2025 Director Plan.</w:t>
            </w:r>
            <w:r>
              <w:rPr/>
              <w:t xml:space="preserve"> </w:t>
            </w:r>
          </w:p>
          <w:p>
            <w:pPr>
              <w:pStyle w:val="TableContents"/>
              <w:bidi w:val="0"/>
              <w:spacing w:before="280" w:after="283"/>
              <w:jc w:val="both"/>
              <w:rPr/>
            </w:pPr>
            <w:r>
              <w:rPr>
                <w:spacing w:val="2"/>
              </w:rPr>
              <w:t>If this proposal does not receive the required vote for approval, then the 2015 Plan will remain in effect in accordance with its existing terms, and LivaNova will continue to grant equity incentive awards under the 2015 Plan. However, as noted above, in March 30, 2026, the Company expects that it may have an insufficient number of shares available to grant equity-based awards to non-executive directors. Further, LivaNova believes its ability to retain, motivate, develop, and attract talented non-executive directors could be adversely affected due to the ability of the Company’s competitors to offer long-term equity compensation to those individuals and its inability to do so. Without sufficient share capacity in the Company’s non-executive director compensation program, LivaNova could lose non-executive directors or be forced to pay more compensation in cash to maintain competitive levels of compensation.</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120"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4" w:after="283"/>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New Awards Granted under the 2025 Director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non-executive directors will each receive an annual grant of service-vesting RSUs under the 2025 Director Plan pursuant to the Non-executive Director Equity Compensation Policy set forth in the Company’s remuneration policy, as reflected in the table below and as further described above under “Director Compensation.” All other future grants under the 2025 Director Plan are within the discretion of the Administrator (as defined below) and the benefits of such grants are, therefore, not determinable. No awards made under the 2025 Director Plan prior to the date of the AGM were granted, subject to shareholder approval of this proposal.</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857"/>
        <w:gridCol w:w="109"/>
        <w:gridCol w:w="109"/>
        <w:gridCol w:w="109"/>
        <w:gridCol w:w="164"/>
        <w:gridCol w:w="341"/>
        <w:gridCol w:w="1613"/>
        <w:gridCol w:w="164"/>
        <w:gridCol w:w="109"/>
        <w:gridCol w:w="109"/>
        <w:gridCol w:w="109"/>
        <w:gridCol w:w="137"/>
        <w:gridCol w:w="137"/>
        <w:gridCol w:w="323"/>
        <w:gridCol w:w="139"/>
        <w:gridCol w:w="109"/>
        <w:gridCol w:w="161"/>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857" w:type="dxa"/>
            <w:tcBorders/>
            <w:shd w:fill="702076" w:val="clear"/>
            <w:vAlign w:val="center"/>
          </w:tcPr>
          <w:p>
            <w:pPr>
              <w:pStyle w:val="TableContents"/>
              <w:bidi w:val="0"/>
              <w:spacing w:before="0" w:after="0"/>
              <w:jc w:val="left"/>
              <w:rPr>
                <w:spacing w:val="2"/>
              </w:rPr>
            </w:pPr>
            <w:r>
              <w:rPr>
                <w:spacing w:val="2"/>
              </w:rPr>
              <w:t xml:space="preserve">Name/Group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282" w:type="dxa"/>
            <w:gridSpan w:val="4"/>
            <w:tcBorders/>
            <w:shd w:fill="702076" w:val="clear"/>
            <w:vAlign w:val="center"/>
          </w:tcPr>
          <w:p>
            <w:pPr>
              <w:pStyle w:val="TableContents"/>
              <w:bidi w:val="0"/>
              <w:spacing w:before="0" w:after="0"/>
              <w:jc w:val="center"/>
              <w:rPr>
                <w:spacing w:val="2"/>
              </w:rPr>
            </w:pPr>
            <w:r>
              <w:rPr>
                <w:spacing w:val="2"/>
              </w:rPr>
              <w:t xml:space="preserve">Dollar Value of RSUs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736" w:type="dxa"/>
            <w:gridSpan w:val="4"/>
            <w:tcBorders/>
            <w:shd w:fill="702076" w:val="clear"/>
            <w:vAlign w:val="center"/>
          </w:tcPr>
          <w:p>
            <w:pPr>
              <w:pStyle w:val="TableContents"/>
              <w:bidi w:val="0"/>
              <w:spacing w:before="0" w:after="0"/>
              <w:jc w:val="center"/>
              <w:rPr>
                <w:spacing w:val="2"/>
              </w:rPr>
            </w:pPr>
            <w:r>
              <w:rPr>
                <w:spacing w:val="2"/>
              </w:rPr>
              <w:t xml:space="preserve">RSUs </w:t>
            </w:r>
          </w:p>
        </w:tc>
        <w:tc>
          <w:tcPr>
            <w:tcW w:w="109" w:type="dxa"/>
            <w:tcBorders/>
            <w:shd w:fill="702076" w:val="clear"/>
            <w:vAlign w:val="center"/>
          </w:tcPr>
          <w:p>
            <w:pPr>
              <w:pStyle w:val="TableContents"/>
              <w:bidi w:val="0"/>
              <w:spacing w:before="0" w:after="283"/>
              <w:jc w:val="left"/>
              <w:rPr/>
            </w:pPr>
            <w:r>
              <w:rPr/>
              <w:t>​</w:t>
            </w:r>
          </w:p>
        </w:tc>
        <w:tc>
          <w:tcPr>
            <w:tcW w:w="161"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857" w:type="dxa"/>
            <w:tcBorders>
              <w:bottom w:val="single" w:sz="6" w:space="0" w:color="702076"/>
            </w:tcBorders>
            <w:tcMar>
              <w:bottom w:w="58" w:type="dxa"/>
            </w:tcMar>
            <w:vAlign w:val="center"/>
          </w:tcPr>
          <w:p>
            <w:pPr>
              <w:pStyle w:val="TableContents"/>
              <w:bidi w:val="0"/>
              <w:spacing w:before="0" w:after="0"/>
              <w:jc w:val="left"/>
              <w:rPr>
                <w:spacing w:val="2"/>
              </w:rPr>
            </w:pPr>
            <w:r>
              <w:rPr>
                <w:spacing w:val="2"/>
              </w:rPr>
              <w:t xml:space="preserve">All non-executive directors as a group (9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4" w:type="dxa"/>
            <w:tcBorders>
              <w:bottom w:val="single" w:sz="6" w:space="0" w:color="702076"/>
            </w:tcBorders>
            <w:tcMar>
              <w:bottom w:w="28" w:type="dxa"/>
            </w:tcMar>
            <w:vAlign w:val="center"/>
          </w:tcPr>
          <w:p>
            <w:pPr>
              <w:pStyle w:val="TableContents"/>
              <w:bidi w:val="0"/>
              <w:spacing w:before="0" w:after="283"/>
              <w:jc w:val="left"/>
              <w:rPr/>
            </w:pPr>
            <w:r>
              <w:rPr/>
              <w:t>​</w:t>
            </w:r>
          </w:p>
        </w:tc>
        <w:tc>
          <w:tcPr>
            <w:tcW w:w="341" w:type="dxa"/>
            <w:tcBorders>
              <w:bottom w:val="single" w:sz="6" w:space="0" w:color="702076"/>
            </w:tcBorders>
            <w:tcMar>
              <w:bottom w:w="58" w:type="dxa"/>
            </w:tcMar>
            <w:vAlign w:val="center"/>
          </w:tcPr>
          <w:p>
            <w:pPr>
              <w:pStyle w:val="TableContents"/>
              <w:bidi w:val="0"/>
              <w:spacing w:before="0" w:after="283"/>
              <w:jc w:val="right"/>
              <w:rPr/>
            </w:pPr>
            <w:r>
              <w:rPr/>
              <w:t>$</w:t>
            </w:r>
          </w:p>
        </w:tc>
        <w:tc>
          <w:tcPr>
            <w:tcW w:w="1613" w:type="dxa"/>
            <w:tcBorders>
              <w:bottom w:val="single" w:sz="6" w:space="0" w:color="702076"/>
            </w:tcBorders>
            <w:tcMar>
              <w:bottom w:w="58" w:type="dxa"/>
            </w:tcMar>
            <w:vAlign w:val="center"/>
          </w:tcPr>
          <w:p>
            <w:pPr>
              <w:pStyle w:val="TableContents"/>
              <w:bidi w:val="0"/>
              <w:spacing w:before="0" w:after="283"/>
              <w:jc w:val="right"/>
              <w:rPr/>
            </w:pPr>
            <w:r>
              <w:rPr/>
              <w:t>1,740,000</w:t>
            </w:r>
          </w:p>
        </w:tc>
        <w:tc>
          <w:tcPr>
            <w:tcW w:w="164"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28" w:type="dxa"/>
            </w:tcMar>
            <w:vAlign w:val="center"/>
          </w:tcPr>
          <w:p>
            <w:pPr>
              <w:pStyle w:val="TableContents"/>
              <w:bidi w:val="0"/>
              <w:spacing w:before="0" w:after="283"/>
              <w:jc w:val="left"/>
              <w:rPr/>
            </w:pPr>
            <w:r>
              <w:rPr/>
              <w:t>​</w:t>
            </w:r>
          </w:p>
        </w:tc>
        <w:tc>
          <w:tcPr>
            <w:tcW w:w="137" w:type="dxa"/>
            <w:tcBorders>
              <w:bottom w:val="single" w:sz="6" w:space="0" w:color="702076"/>
            </w:tcBorders>
            <w:tcMar>
              <w:bottom w:w="58" w:type="dxa"/>
            </w:tcMar>
            <w:vAlign w:val="center"/>
          </w:tcPr>
          <w:p>
            <w:pPr>
              <w:pStyle w:val="TableContents"/>
              <w:bidi w:val="0"/>
              <w:spacing w:before="0" w:after="0"/>
              <w:jc w:val="right"/>
              <w:rPr/>
            </w:pPr>
            <w:r>
              <w:rPr/>
              <w:t>​</w:t>
            </w:r>
          </w:p>
        </w:tc>
        <w:tc>
          <w:tcPr>
            <w:tcW w:w="323" w:type="dxa"/>
            <w:tcBorders>
              <w:bottom w:val="single" w:sz="6" w:space="0" w:color="702076"/>
            </w:tcBorders>
            <w:tcMar>
              <w:bottom w:w="58" w:type="dxa"/>
            </w:tcMar>
            <w:vAlign w:val="center"/>
          </w:tcPr>
          <w:p>
            <w:pPr>
              <w:pStyle w:val="TableContents"/>
              <w:bidi w:val="0"/>
              <w:spacing w:before="0" w:after="0"/>
              <w:jc w:val="right"/>
              <w:rPr/>
            </w:pPr>
            <w:r>
              <w:rPr/>
              <w:t>​</w:t>
            </w:r>
            <w:r>
              <w:rPr>
                <w:sz w:val="13"/>
              </w:rPr>
              <w:t>(1)</w:t>
            </w:r>
            <w:r>
              <w:rPr>
                <w:sz w:val="15"/>
              </w:rPr>
              <w:t xml:space="preserve"> </w:t>
            </w:r>
          </w:p>
        </w:tc>
        <w:tc>
          <w:tcPr>
            <w:tcW w:w="13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29" w:type="dxa"/>
            <w:gridSpan w:val="15"/>
            <w:tcBorders>
              <w:bottom w:val="single" w:sz="6" w:space="0" w:color="702076"/>
            </w:tcBorders>
            <w:shd w:fill="D8D8D8" w:val="clear"/>
            <w:tcMar>
              <w:bottom w:w="58" w:type="dxa"/>
            </w:tcMar>
            <w:vAlign w:val="center"/>
          </w:tcPr>
          <w:p>
            <w:pPr>
              <w:pStyle w:val="TableContents"/>
              <w:bidi w:val="0"/>
              <w:spacing w:lineRule="atLeast" w:line="200" w:before="0" w:after="0"/>
              <w:jc w:val="left"/>
              <w:rPr/>
            </w:pPr>
            <w:r>
              <w:rPr>
                <w:spacing w:val="2"/>
              </w:rPr>
              <w:t>(1)</w:t>
            </w:r>
            <w:r>
              <w:rPr/>
              <w:t xml:space="preserve"> </w:t>
            </w:r>
          </w:p>
          <w:p>
            <w:pPr>
              <w:pStyle w:val="TableContents"/>
              <w:bidi w:val="0"/>
              <w:spacing w:lineRule="atLeast" w:line="200" w:before="0" w:after="283"/>
              <w:ind w:left="400" w:right="0" w:hanging="0"/>
              <w:jc w:val="left"/>
              <w:rPr/>
            </w:pPr>
            <w:r>
              <w:rPr>
                <w:spacing w:val="2"/>
              </w:rPr>
              <w:t>Number of RSUs will not be determinable until the grant date.</w:t>
            </w:r>
            <w:r>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61"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54" w:after="283"/>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History of Awards Granted under the 2015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following table sets forth information with respect to the number of outstanding SARs, RSUs, and PSUs that have been granted to the named executive officers and the specified groups set forth below under the 2015 Plan as of March 31, 2025 (noting that, pursuant to a prior amendment, since the Company’s Annual General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78"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196" descr=""/>
                          <pic:cNvPicPr>
                            <a:picLocks noChangeAspect="1" noChangeArrowheads="1"/>
                          </pic:cNvPicPr>
                        </pic:nvPicPr>
                        <pic:blipFill>
                          <a:blip r:embed="rId19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7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97" descr=""/>
                    <pic:cNvPicPr>
                      <a:picLocks noChangeAspect="1" noChangeArrowheads="1"/>
                    </pic:cNvPicPr>
                  </pic:nvPicPr>
                  <pic:blipFill>
                    <a:blip r:embed="rId19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Meeting in 2022, eligible individuals under the 2015 Plan are limited to non-executive directors). On March 31, 2025, the closing price of the underlying shares of LivaNova’s Ordinary Shares traded on Nasdaq was $39.28 per share.</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285"/>
        <w:gridCol w:w="109"/>
        <w:gridCol w:w="109"/>
        <w:gridCol w:w="109"/>
        <w:gridCol w:w="109"/>
        <w:gridCol w:w="109"/>
        <w:gridCol w:w="1066"/>
        <w:gridCol w:w="109"/>
        <w:gridCol w:w="109"/>
        <w:gridCol w:w="109"/>
        <w:gridCol w:w="109"/>
        <w:gridCol w:w="109"/>
        <w:gridCol w:w="109"/>
        <w:gridCol w:w="766"/>
        <w:gridCol w:w="109"/>
        <w:gridCol w:w="109"/>
        <w:gridCol w:w="109"/>
        <w:gridCol w:w="109"/>
        <w:gridCol w:w="119"/>
        <w:gridCol w:w="119"/>
        <w:gridCol w:w="425"/>
        <w:gridCol w:w="119"/>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4285" w:type="dxa"/>
            <w:tcBorders/>
            <w:shd w:fill="702076" w:val="clear"/>
            <w:vAlign w:val="center"/>
          </w:tcPr>
          <w:p>
            <w:pPr>
              <w:pStyle w:val="TableContents"/>
              <w:bidi w:val="0"/>
              <w:spacing w:before="0" w:after="0"/>
              <w:jc w:val="left"/>
              <w:rPr>
                <w:spacing w:val="2"/>
              </w:rPr>
            </w:pPr>
            <w:r>
              <w:rPr>
                <w:spacing w:val="2"/>
              </w:rPr>
              <w:t xml:space="preserve">Name/Group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393" w:type="dxa"/>
            <w:gridSpan w:val="4"/>
            <w:tcBorders/>
            <w:shd w:fill="702076" w:val="clear"/>
            <w:vAlign w:val="center"/>
          </w:tcPr>
          <w:p>
            <w:pPr>
              <w:pStyle w:val="TableContents"/>
              <w:bidi w:val="0"/>
              <w:spacing w:before="0" w:after="0"/>
              <w:jc w:val="center"/>
              <w:rPr>
                <w:spacing w:val="2"/>
              </w:rPr>
            </w:pPr>
            <w:r>
              <w:rPr>
                <w:spacing w:val="2"/>
              </w:rPr>
              <w:t xml:space="preserve">SARs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3" w:type="dxa"/>
            <w:gridSpan w:val="4"/>
            <w:tcBorders/>
            <w:shd w:fill="702076" w:val="clear"/>
            <w:vAlign w:val="center"/>
          </w:tcPr>
          <w:p>
            <w:pPr>
              <w:pStyle w:val="TableContents"/>
              <w:bidi w:val="0"/>
              <w:spacing w:before="0" w:after="0"/>
              <w:jc w:val="center"/>
              <w:rPr>
                <w:spacing w:val="2"/>
              </w:rPr>
            </w:pPr>
            <w:r>
              <w:rPr>
                <w:spacing w:val="2"/>
              </w:rPr>
              <w:t xml:space="preserve">RSUs </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782" w:type="dxa"/>
            <w:gridSpan w:val="4"/>
            <w:tcBorders/>
            <w:shd w:fill="702076" w:val="clear"/>
            <w:vAlign w:val="center"/>
          </w:tcPr>
          <w:p>
            <w:pPr>
              <w:pStyle w:val="TableContents"/>
              <w:bidi w:val="0"/>
              <w:spacing w:lineRule="atLeast" w:line="142" w:before="0" w:after="0"/>
              <w:jc w:val="center"/>
              <w:rPr/>
            </w:pPr>
            <w:r>
              <w:rPr>
                <w:spacing w:val="2"/>
              </w:rPr>
              <w:t>PSUs</w:t>
            </w:r>
            <w:r>
              <w:rPr>
                <w:spacing w:val="2"/>
                <w:sz w:val="13"/>
              </w:rPr>
              <w:t>(1)</w:t>
            </w:r>
            <w:r>
              <w:rPr/>
              <w:t xml:space="preserve"> </w:t>
            </w:r>
          </w:p>
        </w:tc>
        <w:tc>
          <w:tcPr>
            <w:tcW w:w="109" w:type="dxa"/>
            <w:tcBorders/>
            <w:shd w:fill="702076" w:val="clear"/>
            <w:vAlign w:val="center"/>
          </w:tcPr>
          <w:p>
            <w:pPr>
              <w:pStyle w:val="TableContents"/>
              <w:bidi w:val="0"/>
              <w:spacing w:before="0" w:after="283"/>
              <w:jc w:val="left"/>
              <w:rPr/>
            </w:pPr>
            <w:r>
              <w:rPr/>
              <w:t>​</w:t>
            </w:r>
          </w:p>
        </w:tc>
        <w:tc>
          <w:tcPr>
            <w:tcW w:w="156"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Vladimir Makatsaria, </w:t>
            </w:r>
            <w:r>
              <w:rPr>
                <w:i/>
              </w:rPr>
              <w:t>Chief Executive Officer</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William Kozy, </w:t>
            </w:r>
            <w:r>
              <w:rPr>
                <w:i/>
              </w:rPr>
              <w:t>Former Interim CEO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4,840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Alex Shvartsburg, </w:t>
            </w:r>
            <w:r>
              <w:rPr>
                <w:i/>
              </w:rPr>
              <w:t>CFO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40,573</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914</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Ahmet Tezel, </w:t>
            </w:r>
            <w:r>
              <w:rPr>
                <w:i/>
              </w:rPr>
              <w:t>SVP, Chief Innovation Officer</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Michael Hutchinson, </w:t>
            </w:r>
            <w:r>
              <w:rPr>
                <w:i/>
              </w:rPr>
              <w:t>SVP, Chief Legal Officer and Company Secretary</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Franco Poletti</w:t>
            </w:r>
            <w:r>
              <w:rPr>
                <w:i/>
              </w:rPr>
              <w:t>, President, Cardiopulmonary Business Unit</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15,796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171</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pPr>
            <w:r>
              <w:rPr>
                <w:spacing w:val="2"/>
              </w:rPr>
              <w:t xml:space="preserve">Trui Hebbelinck, </w:t>
            </w:r>
            <w:r>
              <w:rPr>
                <w:i/>
              </w:rPr>
              <w:t>Former CHRO</w:t>
            </w: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30,880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685</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All executive officers as a group (6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79,030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1,542</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All non-executive directors as a group (9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31,107</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Each associate of the above-mentioned directors or executive officers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79,030</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32,649</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32" w:type="dxa"/>
            </w:tcMar>
            <w:vAlign w:val="center"/>
          </w:tcPr>
          <w:p>
            <w:pPr>
              <w:pStyle w:val="TableContents"/>
              <w:bidi w:val="0"/>
              <w:spacing w:before="0" w:after="0"/>
              <w:jc w:val="left"/>
              <w:rPr>
                <w:spacing w:val="2"/>
              </w:rPr>
            </w:pPr>
            <w:r>
              <w:rPr>
                <w:spacing w:val="2"/>
              </w:rPr>
              <w:t xml:space="preserve">Each other person who received or is to receive 5% of such options, </w:t>
              <w:br/>
              <w:t xml:space="preserve">warrants or rights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1066"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32" w:type="dxa"/>
            </w:tcMar>
            <w:vAlign w:val="center"/>
          </w:tcPr>
          <w:p>
            <w:pPr>
              <w:pStyle w:val="TableContents"/>
              <w:bidi w:val="0"/>
              <w:spacing w:before="0" w:after="283"/>
              <w:jc w:val="right"/>
              <w:rPr/>
            </w:pPr>
            <w:r>
              <w:rPr/>
              <w:t>​</w:t>
            </w:r>
          </w:p>
        </w:tc>
        <w:tc>
          <w:tcPr>
            <w:tcW w:w="766"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32" w:type="dxa"/>
            </w:tcMar>
            <w:vAlign w:val="center"/>
          </w:tcPr>
          <w:p>
            <w:pPr>
              <w:pStyle w:val="TableContents"/>
              <w:bidi w:val="0"/>
              <w:spacing w:before="0" w:after="283"/>
              <w:jc w:val="right"/>
              <w:rPr/>
            </w:pPr>
            <w:r>
              <w:rPr/>
              <w:t>​</w:t>
            </w:r>
          </w:p>
        </w:tc>
        <w:tc>
          <w:tcPr>
            <w:tcW w:w="425" w:type="dxa"/>
            <w:tcBorders>
              <w:bottom w:val="single" w:sz="6" w:space="0" w:color="702076"/>
            </w:tcBorders>
            <w:tcMar>
              <w:bottom w:w="32" w:type="dxa"/>
            </w:tcMar>
            <w:vAlign w:val="center"/>
          </w:tcPr>
          <w:p>
            <w:pPr>
              <w:pStyle w:val="TableContents"/>
              <w:bidi w:val="0"/>
              <w:spacing w:before="0" w:after="283"/>
              <w:jc w:val="right"/>
              <w:rPr/>
            </w:pPr>
            <w:r>
              <w:rPr/>
              <w:t xml:space="preserve">— </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4285" w:type="dxa"/>
            <w:tcBorders>
              <w:bottom w:val="single" w:sz="6" w:space="0" w:color="702076"/>
            </w:tcBorders>
            <w:tcMar>
              <w:bottom w:w="45" w:type="dxa"/>
            </w:tcMar>
            <w:vAlign w:val="center"/>
          </w:tcPr>
          <w:p>
            <w:pPr>
              <w:pStyle w:val="TableContents"/>
              <w:bidi w:val="0"/>
              <w:spacing w:before="0" w:after="0"/>
              <w:jc w:val="left"/>
              <w:rPr>
                <w:spacing w:val="2"/>
              </w:rPr>
            </w:pPr>
            <w:r>
              <w:rPr>
                <w:spacing w:val="2"/>
              </w:rPr>
              <w:t xml:space="preserve">All employees (other than executive officers) as a group (552 persons) </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1066" w:type="dxa"/>
            <w:tcBorders>
              <w:bottom w:val="single" w:sz="6" w:space="0" w:color="702076"/>
            </w:tcBorders>
            <w:tcMar>
              <w:bottom w:w="45" w:type="dxa"/>
            </w:tcMar>
            <w:vAlign w:val="center"/>
          </w:tcPr>
          <w:p>
            <w:pPr>
              <w:pStyle w:val="TableContents"/>
              <w:bidi w:val="0"/>
              <w:spacing w:before="0" w:after="283"/>
              <w:jc w:val="right"/>
              <w:rPr/>
            </w:pPr>
            <w:r>
              <w:rPr/>
              <w:t>1,582,423</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45" w:type="dxa"/>
            </w:tcMar>
            <w:vAlign w:val="center"/>
          </w:tcPr>
          <w:p>
            <w:pPr>
              <w:pStyle w:val="TableContents"/>
              <w:bidi w:val="0"/>
              <w:spacing w:before="0" w:after="283"/>
              <w:jc w:val="right"/>
              <w:rPr/>
            </w:pPr>
            <w:r>
              <w:rPr/>
              <w:t>​</w:t>
            </w:r>
          </w:p>
        </w:tc>
        <w:tc>
          <w:tcPr>
            <w:tcW w:w="766" w:type="dxa"/>
            <w:tcBorders>
              <w:bottom w:val="single" w:sz="6" w:space="0" w:color="702076"/>
            </w:tcBorders>
            <w:tcMar>
              <w:bottom w:w="45" w:type="dxa"/>
            </w:tcMar>
            <w:vAlign w:val="center"/>
          </w:tcPr>
          <w:p>
            <w:pPr>
              <w:pStyle w:val="TableContents"/>
              <w:bidi w:val="0"/>
              <w:spacing w:before="0" w:after="283"/>
              <w:jc w:val="right"/>
              <w:rPr/>
            </w:pPr>
            <w:r>
              <w:rPr/>
              <w:t>43,916</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2"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19" w:type="dxa"/>
            <w:tcBorders>
              <w:bottom w:val="single" w:sz="6" w:space="0" w:color="702076"/>
            </w:tcBorders>
            <w:tcMar>
              <w:bottom w:w="45" w:type="dxa"/>
            </w:tcMar>
            <w:vAlign w:val="center"/>
          </w:tcPr>
          <w:p>
            <w:pPr>
              <w:pStyle w:val="TableContents"/>
              <w:bidi w:val="0"/>
              <w:spacing w:before="0" w:after="283"/>
              <w:jc w:val="right"/>
              <w:rPr/>
            </w:pPr>
            <w:r>
              <w:rPr/>
              <w:t>​</w:t>
            </w:r>
          </w:p>
        </w:tc>
        <w:tc>
          <w:tcPr>
            <w:tcW w:w="425" w:type="dxa"/>
            <w:tcBorders>
              <w:bottom w:val="single" w:sz="6" w:space="0" w:color="702076"/>
            </w:tcBorders>
            <w:tcMar>
              <w:bottom w:w="45" w:type="dxa"/>
            </w:tcMar>
            <w:vAlign w:val="center"/>
          </w:tcPr>
          <w:p>
            <w:pPr>
              <w:pStyle w:val="TableContents"/>
              <w:bidi w:val="0"/>
              <w:spacing w:before="0" w:after="283"/>
              <w:jc w:val="right"/>
              <w:rPr/>
            </w:pPr>
            <w:r>
              <w:rPr/>
              <w:t>—</w:t>
            </w:r>
          </w:p>
        </w:tc>
        <w:tc>
          <w:tcPr>
            <w:tcW w:w="119" w:type="dxa"/>
            <w:tcBorders>
              <w:bottom w:val="single" w:sz="6" w:space="0" w:color="702076"/>
            </w:tcBorders>
            <w:tcMar>
              <w:bottom w:w="28" w:type="dxa"/>
            </w:tcMar>
            <w:vAlign w:val="center"/>
          </w:tcPr>
          <w:p>
            <w:pPr>
              <w:pStyle w:val="TableContents"/>
              <w:bidi w:val="0"/>
              <w:spacing w:before="0" w:after="283"/>
              <w:jc w:val="left"/>
              <w:rPr/>
            </w:pPr>
            <w:r>
              <w:rPr/>
              <w:t>​</w:t>
            </w:r>
          </w:p>
        </w:tc>
        <w:tc>
          <w:tcPr>
            <w:tcW w:w="109" w:type="dxa"/>
            <w:tcBorders>
              <w:bottom w:val="single" w:sz="6" w:space="0" w:color="70207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8534" w:type="dxa"/>
            <w:gridSpan w:val="22"/>
            <w:tcBorders>
              <w:bottom w:val="single" w:sz="6" w:space="0" w:color="702076"/>
            </w:tcBorders>
            <w:shd w:fill="D8D8D8" w:val="clear"/>
            <w:tcMar>
              <w:bottom w:w="45" w:type="dxa"/>
            </w:tcMar>
            <w:vAlign w:val="center"/>
          </w:tcPr>
          <w:p>
            <w:pPr>
              <w:pStyle w:val="TableContents"/>
              <w:bidi w:val="0"/>
              <w:spacing w:lineRule="atLeast" w:line="200" w:before="0" w:after="0"/>
              <w:jc w:val="left"/>
              <w:rPr/>
            </w:pPr>
            <w:r>
              <w:rPr>
                <w:spacing w:val="2"/>
              </w:rPr>
              <w:t>(1)</w:t>
            </w:r>
            <w:r>
              <w:rPr/>
              <w:t xml:space="preserve"> </w:t>
            </w:r>
          </w:p>
          <w:p>
            <w:pPr>
              <w:pStyle w:val="TableContents"/>
              <w:bidi w:val="0"/>
              <w:spacing w:lineRule="atLeast" w:line="200" w:before="0" w:after="283"/>
              <w:ind w:left="400" w:right="0" w:hanging="0"/>
              <w:jc w:val="left"/>
              <w:rPr/>
            </w:pPr>
            <w:r>
              <w:rPr>
                <w:spacing w:val="2"/>
              </w:rPr>
              <w:t>The number of shares represents the target number of shares that could be issued underlying the PSUs.</w:t>
            </w:r>
            <w:r>
              <w:rPr/>
              <w:t xml:space="preserve"> </w:t>
            </w:r>
          </w:p>
        </w:tc>
        <w:tc>
          <w:tcPr>
            <w:tcW w:w="109" w:type="dxa"/>
            <w:tcBorders>
              <w:bottom w:val="single" w:sz="6" w:space="0" w:color="702076"/>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28"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Description of the 2025 Director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is a summary of the material features of the 2025 Director Plan. This summary is qualified in its entirety by the full text of the 2025 Director Plan, a copy of which is attached to this Proxy Statement as Appendix B.</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purpose of the 2025 Director Plan is to promote the success and enhance the value of the Company by linking the individual interests of the non-executive directors to those of Company shareholders and provide an incentive for outstanding performance to generate superior returns to Company shareholders. The 2025 Director Plan is further intended to provide flexibility to the Company in its ability to attract, motivate, develop, and retain the services of non-executive directors upon whose judgment, interest, and special effort the successful conduct of the Company’s operation is largely dependent.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Administration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Director Plan is administered by the Board or a committee of one or more members of the Board or one or more officers of the Company authorized by the Board to grant awards under the 2025 Director Plan in a manner that complies with the applicable requirements of Section 16 of the Exchange Act and any other applicable legal or stock exchange listing requirements (the “Administrator”). The Administrator has the authority to interpret the 2025 Director Plan and may prescribe, amend, and rescind rules and make all other determinations necessary or desirable for the administration of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Eligibility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Only non-executive directors of the Company are eligible to receive awards under the 2025 Director Plan, which constitutes nine individuals currently.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Shares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total number of LivaNova’s Ordinary Shares available for awards under the 2025 Director Plan may not exceed 300,000. Since March 31, 2025, no awards of any kind were granted, and the Company will not grant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8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98" descr=""/>
                          <pic:cNvPicPr>
                            <a:picLocks noChangeAspect="1" noChangeArrowheads="1"/>
                          </pic:cNvPicPr>
                        </pic:nvPicPr>
                        <pic:blipFill>
                          <a:blip r:embed="rId19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87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8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99" descr=""/>
                    <pic:cNvPicPr>
                      <a:picLocks noChangeAspect="1" noChangeArrowheads="1"/>
                    </pic:cNvPicPr>
                  </pic:nvPicPr>
                  <pic:blipFill>
                    <a:blip r:embed="rId20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 award of any kind under 2015 Plan unless the 2025 Director Plan is not approved by shareholders. Assuming the 2025 Director Plan is approved by shareholders, future non-executive director equity grants from and after the date of the AGM will be made pursuant to the terms of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any shares subject to an award are forfeited, if any award or portion of an award lapses or expires, if any shares subject to an award are converted to shares of another company in connection with a takeover, sale, recapitalization, reorganization, merger, consolidation, split-up, spin-off, combination, exchange of shares or other similar event, or if any award is settled for cash (in whole or in part) or repurchased, the shares subject to such award shall, to the extent of such forfeiture, lapse, expiration or cash settlement, again be available for future grants of awards under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shares, however,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award; (iii) shares subject to a SAR that are not issued in connection with the settlement of the SAR in shares upon exercise thereof; and (iv) shares purchased on the open market with the cash proceeds from the exercise of options.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Director Limit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 provision to the contrary in the 2025 Director Plan, the sum of the grant date fair value of equity-based awards and the amount of any cash-based awards granted to a non-executive director during any calendar year shall not exceed $500,000 (the “Director Limit”).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Types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Director Plan permits the issuance of non-statutory stock options, SARs, restricted stock, RSUs, other stock- or cash-based awards, and dividend equivalent rights. However, at present, pursuant to the Non-executive Director Equity Compensation Policy set forth in LivaNova’s remuneration policy, LivaNova’s non-executive directors receive annual equity award grants solely in the form of service-vesting RSUs.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Director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settled or forfeited, prescribe the form of each award agreement, which (except for any non-executive director’s right to awards that may be required pursuant to the Company’s Non-executive Director Equity Compensation Policy set forth in the Company’s remuneration policy) need not be identical for each participant, and decide all other matters that must be determined in connection with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terms of the 2025 Director Plan, the Company is authorized to award or grant the following types of equity and equity-based awards to non-executive directors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Options and SARs</w:t>
      </w:r>
      <w:r>
        <w:rPr>
          <w:rFonts w:ascii="Tahoma;Geneva;sans-serif" w:hAnsi="Tahoma;Geneva;sans-serif"/>
          <w:b w:val="false"/>
          <w:i w:val="false"/>
          <w:caps w:val="false"/>
          <w:smallCaps w:val="false"/>
          <w:color w:val="000000"/>
          <w:spacing w:val="2"/>
          <w:sz w:val="20"/>
        </w:rPr>
        <w:t>: The Administrator is authorized to grant options and SARs to eligible individuals in such amounts and subject to such terms and conditions as determined by the Administrator. Options granted under the 2025 Director Plan are nonqualified stock options. The Administrator will determine for each option or SAR: (i) the term, which may not exceed ten years; (ii) the exercise price, which shall not be less than the fair market value of a share on the grant date; (iii) the vesting schedule, if any; and (iv) any other material terms. Unless otherwise provided by the Administrator or directed by the holder, each vested and exercisable option or SAR outstanding on the last day of the term with an exercise price per share that is less than the fair market value per share as of such date, shall automatically be exercised.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35">
                <wp:simplePos x="0" y="0"/>
                <wp:positionH relativeFrom="column">
                  <wp:align>left</wp:align>
                </wp:positionH>
                <wp:positionV relativeFrom="line">
                  <wp:align>top</wp:align>
                </wp:positionV>
                <wp:extent cx="228600" cy="350520"/>
                <wp:effectExtent l="0" t="0" r="0" b="0"/>
                <wp:wrapSquare wrapText="right"/>
                <wp:docPr id="582" name="Frame3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Restricted Stock</w:t>
      </w:r>
      <w:r>
        <w:rPr>
          <w:rFonts w:ascii="Tahoma;Geneva;sans-serif" w:hAnsi="Tahoma;Geneva;sans-serif"/>
          <w:b w:val="false"/>
          <w:i w:val="false"/>
          <w:caps w:val="false"/>
          <w:smallCaps w:val="false"/>
          <w:color w:val="000000"/>
          <w:spacing w:val="2"/>
          <w:sz w:val="20"/>
        </w:rPr>
        <w:t xml:space="preserve">: The Administrator is authorized to grant restricted stock to eligible individuals under the 2025 Director Plan. The Administrator will determine the terms and conditions of restricted stock, including vesting conditions. Unless otherwise provided by the Administrator, holders of restricted stock will generally have all of the rights of a shareholder with respect to such restricted stock, including the right to receive dividends and other distributions, provided that, with respect to any share of restricted stock, any dividends that are paid prior to vesting shall only be paid out to the holder to the </w:t>
      </w:r>
      <w:r>
        <mc:AlternateContent>
          <mc:Choice Requires="wps">
            <w:drawing>
              <wp:anchor behindDoc="0" distT="74930" distB="0" distL="228600" distR="0" simplePos="0" locked="0" layoutInCell="1" allowOverlap="1" relativeHeight="736">
                <wp:simplePos x="0" y="0"/>
                <wp:positionH relativeFrom="column">
                  <wp:align>left</wp:align>
                </wp:positionH>
                <wp:positionV relativeFrom="line">
                  <wp:align>top</wp:align>
                </wp:positionV>
                <wp:extent cx="228600" cy="350520"/>
                <wp:effectExtent l="0" t="0" r="0" b="0"/>
                <wp:wrapSquare wrapText="right"/>
                <wp:docPr id="583" name="Frame3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88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8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200" descr=""/>
                          <pic:cNvPicPr>
                            <a:picLocks noChangeAspect="1" noChangeArrowheads="1"/>
                          </pic:cNvPicPr>
                        </pic:nvPicPr>
                        <pic:blipFill>
                          <a:blip r:embed="rId20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8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201" descr=""/>
                    <pic:cNvPicPr>
                      <a:picLocks noChangeAspect="1" noChangeArrowheads="1"/>
                    </pic:cNvPicPr>
                  </pic:nvPicPr>
                  <pic:blipFill>
                    <a:blip r:embed="rId20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extent that the vesting conditions are subsequently satisfied and the award vests. Upon a termination of service, all unvested restricted stock shall be forfeited, or if the holder paid a purchase price for such restricted stock, will be subject to a repurchase right by the Company at a price equal to the purchase price or such other amount as specified in the applicable award agreement, except that the Administrator may, in the event of a holder’s death, disability or retirement, provide for the acceleration or continued vesting of unvested restricted stock.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RSUs</w:t>
      </w:r>
      <w:r>
        <w:rPr>
          <w:rFonts w:ascii="Tahoma;Geneva;sans-serif" w:hAnsi="Tahoma;Geneva;sans-serif"/>
          <w:b w:val="false"/>
          <w:i w:val="false"/>
          <w:caps w:val="false"/>
          <w:smallCaps w:val="false"/>
          <w:color w:val="000000"/>
          <w:spacing w:val="2"/>
          <w:sz w:val="20"/>
        </w:rPr>
        <w:t>: The Administrator is authorized to grant RSUs to eligible individuals under the 2025 Director Plan. The Administrator will determine the terms and conditions of RSUs, including any purchase price, provided that the value of the consideration shall not be less than the par value of a share unless otherwise permitted by applicable law, the term of the RSUs, the vesting conditions, and the maturity date, which shall be no later than the vesting date and shall comply with Section 409A of the Internal Revenue Code. An award of RSUs shall only be settled while the holder is a member of the Board, unless the Administrator provides that an RSU award may be settled subsequent to termination of service due to death or disability or may continue to vest on the date (or dates) set out, and remain subject to such restrictions as are provided, in the applicable award agreement.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737">
                <wp:simplePos x="0" y="0"/>
                <wp:positionH relativeFrom="column">
                  <wp:align>left</wp:align>
                </wp:positionH>
                <wp:positionV relativeFrom="line">
                  <wp:align>top</wp:align>
                </wp:positionV>
                <wp:extent cx="228600" cy="350520"/>
                <wp:effectExtent l="0" t="0" r="0" b="0"/>
                <wp:wrapSquare wrapText="right"/>
                <wp:docPr id="586" name="Frame3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Other Stock or Cash Based Award</w:t>
      </w:r>
      <w:r>
        <w:rPr>
          <w:rFonts w:ascii="Tahoma;Geneva;sans-serif" w:hAnsi="Tahoma;Geneva;sans-serif"/>
          <w:b w:val="false"/>
          <w:i w:val="false"/>
          <w:caps w:val="false"/>
          <w:smallCaps w:val="false"/>
          <w:color w:val="000000"/>
          <w:spacing w:val="2"/>
          <w:sz w:val="20"/>
        </w:rPr>
        <w:t>: The Administrator is authorized to grant other stock or cash based awards, including awards entitling a holder to receive shares or cash to be delivered immediately or in the future, to any eligible individual. The Administrator shall determine the terms and conditions of each stock or cash based award, including the term of the award, any exercise or purchase price, transfer restrictions, and vesting conditions.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738">
                <wp:simplePos x="0" y="0"/>
                <wp:positionH relativeFrom="column">
                  <wp:align>left</wp:align>
                </wp:positionH>
                <wp:positionV relativeFrom="line">
                  <wp:align>top</wp:align>
                </wp:positionV>
                <wp:extent cx="228600" cy="350520"/>
                <wp:effectExtent l="0" t="0" r="0" b="0"/>
                <wp:wrapSquare wrapText="right"/>
                <wp:docPr id="587" name="Frame3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Dividend Equivalent Award</w:t>
      </w:r>
      <w:r>
        <w:rPr>
          <w:rFonts w:ascii="Tahoma;Geneva;sans-serif" w:hAnsi="Tahoma;Geneva;sans-serif"/>
          <w:b w:val="false"/>
          <w:i w:val="false"/>
          <w:caps w:val="false"/>
          <w:smallCaps w:val="false"/>
          <w:color w:val="000000"/>
          <w:spacing w:val="2"/>
          <w:sz w:val="20"/>
        </w:rPr>
        <w:t>: The Administrator is authorized to grant dividend equivalents, either alone or in tandem with another award (other than an option or SAR), based on dividends declared on Ordinary Shares, to be credited as of dividend payment dates determined by the Administrator, payable in cash or shares by such formulas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3660" distB="0" distL="228600" distR="0" simplePos="0" locked="0" layoutInCell="1" allowOverlap="1" relativeHeight="739">
                <wp:simplePos x="0" y="0"/>
                <wp:positionH relativeFrom="column">
                  <wp:align>left</wp:align>
                </wp:positionH>
                <wp:positionV relativeFrom="line">
                  <wp:align>top</wp:align>
                </wp:positionV>
                <wp:extent cx="228600" cy="350520"/>
                <wp:effectExtent l="0" t="0" r="0" b="0"/>
                <wp:wrapSquare wrapText="right"/>
                <wp:docPr id="588" name="Frame3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76"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Change in Control</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change in control as defined in the 2025 Director Plan and as explained further below (a “Change in Control”), unless the Administrator elects to (i) terminate an award in exchange for cash, rights or property, or (ii) cause an award to become fully exercisable and no longer subject to any forfeiture restrictions prior to the consummation of a Change in Control, such award shall continue in effect or be assumed or an equivalent award substituted by the successor corporation or a parent or subsidiary of the successor corporation.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 award shall be considered assumed if, following the Change in Control, the award confers the right to purchase or receive the same consideration or an equivalent number of shares as shareholders of the successor corporation.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For purposes of the 2025 Director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8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202" descr=""/>
                          <pic:cNvPicPr>
                            <a:picLocks noChangeAspect="1" noChangeArrowheads="1"/>
                          </pic:cNvPicPr>
                        </pic:nvPicPr>
                        <pic:blipFill>
                          <a:blip r:embed="rId20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89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9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203" descr=""/>
                    <pic:cNvPicPr>
                      <a:picLocks noChangeAspect="1" noChangeArrowheads="1"/>
                    </pic:cNvPicPr>
                  </pic:nvPicPr>
                  <pic:blipFill>
                    <a:blip r:embed="rId20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for award holders subject to Section 409A of the Code, to the extent that any amount payable under the Second A&amp;R Plan constitutes non-exempt deferred compensation for purposes of Section 409A of the Code, such amount shall not be payable due to a Change in Control unless it also constitutes a “change in control event” as defined in the regulations promulgated under Section 409A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Tax Withholding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a condition of the grant, all participants agree that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or any other relevant taxes (including, but not limited, to any federal, state, local or foreign taxes) related to the grant, vesting or exercise of any award, the transfer or issue of any shares or cash upon satisfaction of any award, any restrictions applicable to shares ceasing to apply, the disposal of any shares, or the participation in the 2025 Director Plan (a “Tax Liability”) is and remains the responsibility of the relevant holder. The Company has reserved the authority to withhold or require a holder to remit to the Company (or, if different, their employer), an amount sufficient to satisfy any Tax Liability. Holders also irrevocably agree to pay to the Company (or, if different, their employer) the amount of any Tax Liability or to enter into arrangements satisfactory to the Company (or the employer, as applicable) for the payment of any Tax Liability, and the 2025 Director Plan also includes an indemnity in favor of the Company in respect of a holder’s liability to pay any Tax Liability.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Amendment and Termination of 2025 Director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Director Plan may be wholly or partially amended or otherwise modified, suspended, or terminated at any time or from time to time by the Board; provided that no amendment, suspension or termination of the 2025 Director Plan shall, without the consent of the holder, materially and adversely affect any rights or obligations under any outstanding award, unless the award itself otherwise expressly so provides. However, the Board may not, except as provided below under “Adjustments in the Event of Corporate Events,” take any of the following actions without approval of the Company’s shareholders: (i) increase the maximum number of shares which may be issued under the 2025 Director Plan or the Director Limit; (ii) reduce the price per share of any outstanding option or SAR granted under the 2025 Director Plan; (iii) cancel any option or SAR in exchange for cash or another award; or (iv) any other action that may require the approval of the Company’s shareholders under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Term of 2025 Director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Director Plan will expire on April 23, 2035 (corresponding to the 10th anniversary of the date the 2025 Director Plan was approved by the Board), after which no awards may be granted or awarded. Any awards that are outstanding following the expiration of the 2025 Director Plan shall remain in force according to the terms of the 2025 Director Plan and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Adjustments in the Event of Corporate Events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the Administrator will make equitable adjustments, if any, as the Administrator, in its sole discretion, may deem appropriate to reflect such change with respect to: (i) the aggregate number and kind of shares that may be issued under the 2025 Director Plan; (ii) the number and kind of shares (or other securities or property) subject to outstanding awards; (iii) the terms and conditions of any outstanding awards (including, without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90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59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204" descr=""/>
                          <pic:cNvPicPr>
                            <a:picLocks noChangeAspect="1" noChangeArrowheads="1"/>
                          </pic:cNvPicPr>
                        </pic:nvPicPr>
                        <pic:blipFill>
                          <a:blip r:embed="rId20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9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205" descr=""/>
                    <pic:cNvPicPr>
                      <a:picLocks noChangeAspect="1" noChangeArrowheads="1"/>
                    </pic:cNvPicPr>
                  </pic:nvPicPr>
                  <pic:blipFill>
                    <a:blip r:embed="rId20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limitation, any applicable performance targets or criteria with respect thereto); and (iv) the grant or exercise price per share for any outstanding awards under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2025 Director Plan or with respect to any award under the 2025 Director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of the Company’s stock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2025 Director Plan or the applicable award agreement; (e) replace such award with other rights or property selected by the Administrator; or (f) provide that the award cannot vest, be exercised or become payable after such event.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an equity restructuring, meaning a nonreciprocal transaction between the Company and its shareholders, such as without limitation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(i) 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Malus and Claw-Back Provisions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awards (including any proceeds upon any receipt or exercise of any award or upon the receipt or resale of any shares underlying the award) shall be subject to the terms of applicable law that regulates executive remuneration and compensation from time to time and the provisions of any malus or claw-back policy implemented by the Company, including, without limitation,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Prohibition on Repricing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Other than in connection with a corporate event, the Administrator shall not, without the approval of the shareholders of the Company: (i) authorize the amendment of any outstanding option or SAR to reduce its price per share; or (ii) cancel any option or SAR in exchange for cash or another award when the option or SAR price per share exceeds the fair market value of the underlying shares. Furthermore,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SARs or to cancel outstanding options or SARs in exchange for cash, other awards or options or SARs with an exercise price per share that is less than the exercise price per share of the original options or SARs without the approval of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Securities Registration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2025 Director Plan is approved by the Company’s shareholders, LivaNova expects to file as soon as reasonably practicable after the AGM a Registration Statement on Form S-8 with the SEC to register the shares that will be issuable pursuant to the 2025 Director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59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206" descr=""/>
                          <pic:cNvPicPr>
                            <a:picLocks noChangeAspect="1" noChangeArrowheads="1"/>
                          </pic:cNvPicPr>
                        </pic:nvPicPr>
                        <pic:blipFill>
                          <a:blip r:embed="rId20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91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59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207" descr=""/>
                    <pic:cNvPicPr>
                      <a:picLocks noChangeAspect="1" noChangeArrowheads="1"/>
                    </pic:cNvPicPr>
                  </pic:nvPicPr>
                  <pic:blipFill>
                    <a:blip r:embed="rId20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760"/>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US Federal Income Tax Consequences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is a brief summary of the principal U.S. federal income tax consequences of the 2025 Director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2025 Director Plan is not qualified under Section 401(a) of the Internal Revenue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Options and SARs</w:t>
      </w:r>
      <w:r>
        <w:rPr>
          <w:rFonts w:ascii="Tahoma;Geneva;sans-serif" w:hAnsi="Tahoma;Geneva;sans-serif"/>
          <w:b w:val="false"/>
          <w:i w:val="false"/>
          <w:caps w:val="false"/>
          <w:smallCaps w:val="false"/>
          <w:color w:val="000000"/>
          <w:spacing w:val="2"/>
          <w:sz w:val="20"/>
        </w:rPr>
        <w:t>. Options granted under the 2025 Director Plan are nonqualified stock options, which are not intended to meet such requirements of Section 422 of the Internal Revenue Code.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participant upon exercise.</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40">
                <wp:simplePos x="0" y="0"/>
                <wp:positionH relativeFrom="column">
                  <wp:align>left</wp:align>
                </wp:positionH>
                <wp:positionV relativeFrom="line">
                  <wp:align>top</wp:align>
                </wp:positionV>
                <wp:extent cx="228600" cy="350520"/>
                <wp:effectExtent l="0" t="0" r="0" b="0"/>
                <wp:wrapSquare wrapText="right"/>
                <wp:docPr id="595" name="Frame3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Restricted Stock Awards</w:t>
      </w:r>
      <w:r>
        <w:rPr>
          <w:rFonts w:ascii="Tahoma;Geneva;sans-serif" w:hAnsi="Tahoma;Geneva;sans-serif"/>
          <w:b w:val="false"/>
          <w:i w:val="false"/>
          <w:caps w:val="false"/>
          <w:smallCaps w:val="false"/>
          <w:color w:val="000000"/>
          <w:spacing w:val="2"/>
          <w:sz w:val="20"/>
        </w:rPr>
        <w:t>. A participant in the 2025 Director Plan who is granted a restricted stock award will not be 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value of the award is included in the recipient’s taxable income.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Section 83(b) election is made, the basis of the shares acquired will be equal to the fair market value at the time of grant. If the Section 83(b) election is made, no tax will be payable upon the subsequent lapse or release of the restrictions, and any gain or loss upon disposition will be a capital gain or loss.</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41">
                <wp:simplePos x="0" y="0"/>
                <wp:positionH relativeFrom="column">
                  <wp:align>left</wp:align>
                </wp:positionH>
                <wp:positionV relativeFrom="line">
                  <wp:align>top</wp:align>
                </wp:positionV>
                <wp:extent cx="228600" cy="350520"/>
                <wp:effectExtent l="0" t="0" r="0" b="0"/>
                <wp:wrapSquare wrapText="right"/>
                <wp:docPr id="596" name="Frame3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RSUs</w:t>
      </w:r>
      <w:r>
        <w:rPr>
          <w:rFonts w:ascii="Tahoma;Geneva;sans-serif" w:hAnsi="Tahoma;Geneva;sans-serif"/>
          <w:b w:val="false"/>
          <w:i w:val="false"/>
          <w:caps w:val="false"/>
          <w:smallCaps w:val="false"/>
          <w:color w:val="000000"/>
          <w:spacing w:val="2"/>
          <w:sz w:val="20"/>
        </w:rPr>
        <w:t>. A participant who is granted an RSU will not be taxed upon the grant of the award. Upon receipt of payment of cash or Ordinary Shares pursuant to an RSU, the participant will realize ordinary income in an amount equal to any cash received and the fair market value of any Ordinary Shares received, and, subject to the limits of Section 162(m) of the Internal Revenue Code, the Company will be entitled to an income tax deduction equal to the amount of ordinary income recognized by the participant.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42">
                <wp:simplePos x="0" y="0"/>
                <wp:positionH relativeFrom="column">
                  <wp:align>left</wp:align>
                </wp:positionH>
                <wp:positionV relativeFrom="line">
                  <wp:align>top</wp:align>
                </wp:positionV>
                <wp:extent cx="228600" cy="350520"/>
                <wp:effectExtent l="0" t="0" r="0" b="0"/>
                <wp:wrapSquare wrapText="right"/>
                <wp:docPr id="597" name="Frame3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Other Awards</w:t>
      </w:r>
      <w:r>
        <w:rPr>
          <w:rFonts w:ascii="Tahoma;Geneva;sans-serif" w:hAnsi="Tahoma;Geneva;sans-serif"/>
          <w:b w:val="false"/>
          <w:i w:val="false"/>
          <w:caps w:val="false"/>
          <w:smallCaps w:val="false"/>
          <w:color w:val="000000"/>
          <w:spacing w:val="2"/>
          <w:sz w:val="20"/>
        </w:rPr>
        <w:t>. With respect to other stock-based awards, generally when the participant receives payment in respect of the award, the amount of cash and/or the fair market value of any Ordinary Shares or other property received will be ordinary income to the participant, and the Company generally will be entitled to a tax deduction at the same time and in the same amount.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743">
                <wp:simplePos x="0" y="0"/>
                <wp:positionH relativeFrom="column">
                  <wp:align>left</wp:align>
                </wp:positionH>
                <wp:positionV relativeFrom="line">
                  <wp:align>top</wp:align>
                </wp:positionV>
                <wp:extent cx="228600" cy="350520"/>
                <wp:effectExtent l="0" t="0" r="0" b="0"/>
                <wp:wrapSquare wrapText="right"/>
                <wp:docPr id="598" name="Frame3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u w:val="single"/>
        </w:rPr>
        <w:t>Dividend Equivalents</w:t>
      </w:r>
      <w:r>
        <w:rPr>
          <w:rFonts w:ascii="Tahoma;Geneva;sans-serif" w:hAnsi="Tahoma;Geneva;sans-serif"/>
          <w:b w:val="false"/>
          <w:i w:val="false"/>
          <w:caps w:val="false"/>
          <w:smallCaps w:val="false"/>
          <w:color w:val="000000"/>
          <w:spacing w:val="2"/>
          <w:sz w:val="20"/>
        </w:rPr>
        <w:t xml:space="preserve">. A recipient of dividend equivalents generally will recognize ordinary income at the time the dividend equivalent is paid. The Company will be entitled to a corresponding deduction equal to the ordinary income recognized by the participant. </w:t>
      </w:r>
      <w:r>
        <mc:AlternateContent>
          <mc:Choice Requires="wps">
            <w:drawing>
              <wp:anchor behindDoc="0" distT="76200" distB="0" distL="228600" distR="0" simplePos="0" locked="0" layoutInCell="1" allowOverlap="1" relativeHeight="744">
                <wp:simplePos x="0" y="0"/>
                <wp:positionH relativeFrom="column">
                  <wp:align>left</wp:align>
                </wp:positionH>
                <wp:positionV relativeFrom="line">
                  <wp:align>top</wp:align>
                </wp:positionV>
                <wp:extent cx="228600" cy="350520"/>
                <wp:effectExtent l="0" t="0" r="0" b="0"/>
                <wp:wrapSquare wrapText="right"/>
                <wp:docPr id="599" name="Frame3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92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00"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208" descr=""/>
                          <pic:cNvPicPr>
                            <a:picLocks noChangeAspect="1" noChangeArrowheads="1"/>
                          </pic:cNvPicPr>
                        </pic:nvPicPr>
                        <pic:blipFill>
                          <a:blip r:embed="rId20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PROP6"/>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01"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209" descr=""/>
                    <pic:cNvPicPr>
                      <a:picLocks noChangeAspect="1" noChangeArrowheads="1"/>
                    </pic:cNvPicPr>
                  </pic:nvPicPr>
                  <pic:blipFill>
                    <a:blip r:embed="rId21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6 — Ordinary Resolution to Grant Authority to Allot Shares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418"/>
        <w:gridCol w:w="109"/>
        <w:gridCol w:w="109"/>
        <w:gridCol w:w="109"/>
        <w:gridCol w:w="279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418" w:type="dxa"/>
            <w:tcBorders>
              <w:bottom w:val="single" w:sz="8" w:space="0" w:color="702076"/>
            </w:tcBorders>
            <w:tcMar>
              <w:bottom w:w="107" w:type="dxa"/>
            </w:tcMar>
            <w:vAlign w:val="center"/>
          </w:tcPr>
          <w:p>
            <w:pPr>
              <w:pStyle w:val="TableContents"/>
              <w:bidi w:val="0"/>
              <w:spacing w:before="0" w:after="0"/>
              <w:jc w:val="both"/>
              <w:rPr/>
            </w:pPr>
            <w:r>
              <w:rPr>
                <w:spacing w:val="2"/>
              </w:rPr>
              <w:t>The action requested in this proposal is required because the Company is incorporated in England and Wales and is subject to the Companies Act. For companies subject to the Companies Act, unlike for companies incorporated in the US, the power to allot (or issue) shares is restricted in terms of the number of shares that may be allotted and the time period during which they may be allotted.</w:t>
            </w:r>
            <w:r>
              <w:rPr/>
              <w:t xml:space="preserve"> </w:t>
            </w:r>
          </w:p>
          <w:p>
            <w:pPr>
              <w:pStyle w:val="TableContents"/>
              <w:bidi w:val="0"/>
              <w:spacing w:before="260" w:after="283"/>
              <w:jc w:val="both"/>
              <w:rPr/>
            </w:pPr>
            <w:r>
              <w:rPr>
                <w:spacing w:val="2"/>
              </w:rPr>
              <w:t>Under the Companies Act, the directors may only allot shares in the Company or grant rights to subscribe for, or to convert any security, into shares in the Company if they are authorized to do so by the Company’s Articles of Association or by shareholder resolution. The requirement for such authorization to allot by the Company’s shareholders is an additional step not generally required when companies domiciled in the U.S. are issuing securities. The directors believe that it is important for the Company to retain the flexibility to allot shares on an accelerated basis should the directors determine it is necessary or advisable and in the best interests of shareholders, without incurring the costs or delays associated with calling a special meeting and preparing and circulating proxy materials to approve specific allotments of shares.</w:t>
            </w:r>
            <w:r>
              <w:rPr/>
              <w:t xml:space="preserve"> </w:t>
            </w:r>
          </w:p>
          <w:p>
            <w:pPr>
              <w:pStyle w:val="TableContents"/>
              <w:bidi w:val="0"/>
              <w:spacing w:before="260" w:after="283"/>
              <w:jc w:val="both"/>
              <w:rPr/>
            </w:pPr>
            <w:r>
              <w:rPr>
                <w:spacing w:val="2"/>
              </w:rPr>
              <w:t>Therefore, the Company is now requesting that its Board have the authority to allot up to an aggregate nominal amount of £10,904,831, which is equivalent to approximately 20% of the Company’s existing issued share capital (excluding treasury shares). 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w:t>
            </w:r>
            <w:r>
              <w:rPr/>
              <w:t xml:space="preserve"> </w:t>
            </w:r>
          </w:p>
          <w:p>
            <w:pPr>
              <w:pStyle w:val="TableContents"/>
              <w:bidi w:val="0"/>
              <w:spacing w:before="260" w:after="283"/>
              <w:jc w:val="both"/>
              <w:rPr/>
            </w:pPr>
            <w:r>
              <w:rPr>
                <w:spacing w:val="2"/>
              </w:rPr>
              <w:t>The Company sought and was granted a similar authority at the AGM held in 2024.</w:t>
            </w:r>
            <w:r>
              <w:rPr/>
              <w:t xml:space="preserve"> </w:t>
            </w:r>
          </w:p>
          <w:p>
            <w:pPr>
              <w:pStyle w:val="TableContents"/>
              <w:bidi w:val="0"/>
              <w:spacing w:before="260" w:after="283"/>
              <w:jc w:val="both"/>
              <w:rPr/>
            </w:pPr>
            <w:r>
              <w:rPr>
                <w:spacing w:val="2"/>
              </w:rPr>
              <w:t>The directors have no present intention to exercise the authority sought under this resolution, other than to satisfy options and other awards to the non-executive directors of the Company who are not covered by the Existing Plan and may consider from time-to-time other compensation needs, refinancing opportunities or other market transactions depending on the needs of the Company and market conditions.</w:t>
            </w:r>
            <w:r>
              <w:rPr/>
              <w:t xml:space="preserve"> </w:t>
            </w:r>
          </w:p>
          <w:p>
            <w:pPr>
              <w:pStyle w:val="TableContents"/>
              <w:bidi w:val="0"/>
              <w:spacing w:before="260" w:after="283"/>
              <w:jc w:val="both"/>
              <w:rPr>
                <w:spacing w:val="2"/>
              </w:rPr>
            </w:pPr>
            <w:r>
              <w:rPr>
                <w:spacing w:val="2"/>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790"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ordinary resolution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6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60" w:after="283"/>
              <w:jc w:val="left"/>
              <w:rPr>
                <w:rFonts w:ascii="Arial Narrow;Arial;Tahoma;Geneva;sans-serif" w:hAnsi="Arial Narrow;Arial;Tahoma;Geneva;sans-serif"/>
                <w:b/>
                <w:color w:val="702076"/>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702076"/>
                <w:spacing w:val="2"/>
              </w:rPr>
              <w:t xml:space="preserve"> </w:t>
            </w:r>
            <w:r>
              <w:rPr>
                <w:rFonts w:ascii="Tahoma;Geneva;sans-serif" w:hAnsi="Tahoma;Geneva;sans-serif"/>
                <w:b w:val="false"/>
                <w:color w:val="702076"/>
                <w:spacing w:val="2"/>
              </w:rPr>
              <w:t>the grant of authority to allot shares.</w:t>
            </w:r>
            <w:r>
              <w:rPr>
                <w:rFonts w:ascii="Arial Narrow;Arial;Tahoma;Geneva;sans-serif" w:hAnsi="Arial Narrow;Arial;Tahoma;Geneva;sans-serif"/>
                <w:b/>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02"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210" descr=""/>
                          <pic:cNvPicPr>
                            <a:picLocks noChangeAspect="1" noChangeArrowheads="1"/>
                          </pic:cNvPicPr>
                        </pic:nvPicPr>
                        <pic:blipFill>
                          <a:blip r:embed="rId21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93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ROP7"/>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03"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211" descr=""/>
                    <pic:cNvPicPr>
                      <a:picLocks noChangeAspect="1" noChangeArrowheads="1"/>
                    </pic:cNvPicPr>
                  </pic:nvPicPr>
                  <pic:blipFill>
                    <a:blip r:embed="rId21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7 — Special Resolution to Grant Power to Disapply Pre-Emption Rights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453"/>
        <w:gridCol w:w="109"/>
        <w:gridCol w:w="109"/>
        <w:gridCol w:w="109"/>
        <w:gridCol w:w="275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5453" w:type="dxa"/>
            <w:tcBorders>
              <w:bottom w:val="single" w:sz="8" w:space="0" w:color="702076"/>
            </w:tcBorders>
            <w:tcMar>
              <w:bottom w:w="107" w:type="dxa"/>
            </w:tcMar>
            <w:vAlign w:val="center"/>
          </w:tcPr>
          <w:p>
            <w:pPr>
              <w:pStyle w:val="TableContents"/>
              <w:bidi w:val="0"/>
              <w:spacing w:before="0" w:after="0"/>
              <w:jc w:val="both"/>
              <w:rPr/>
            </w:pPr>
            <w:r>
              <w:rPr>
                <w:spacing w:val="2"/>
              </w:rPr>
              <w:t>This action, like the previous proposal, is required because the Company is incorporated in England and Wales. In this proposal, the Company is requesting that when the Board allots (issues) shares for cash up to an aggregate nominal amount of £10,904,831, which is equivalent to approximately 20% of the Company’s existing issued share capital (excluding treasury shares), it not be required to offer pre-emption rights to existing shareholders.</w:t>
            </w:r>
            <w:r>
              <w:rPr/>
              <w:t xml:space="preserve"> </w:t>
            </w:r>
          </w:p>
          <w:p>
            <w:pPr>
              <w:pStyle w:val="TableContents"/>
              <w:bidi w:val="0"/>
              <w:spacing w:before="280" w:after="283"/>
              <w:jc w:val="both"/>
              <w:rPr/>
            </w:pPr>
            <w:r>
              <w:rPr>
                <w:spacing w:val="2"/>
              </w:rPr>
              <w:t>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 This resolution, if passed, would give the directors the power to allot new equity securities or to sell treasury shares held by the Company for cash without first offering them to shareholders in proportion to their existing holdings, subject to the limits set forth above. Under the Companies Act,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w:t>
            </w:r>
            <w:r>
              <w:rPr/>
              <w:t xml:space="preserve"> </w:t>
            </w:r>
          </w:p>
          <w:p>
            <w:pPr>
              <w:pStyle w:val="TableContents"/>
              <w:bidi w:val="0"/>
              <w:spacing w:before="280" w:after="283"/>
              <w:jc w:val="both"/>
              <w:rPr/>
            </w:pPr>
            <w:r>
              <w:rPr>
                <w:spacing w:val="2"/>
              </w:rPr>
              <w:t>The requirement to first offer shares to existing shareholders is an additional step not generally required when companies domiciled in the United States are issuing securities. The directors believe that it is important for the Company to retain the flexibility to issue shares on an accelerated basis should the directors determine it is necessary or advisable and in the best interests of shareholders, without incurring the costs or delays associated with calling a special meeting and preparing and circulating proxy materials to disapply pre-emption rights in connection with specific allotments of shares.</w:t>
            </w:r>
            <w:r>
              <w:rPr/>
              <w:t xml:space="preserve"> </w:t>
            </w:r>
          </w:p>
          <w:p>
            <w:pPr>
              <w:pStyle w:val="TableContents"/>
              <w:bidi w:val="0"/>
              <w:spacing w:before="280" w:after="283"/>
              <w:jc w:val="both"/>
              <w:rPr/>
            </w:pPr>
            <w:r>
              <w:rPr>
                <w:spacing w:val="2"/>
              </w:rPr>
              <w:t>The Company sought and was granted a similar authority at the AGM held in 2024.</w:t>
            </w:r>
            <w:r>
              <w:rPr/>
              <w:t xml:space="preserve"> </w:t>
            </w:r>
          </w:p>
          <w:p>
            <w:pPr>
              <w:pStyle w:val="TableContents"/>
              <w:bidi w:val="0"/>
              <w:spacing w:before="280" w:after="283"/>
              <w:jc w:val="both"/>
              <w:rPr/>
            </w:pPr>
            <w:r>
              <w:rPr>
                <w:spacing w:val="2"/>
              </w:rPr>
              <w:t>The directors have no present intention to exercise the authority sought under this resolution, other than to satisfy options and other awards to the non-executive directors of the Company who are not covered by the Existing Plan and may consider from time-to-time other compensation needs, refinancing opportunities or other market transactions depending on the needs of the Company and market conditions.</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2755"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special resolution will be approved if there is an affirmative vote of at least 75% of the total votes cast on the resolution by members present at the AGM, in person or by proxy, and entitled to vote on the proposal.</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proposal to disapply pre-emption rights.</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94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04"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212" descr=""/>
                          <pic:cNvPicPr>
                            <a:picLocks noChangeAspect="1" noChangeArrowheads="1"/>
                          </pic:cNvPicPr>
                        </pic:nvPicPr>
                        <pic:blipFill>
                          <a:blip r:embed="rId21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PROP8"/>
      <w:bookmarkEnd w:id="38"/>
      <w:r>
        <w:rPr>
          <w:rFonts w:ascii="calibri;arial;sans-serif" w:hAnsi="calibri;arial;sans-serif"/>
          <w:b w:val="false"/>
          <w:i w:val="false"/>
          <w:caps w:val="false"/>
          <w:smallCaps w:val="false"/>
          <w:color w:val="000000"/>
          <w:sz w:val="16"/>
        </w:rPr>
        <w:t>​</w:t>
      </w:r>
      <w:bookmarkStart w:id="39" w:name="tPROP9"/>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05"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213" descr=""/>
                    <pic:cNvPicPr>
                      <a:picLocks noChangeAspect="1" noChangeArrowheads="1"/>
                    </pic:cNvPicPr>
                  </pic:nvPicPr>
                  <pic:blipFill>
                    <a:blip r:embed="rId21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8100" w:type="dxa"/>
            <w:tcBorders>
              <w:bottom w:val="single" w:sz="8" w:space="0" w:color="702076"/>
            </w:tcBorders>
            <w:tcMar>
              <w:bottom w:w="107" w:type="dxa"/>
            </w:tcMar>
            <w:vAlign w:val="center"/>
          </w:tcPr>
          <w:p>
            <w:pPr>
              <w:pStyle w:val="TableContents"/>
              <w:bidi w:val="0"/>
              <w:spacing w:before="0" w:after="0"/>
              <w:jc w:val="both"/>
              <w:rPr>
                <w:spacing w:val="2"/>
              </w:rPr>
            </w:pPr>
            <w:r>
              <w:rPr>
                <w:spacing w:val="2"/>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120"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8 — Advisory Vote to Approve the UK Directors’ Remuneration Report</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130"/>
        <w:gridCol w:w="109"/>
        <w:gridCol w:w="109"/>
        <w:gridCol w:w="109"/>
        <w:gridCol w:w="407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130" w:type="dxa"/>
            <w:tcBorders>
              <w:bottom w:val="single" w:sz="8" w:space="0" w:color="702076"/>
            </w:tcBorders>
            <w:tcMar>
              <w:bottom w:w="107" w:type="dxa"/>
            </w:tcMar>
            <w:vAlign w:val="center"/>
          </w:tcPr>
          <w:p>
            <w:pPr>
              <w:pStyle w:val="TableContents"/>
              <w:bidi w:val="0"/>
              <w:spacing w:before="0" w:after="0"/>
              <w:jc w:val="both"/>
              <w:rPr/>
            </w:pPr>
            <w:r>
              <w:rPr>
                <w:spacing w:val="2"/>
              </w:rPr>
              <w:t>The Board considers that appropriate remuneration of directors plays a vital part in helping the Company to achieve LivaNova’s overall objectives, and accordingly, and in compliance with the Companies Act, LivaNova is providing shareholders with the opportunity to vote on an advisory resolution approving the directors’ remuneration report included in the Company’s UK Annual Report. This proposal is similar to Proposal 2 regarding the compensation of LivaNova’s NEOs. However, the directors’ remuneration report is concerned solely with the remuneration of LivaNova’s executive and non-executive directors and is required under the Companies Act.</w:t>
            </w:r>
            <w:r>
              <w:rPr/>
              <w:t xml:space="preserve"> </w:t>
            </w:r>
          </w:p>
          <w:p>
            <w:pPr>
              <w:pStyle w:val="TableContents"/>
              <w:bidi w:val="0"/>
              <w:spacing w:before="280" w:after="283"/>
              <w:jc w:val="both"/>
              <w:rPr/>
            </w:pPr>
            <w:r>
              <w:rPr>
                <w:spacing w:val="2"/>
              </w:rPr>
              <w:t>LivaNova encourages shareholders to read the directors’ remuneration report as set forth in the UK Annual Report and the directors’ remuneration policy approved by shareholders in 2022 (which governs the directors’ remuneration report included in the UK Annual Report). The Board and the CHCM Committee believe that the policies and procedures articulated in the directors’ remuneration report are effective in achieving LivaNova’s compensation objectives and serve to attract, motivate, develop, and retain highly qualified non-executive directors.</w:t>
            </w:r>
            <w:r>
              <w:rPr/>
              <w:t xml:space="preserve"> </w:t>
            </w:r>
          </w:p>
          <w:p>
            <w:pPr>
              <w:pStyle w:val="TableContents"/>
              <w:bidi w:val="0"/>
              <w:spacing w:before="280" w:after="283"/>
              <w:jc w:val="both"/>
              <w:rPr>
                <w:spacing w:val="2"/>
              </w:rPr>
            </w:pPr>
            <w:r>
              <w:rPr>
                <w:spacing w:val="2"/>
              </w:rPr>
              <w:t xml:space="preserve">The directors’ remuneration report for 2024 and the names of directors whose remuneration is the object of this proposal are set out in the UK Annual Report. All UK incorporated companies that are “quoted companies” under the Companies Act are required to put their directors’ remuneration report to shareholders.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078"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advisory vote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both"/>
              <w:rPr>
                <w:color w:val="702076"/>
              </w:rPr>
            </w:pPr>
            <w:r>
              <w:rPr>
                <w:color w:val="702076"/>
                <w:spacing w:val="2"/>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CHCM Committee will review and consider the outcome of the vote in connection with the ongoing review of LivaNova’s executive director and non-executive director compensation programs.</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approval of the 2024 UK directors’ remuneration report.</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9 Vote to Approve the UK Directors’ Remuneration Policy</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771"/>
        <w:gridCol w:w="109"/>
        <w:gridCol w:w="109"/>
        <w:gridCol w:w="109"/>
        <w:gridCol w:w="343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71" w:type="dxa"/>
            <w:tcBorders>
              <w:bottom w:val="single" w:sz="8" w:space="0" w:color="702076"/>
            </w:tcBorders>
            <w:tcMar>
              <w:bottom w:w="107" w:type="dxa"/>
            </w:tcMar>
            <w:vAlign w:val="center"/>
          </w:tcPr>
          <w:p>
            <w:pPr>
              <w:pStyle w:val="TableContents"/>
              <w:bidi w:val="0"/>
              <w:spacing w:before="0" w:after="0"/>
              <w:jc w:val="both"/>
              <w:rPr/>
            </w:pPr>
            <w:r>
              <w:rPr>
                <w:spacing w:val="2"/>
              </w:rPr>
              <w:t>The Board believes that appropriate remuneration of directors plays a vital part in helping to achieve the Company’s overall objectives, and, accordingly, and in compliance with the Companies Act, LivaNova is providing shareholders with the opportunity to vote on a resolution to approve LivaNova’s directors’ remuneration policy, which is included in the Company’s UK Annual Report.</w:t>
            </w:r>
            <w:r>
              <w:rPr/>
              <w:t xml:space="preserve"> </w:t>
            </w:r>
          </w:p>
          <w:p>
            <w:pPr>
              <w:pStyle w:val="TableContents"/>
              <w:bidi w:val="0"/>
              <w:spacing w:before="280" w:after="283"/>
              <w:jc w:val="both"/>
              <w:rPr>
                <w:spacing w:val="2"/>
              </w:rPr>
            </w:pPr>
            <w:r>
              <w:rPr>
                <w:spacing w:val="2"/>
              </w:rPr>
              <w:t xml:space="preserve">The directors’ remuneration policy sets out the Company’s forward-looking policy on directors’ remuneration and describes the components of the executive and non-executive directors’ remuneration. At LivaNova’s 2022 AGM, the Company provided shareholders with the opportunity to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437"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ordinary resolution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8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8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approval of the UK directors’ remuneration policy.</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06"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214" descr=""/>
                          <pic:cNvPicPr>
                            <a:picLocks noChangeAspect="1" noChangeArrowheads="1"/>
                          </pic:cNvPicPr>
                        </pic:nvPicPr>
                        <pic:blipFill>
                          <a:blip r:embed="rId21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95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07"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215" descr=""/>
                    <pic:cNvPicPr>
                      <a:picLocks noChangeAspect="1" noChangeArrowheads="1"/>
                    </pic:cNvPicPr>
                  </pic:nvPicPr>
                  <pic:blipFill>
                    <a:blip r:embed="rId21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8100" w:type="dxa"/>
            <w:tcBorders>
              <w:bottom w:val="single" w:sz="8" w:space="0" w:color="702076"/>
            </w:tcBorders>
            <w:tcMar>
              <w:bottom w:w="107" w:type="dxa"/>
            </w:tcMar>
            <w:vAlign w:val="center"/>
          </w:tcPr>
          <w:p>
            <w:pPr>
              <w:pStyle w:val="TableContents"/>
              <w:bidi w:val="0"/>
              <w:spacing w:before="0" w:after="0"/>
              <w:jc w:val="both"/>
              <w:rPr/>
            </w:pPr>
            <w:r>
              <w:rPr>
                <w:spacing w:val="2"/>
              </w:rPr>
              <w:t>vote to approve the policy and they did so with more than 98% of the votes cast at that meeting being cast in favor of its approval. LivaNova is required under the Companies Act and associated regulations to offer the Company’s shareholders an opportunity to vote on the policy at least once every three years. Upon approval of the policy, all payment by the Company to its directors and former directors (in their capacity as directors) will be made in accordance with the policy, or a shareholder-approved amendment to the policy.</w:t>
            </w:r>
            <w:r>
              <w:rPr/>
              <w:t xml:space="preserve"> </w:t>
            </w:r>
          </w:p>
          <w:p>
            <w:pPr>
              <w:pStyle w:val="TableContents"/>
              <w:bidi w:val="0"/>
              <w:spacing w:before="240" w:after="283"/>
              <w:jc w:val="both"/>
              <w:rPr/>
            </w:pPr>
            <w:r>
              <w:rPr>
                <w:spacing w:val="2"/>
              </w:rPr>
              <w:t>LivaNova encourages shareholders to read the directors’ remuneration report, which includes the remuneration policy in the UK Annual Report. The report describes how the Company’s compensation policies and procedures operate and support LivaNova’s compensation objectives for LivaNova’s sole executive director and to attract, motivate, develop, and retain its highly qualified non-executive directors.</w:t>
            </w:r>
            <w:r>
              <w:rPr/>
              <w:t xml:space="preserve"> </w:t>
            </w:r>
          </w:p>
          <w:p>
            <w:pPr>
              <w:pStyle w:val="TableContents"/>
              <w:bidi w:val="0"/>
              <w:spacing w:before="240" w:after="283"/>
              <w:jc w:val="both"/>
              <w:rPr/>
            </w:pPr>
            <w:r>
              <w:rPr>
                <w:spacing w:val="2"/>
              </w:rPr>
              <w:t>The Board and the CHCM Committee believe that the policies and procedures articulated in the directors’ remuneration policy are effective in achieving LivaNova’s compensation objectives for the Company’s CEO and serve to attract, motivate, develop, and retain high-quality non-executive directors, and that the design of the Company’s compensation program and the compensation awarded to LivaNova executive and non-executive directors fulfills these objectives.</w:t>
            </w:r>
            <w:r>
              <w:rPr/>
              <w:t xml:space="preserve"> </w:t>
            </w:r>
          </w:p>
          <w:p>
            <w:pPr>
              <w:pStyle w:val="TableContents"/>
              <w:bidi w:val="0"/>
              <w:spacing w:before="240" w:after="283"/>
              <w:jc w:val="both"/>
              <w:rPr/>
            </w:pPr>
            <w:r>
              <w:rPr>
                <w:spacing w:val="2"/>
              </w:rPr>
              <w:t>In accordance with the Companies Act, the policy has been approved by and signed on behalf of the Board and, upon approval by shareholders, will be delivered to the Registrar of Companies in the UK following the 2025 AGM.</w:t>
            </w:r>
            <w:r>
              <w:rPr/>
              <w:t xml:space="preserve"> </w:t>
            </w:r>
          </w:p>
          <w:p>
            <w:pPr>
              <w:pStyle w:val="TableContents"/>
              <w:bidi w:val="0"/>
              <w:spacing w:before="240" w:after="283"/>
              <w:jc w:val="both"/>
              <w:rPr>
                <w:spacing w:val="2"/>
              </w:rPr>
            </w:pPr>
            <w:r>
              <w:rPr>
                <w:spacing w:val="2"/>
              </w:rPr>
              <w:t xml:space="preserve">If this proposal does not receive the affirmative vote of the holders of a majority of the shares entitled to vote and present in person or represented by proxy at the AGM, the Company will be required to incur additional expenses to comply with English law as it will be required to hold additional shareholder meetings until the policy is approved. In addition, if the directors’ remuneration policy is not approved, the Company may not be able to pay the expected compensation to its directors, including its CEO, which could materially harm the Company’s ability to retain its top executives and manage its business.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120"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96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08"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16" descr=""/>
                          <pic:cNvPicPr>
                            <a:picLocks noChangeAspect="1" noChangeArrowheads="1"/>
                          </pic:cNvPicPr>
                        </pic:nvPicPr>
                        <pic:blipFill>
                          <a:blip r:embed="rId21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ROP10"/>
      <w:bookmarkEnd w:id="40"/>
      <w:r>
        <w:rPr>
          <w:rFonts w:ascii="calibri;arial;sans-serif" w:hAnsi="calibri;arial;sans-serif"/>
          <w:b w:val="false"/>
          <w:i w:val="false"/>
          <w:caps w:val="false"/>
          <w:smallCaps w:val="false"/>
          <w:color w:val="702076"/>
          <w:sz w:val="16"/>
        </w:rPr>
        <w:t>​</w:t>
      </w:r>
      <w:bookmarkStart w:id="41" w:name="tPROP11"/>
      <w:bookmarkEnd w:id="41"/>
      <w:r>
        <w:rPr>
          <w:rFonts w:ascii="calibri;arial;sans-serif" w:hAnsi="calibri;arial;sans-serif"/>
          <w:b w:val="false"/>
          <w:i w:val="false"/>
          <w:caps w:val="false"/>
          <w:smallCaps w:val="false"/>
          <w:color w:val="702076"/>
          <w:sz w:val="16"/>
        </w:rPr>
        <w:t>​</w:t>
      </w:r>
      <w:bookmarkStart w:id="42" w:name="tPROP12"/>
      <w:bookmarkEnd w:id="42"/>
      <w:r>
        <w:rPr>
          <w:rFonts w:ascii="calibri;arial;sans-serif" w:hAnsi="calibri;arial;sans-serif"/>
          <w:b w:val="false"/>
          <w:i w:val="false"/>
          <w:caps w:val="false"/>
          <w:smallCaps w:val="false"/>
          <w:color w:val="702076"/>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702076"/>
        </w:rPr>
      </w:pPr>
      <w:r>
        <w:rPr>
          <w:caps w:val="false"/>
          <w:smallCaps w:val="false"/>
          <w:color w:val="702076"/>
        </w:rPr>
        <w:drawing>
          <wp:inline distT="0" distB="0" distL="0" distR="0">
            <wp:extent cx="1219200" cy="1181100"/>
            <wp:effectExtent l="0" t="0" r="0" b="0"/>
            <wp:docPr id="609"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217" descr=""/>
                    <pic:cNvPicPr>
                      <a:picLocks noChangeAspect="1" noChangeArrowheads="1"/>
                    </pic:cNvPicPr>
                  </pic:nvPicPr>
                  <pic:blipFill>
                    <a:blip r:embed="rId218"/>
                    <a:stretch>
                      <a:fillRect/>
                    </a:stretch>
                  </pic:blipFill>
                  <pic:spPr bwMode="auto">
                    <a:xfrm>
                      <a:off x="0" y="0"/>
                      <a:ext cx="1219200" cy="1181100"/>
                    </a:xfrm>
                    <a:prstGeom prst="rect">
                      <a:avLst/>
                    </a:prstGeom>
                  </pic:spPr>
                </pic:pic>
              </a:graphicData>
            </a:graphic>
          </wp:inline>
        </w:drawing>
      </w:r>
      <w:r>
        <w:rPr>
          <w:caps w:val="false"/>
          <w:smallCaps w:val="false"/>
          <w:color w:val="702076"/>
        </w:rPr>
        <w:t xml:space="preserve"> </w:t>
      </w:r>
    </w:p>
    <w:p>
      <w:pPr>
        <w:pStyle w:val="TextBody"/>
        <w:bidi w:val="0"/>
        <w:spacing w:lineRule="atLeast" w:line="240" w:before="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10 — To Receive and Adopt the UK Annual Report and Accounts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811"/>
        <w:gridCol w:w="109"/>
        <w:gridCol w:w="109"/>
        <w:gridCol w:w="109"/>
        <w:gridCol w:w="339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811" w:type="dxa"/>
            <w:tcBorders>
              <w:bottom w:val="single" w:sz="8" w:space="0" w:color="702076"/>
            </w:tcBorders>
            <w:tcMar>
              <w:bottom w:w="107" w:type="dxa"/>
            </w:tcMar>
            <w:vAlign w:val="center"/>
          </w:tcPr>
          <w:p>
            <w:pPr>
              <w:pStyle w:val="TableContents"/>
              <w:bidi w:val="0"/>
              <w:spacing w:before="0" w:after="0"/>
              <w:jc w:val="both"/>
              <w:rPr>
                <w:spacing w:val="2"/>
              </w:rPr>
            </w:pPr>
            <w:r>
              <w:rPr>
                <w:spacing w:val="2"/>
              </w:rPr>
              <w:t xml:space="preserve">The Board is required to present at the Annual Meeting of Shareholders the Company’s audited UK Annual Report for the year ended December 31, 2024. In accordance with its obligations under English law, the Company will provide shareholders at the AGM the opportunity to receive and adopt the UK Annual Report and ask any relevant and appropriate questions of the representative of PwC-UK in attendance at the AGM.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397"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702076"/>
              </w:rPr>
            </w:pPr>
            <w:r>
              <w:rPr>
                <w:color w:val="702076"/>
                <w:spacing w:val="2"/>
              </w:rPr>
              <w:t>This ordinary resolution will be approved if there is an affirmative vote of a simple majority of the total votes cast by members present at the AGM, in person or by proxy, and entitled to vote on the proposal.</w:t>
            </w:r>
            <w:r>
              <w:rPr>
                <w:color w:val="702076"/>
              </w:rPr>
              <w:t xml:space="preserve"> </w:t>
            </w:r>
          </w:p>
          <w:p>
            <w:pPr>
              <w:pStyle w:val="TableContents"/>
              <w:bidi w:val="0"/>
              <w:spacing w:before="22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20" w:after="283"/>
              <w:jc w:val="both"/>
              <w:rPr>
                <w:color w:val="702076"/>
              </w:rPr>
            </w:pPr>
            <w:r>
              <w:rPr>
                <w:rFonts w:ascii="Arial Narrow;Arial;Tahoma;Geneva;sans-serif" w:hAnsi="Arial Narrow;Arial;Tahoma;Geneva;sans-serif"/>
                <w:b/>
                <w:color w:val="FF5B34"/>
                <w:spacing w:val="11"/>
              </w:rPr>
              <w:t>FOR</w:t>
            </w:r>
            <w:r>
              <w:rPr>
                <w:color w:val="702076"/>
                <w:spacing w:val="2"/>
              </w:rPr>
              <w:t xml:space="preserve"> the receipt and adoption of the UK Annual Report.</w:t>
            </w:r>
            <w:r>
              <w:rPr>
                <w:color w:val="702076"/>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11 — Re-appointment of PwC-UK as the Company’s UK Statutory Auditor</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397"/>
        <w:gridCol w:w="109"/>
        <w:gridCol w:w="109"/>
        <w:gridCol w:w="109"/>
        <w:gridCol w:w="381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397" w:type="dxa"/>
            <w:tcBorders>
              <w:bottom w:val="single" w:sz="8" w:space="0" w:color="702076"/>
            </w:tcBorders>
            <w:tcMar>
              <w:bottom w:w="107" w:type="dxa"/>
            </w:tcMar>
            <w:vAlign w:val="center"/>
          </w:tcPr>
          <w:p>
            <w:pPr>
              <w:pStyle w:val="TableContents"/>
              <w:bidi w:val="0"/>
              <w:spacing w:before="0" w:after="0"/>
              <w:jc w:val="both"/>
              <w:rPr>
                <w:color w:val="000000"/>
              </w:rPr>
            </w:pPr>
            <w:r>
              <w:rPr>
                <w:color w:val="000000"/>
                <w:spacing w:val="2"/>
              </w:rPr>
              <w:t>Under the Companies Act, the Company is required to appoint the UK statutory auditor at each meeting at which the UK Annual Report and accounts are presented to shareholders, to hold office until the conclusion of the next such meeting.</w:t>
            </w:r>
            <w:r>
              <w:rPr>
                <w:color w:val="000000"/>
              </w:rPr>
              <w:t xml:space="preserve"> </w:t>
            </w:r>
          </w:p>
          <w:p>
            <w:pPr>
              <w:pStyle w:val="TableContents"/>
              <w:bidi w:val="0"/>
              <w:spacing w:before="280" w:after="283"/>
              <w:jc w:val="both"/>
              <w:rPr>
                <w:color w:val="000000"/>
              </w:rPr>
            </w:pPr>
            <w:r>
              <w:rPr>
                <w:color w:val="000000"/>
                <w:spacing w:val="2"/>
              </w:rPr>
              <w:t>PwC-UK has served as the Company’s UK statutory auditor since 2015.</w:t>
            </w:r>
            <w:r>
              <w:rPr>
                <w:color w:val="000000"/>
              </w:rPr>
              <w:t xml:space="preserve"> </w:t>
            </w:r>
          </w:p>
          <w:p>
            <w:pPr>
              <w:pStyle w:val="TableContents"/>
              <w:bidi w:val="0"/>
              <w:spacing w:before="280" w:after="283"/>
              <w:jc w:val="both"/>
              <w:rPr>
                <w:color w:val="000000"/>
                <w:spacing w:val="2"/>
              </w:rPr>
            </w:pPr>
            <w:r>
              <w:rPr>
                <w:color w:val="000000"/>
                <w:spacing w:val="2"/>
              </w:rPr>
              <w:t xml:space="preserve">The AC Committee has recommended to the Board the re-appointment of PwC-UK as the Company’s UK statutory auditor and has confirmed to the Board that its recommendation is free from third-party influence and that no restrictive contractual provisions have been imposed on the Company limiting the choice of auditor.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811"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pPr>
            <w:r>
              <w:rPr>
                <w:spacing w:val="2"/>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220" w:after="283"/>
              <w:jc w:val="both"/>
              <w:rPr/>
            </w:pPr>
            <w:r>
              <w:rPr>
                <w:spacing w:val="2"/>
              </w:rPr>
              <w:t>If this ordinary resolution is not approved, the Board may appoint an auditor to fill the vacancy.</w:t>
            </w:r>
            <w:r>
              <w:rPr/>
              <w:t xml:space="preserve"> </w:t>
            </w:r>
          </w:p>
          <w:p>
            <w:pPr>
              <w:pStyle w:val="TableContents"/>
              <w:bidi w:val="0"/>
              <w:spacing w:before="220" w:after="283"/>
              <w:jc w:val="both"/>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and Audit and Compliance Committee Recommendation:</w:t>
            </w:r>
            <w:r>
              <w:rPr>
                <w:rFonts w:ascii="Arial Narrow;Arial;Tahoma;Geneva;sans-serif" w:hAnsi="Arial Narrow;Arial;Tahoma;Geneva;sans-serif"/>
                <w:b/>
                <w:color w:val="FF5B34"/>
              </w:rPr>
              <w:t xml:space="preserve"> </w:t>
            </w:r>
          </w:p>
          <w:p>
            <w:pPr>
              <w:pStyle w:val="TableContents"/>
              <w:bidi w:val="0"/>
              <w:spacing w:before="280" w:after="283"/>
              <w:jc w:val="both"/>
              <w:rPr/>
            </w:pPr>
            <w:r>
              <w:rPr>
                <w:rFonts w:ascii="Arial Narrow;Arial;Tahoma;Geneva;sans-serif" w:hAnsi="Arial Narrow;Arial;Tahoma;Geneva;sans-serif"/>
                <w:b/>
                <w:color w:val="FF5B34"/>
                <w:spacing w:val="11"/>
              </w:rPr>
              <w:t>FOR</w:t>
            </w:r>
            <w:r>
              <w:rPr>
                <w:spacing w:val="2"/>
              </w:rPr>
              <w:t xml:space="preserve"> the re-appointment of PwC-UK as the Company’s UK statutory auditor under the Companies Act to hold office from the conclusion of the meeting until the conclusion of the 2025 AGM at which accounts are laid before the Company.</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Proposal No. 12 — Authorization of the Directors and/or the Audit and Compliance Committee to Determine the Remuneration of PwC-UK in its Capacity as UK Statutory Auditor</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720"/>
        <w:gridCol w:w="109"/>
        <w:gridCol w:w="109"/>
        <w:gridCol w:w="109"/>
        <w:gridCol w:w="34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4720" w:type="dxa"/>
            <w:tcBorders>
              <w:bottom w:val="single" w:sz="8" w:space="0" w:color="702076"/>
            </w:tcBorders>
            <w:tcMar>
              <w:bottom w:w="107" w:type="dxa"/>
            </w:tcMar>
            <w:vAlign w:val="center"/>
          </w:tcPr>
          <w:p>
            <w:pPr>
              <w:pStyle w:val="TableContents"/>
              <w:bidi w:val="0"/>
              <w:spacing w:before="0" w:after="0"/>
              <w:jc w:val="both"/>
              <w:rPr>
                <w:color w:val="000000"/>
                <w:spacing w:val="2"/>
              </w:rPr>
            </w:pPr>
            <w:r>
              <w:rPr>
                <w:color w:val="000000"/>
                <w:spacing w:val="2"/>
              </w:rPr>
              <w:t xml:space="preserve">Under the Companies Act, the remuneration of LivaNova’s UK statutory auditor must be fixed in a general meeting or in such manner as may be determined in a general meeting. LivaNova is asking its shareholders to authorize the Board and/or the AC Committee of the Company to determine the remuneration of PwC-UK in its capacity as the Company’s UK statutory auditor under the Companies Act.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shd w:fill="702076" w:val="clear"/>
            <w:tcMar>
              <w:bottom w:w="28" w:type="dxa"/>
            </w:tcMar>
            <w:vAlign w:val="center"/>
          </w:tcPr>
          <w:p>
            <w:pPr>
              <w:pStyle w:val="TableContents"/>
              <w:bidi w:val="0"/>
              <w:spacing w:before="0" w:after="283"/>
              <w:jc w:val="left"/>
              <w:rPr/>
            </w:pPr>
            <w:r>
              <w:rPr/>
              <w:t>​</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3488" w:type="dxa"/>
            <w:tcBorders>
              <w:bottom w:val="single" w:sz="8" w:space="0" w:color="702076"/>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pPr>
            <w:r>
              <w:rPr>
                <w:spacing w:val="2"/>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22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20" w:after="283"/>
              <w:jc w:val="both"/>
              <w:rPr/>
            </w:pPr>
            <w:r>
              <w:rPr>
                <w:rFonts w:ascii="Arial Narrow;Arial;Tahoma;Geneva;sans-serif" w:hAnsi="Arial Narrow;Arial;Tahoma;Geneva;sans-serif"/>
                <w:b/>
                <w:color w:val="FF5B34"/>
                <w:spacing w:val="11"/>
              </w:rPr>
              <w:t>FOR</w:t>
            </w:r>
            <w:r>
              <w:rPr>
                <w:spacing w:val="2"/>
              </w:rPr>
              <w:t xml:space="preserve"> the authorization of the Board and/or the AC Committee to determine the Company’s UK statutory auditor’s remuneration.</w:t>
            </w:r>
            <w:r>
              <w:rPr/>
              <w:t xml:space="preserve"> </w:t>
            </w:r>
          </w:p>
        </w:tc>
        <w:tc>
          <w:tcPr>
            <w:tcW w:w="109" w:type="dxa"/>
            <w:tcBorders>
              <w:bottom w:val="single" w:sz="8" w:space="0" w:color="70207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10"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218" descr=""/>
                          <pic:cNvPicPr>
                            <a:picLocks noChangeAspect="1" noChangeArrowheads="1"/>
                          </pic:cNvPicPr>
                        </pic:nvPicPr>
                        <pic:blipFill>
                          <a:blip r:embed="rId21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97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OTIN"/>
      <w:bookmarkEnd w:id="43"/>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1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219" descr=""/>
                    <pic:cNvPicPr>
                      <a:picLocks noChangeAspect="1" noChangeArrowheads="1"/>
                    </pic:cNvPicPr>
                  </pic:nvPicPr>
                  <pic:blipFill>
                    <a:blip r:embed="rId22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3235" w:type="dxa"/>
        <w:jc w:val="left"/>
        <w:tblInd w:w="1173" w:type="dxa"/>
        <w:tblLayout w:type="fixed"/>
        <w:tblCellMar>
          <w:top w:w="0" w:type="dxa"/>
          <w:left w:w="0" w:type="dxa"/>
          <w:bottom w:w="0" w:type="dxa"/>
          <w:right w:w="0" w:type="dxa"/>
        </w:tblCellMar>
      </w:tblPr>
      <w:tblGrid>
        <w:gridCol w:w="124"/>
        <w:gridCol w:w="2957"/>
        <w:gridCol w:w="154"/>
      </w:tblGrid>
      <w:tr>
        <w:trPr/>
        <w:tc>
          <w:tcPr>
            <w:tcW w:w="124" w:type="dxa"/>
            <w:tcBorders/>
            <w:shd w:fill="702076" w:val="clear"/>
            <w:vAlign w:val="center"/>
          </w:tcPr>
          <w:p>
            <w:pPr>
              <w:pStyle w:val="TableContents"/>
              <w:bidi w:val="0"/>
              <w:spacing w:before="0" w:after="283"/>
              <w:jc w:val="left"/>
              <w:rPr/>
            </w:pPr>
            <w:r>
              <w:rPr/>
              <w:t>​</w:t>
            </w:r>
          </w:p>
        </w:tc>
        <w:tc>
          <w:tcPr>
            <w:tcW w:w="2957" w:type="dxa"/>
            <w:tcBorders/>
            <w:shd w:fill="702076" w:val="clear"/>
            <w:vAlign w:val="center"/>
          </w:tcPr>
          <w:p>
            <w:pPr>
              <w:pStyle w:val="TableContents"/>
              <w:bidi w:val="0"/>
              <w:spacing w:lineRule="atLeast" w:line="240" w:before="0" w:after="0"/>
              <w:jc w:val="center"/>
              <w:rPr/>
            </w:pPr>
            <w:r>
              <w:rPr>
                <w:spacing w:val="14"/>
              </w:rPr>
              <w:t>OTHER INFORMATION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Share Ownership Information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sets forth, as of April 14, 2025, except where otherwise noted, certain information with respect to the amount of LivaNova’s Ordinary Shares beneficially owned by: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NEOs;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745">
                <wp:simplePos x="0" y="0"/>
                <wp:positionH relativeFrom="column">
                  <wp:align>left</wp:align>
                </wp:positionH>
                <wp:positionV relativeFrom="line">
                  <wp:posOffset>635</wp:posOffset>
                </wp:positionV>
                <wp:extent cx="228600" cy="350520"/>
                <wp:effectExtent l="0" t="0" r="0" b="0"/>
                <wp:wrapSquare wrapText="right"/>
                <wp:docPr id="612" name="Frame3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director;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746">
                <wp:simplePos x="0" y="0"/>
                <wp:positionH relativeFrom="column">
                  <wp:align>left</wp:align>
                </wp:positionH>
                <wp:positionV relativeFrom="line">
                  <wp:posOffset>635</wp:posOffset>
                </wp:positionV>
                <wp:extent cx="228600" cy="350520"/>
                <wp:effectExtent l="0" t="0" r="0" b="0"/>
                <wp:wrapSquare wrapText="right"/>
                <wp:docPr id="613" name="Frame3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current executive officers and directors as a group; and</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747">
                <wp:simplePos x="0" y="0"/>
                <wp:positionH relativeFrom="column">
                  <wp:align>left</wp:align>
                </wp:positionH>
                <wp:positionV relativeFrom="line">
                  <wp:posOffset>635</wp:posOffset>
                </wp:positionV>
                <wp:extent cx="228600" cy="350520"/>
                <wp:effectExtent l="0" t="0" r="0" b="0"/>
                <wp:wrapSquare wrapText="right"/>
                <wp:docPr id="614" name="Frame3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person known by the Company to own beneficially more than 5% of the outstanding Ordinary Shares.</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748">
                <wp:simplePos x="0" y="0"/>
                <wp:positionH relativeFrom="column">
                  <wp:align>left</wp:align>
                </wp:positionH>
                <wp:positionV relativeFrom="line">
                  <wp:posOffset>635</wp:posOffset>
                </wp:positionV>
                <wp:extent cx="228600" cy="350520"/>
                <wp:effectExtent l="0" t="0" r="0" b="0"/>
                <wp:wrapSquare wrapText="right"/>
                <wp:docPr id="615" name="Frame3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7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not aware of any agreements among the Company’s shareholders that relate to voting or investment of LivaNova’s Ordinary Shares.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274"/>
        <w:gridCol w:w="109"/>
        <w:gridCol w:w="109"/>
        <w:gridCol w:w="109"/>
        <w:gridCol w:w="109"/>
        <w:gridCol w:w="109"/>
        <w:gridCol w:w="1074"/>
        <w:gridCol w:w="109"/>
        <w:gridCol w:w="109"/>
        <w:gridCol w:w="109"/>
        <w:gridCol w:w="109"/>
        <w:gridCol w:w="124"/>
        <w:gridCol w:w="124"/>
        <w:gridCol w:w="864"/>
        <w:gridCol w:w="114"/>
        <w:gridCol w:w="110"/>
        <w:gridCol w:w="110"/>
        <w:gridCol w:w="110"/>
        <w:gridCol w:w="110"/>
        <w:gridCol w:w="110"/>
        <w:gridCol w:w="1091"/>
        <w:gridCol w:w="110"/>
        <w:gridCol w:w="110"/>
        <w:gridCol w:w="110"/>
        <w:gridCol w:w="110"/>
        <w:gridCol w:w="112"/>
        <w:gridCol w:w="112"/>
        <w:gridCol w:w="553"/>
        <w:gridCol w:w="112"/>
        <w:gridCol w:w="109"/>
        <w:gridCol w:w="16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4002" w:type="dxa"/>
            <w:gridSpan w:val="8"/>
            <w:tcBorders>
              <w:bottom w:val="single" w:sz="2" w:space="0" w:color="FFFFFF"/>
            </w:tcBorders>
            <w:shd w:fill="666666" w:val="clear"/>
            <w:tcMar>
              <w:bottom w:w="28" w:type="dxa"/>
            </w:tcMar>
            <w:vAlign w:val="center"/>
          </w:tcPr>
          <w:p>
            <w:pPr>
              <w:pStyle w:val="TableContents"/>
              <w:bidi w:val="0"/>
              <w:spacing w:lineRule="atLeast" w:line="220" w:before="0" w:after="0"/>
              <w:jc w:val="left"/>
              <w:rPr>
                <w:spacing w:val="2"/>
              </w:rPr>
            </w:pPr>
            <w:r>
              <w:rPr>
                <w:spacing w:val="2"/>
              </w:rPr>
              <w:t xml:space="preserve">As of April 14, 2025 </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4196" w:type="dxa"/>
            <w:gridSpan w:val="18"/>
            <w:tcBorders>
              <w:bottom w:val="single" w:sz="2" w:space="0" w:color="FFFFFF"/>
            </w:tcBorders>
            <w:shd w:fill="666666" w:val="clear"/>
            <w:tcMar>
              <w:bottom w:w="28" w:type="dxa"/>
            </w:tcMar>
            <w:vAlign w:val="center"/>
          </w:tcPr>
          <w:p>
            <w:pPr>
              <w:pStyle w:val="TableContents"/>
              <w:bidi w:val="0"/>
              <w:spacing w:lineRule="atLeast" w:line="150" w:before="0" w:after="0"/>
              <w:jc w:val="center"/>
              <w:rPr/>
            </w:pPr>
            <w:r>
              <w:rPr>
                <w:spacing w:val="2"/>
              </w:rPr>
              <w:t>Amount and Nature of Beneficial Ownership</w:t>
            </w:r>
            <w:r>
              <w:rPr>
                <w:spacing w:val="2"/>
                <w:sz w:val="13"/>
              </w:rPr>
              <w:t>(1)</w:t>
            </w:r>
            <w:r>
              <w:rPr/>
              <w:t xml:space="preserve"> </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165" w:type="dxa"/>
            <w:tcBorders/>
            <w:shd w:fill="66666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274" w:type="dxa"/>
            <w:tcBorders/>
            <w:shd w:fill="702076"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Named Executive Officers and Directors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401"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Shares </w:t>
              <w:br/>
              <w:t xml:space="preserve">Owned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226" w:type="dxa"/>
            <w:gridSpan w:val="4"/>
            <w:tcBorders/>
            <w:shd w:fill="702076" w:val="clear"/>
            <w:vAlign w:val="center"/>
          </w:tcPr>
          <w:p>
            <w:pPr>
              <w:pStyle w:val="TableContents"/>
              <w:bidi w:val="0"/>
              <w:spacing w:before="0" w:after="0"/>
              <w:jc w:val="center"/>
              <w:rPr>
                <w:spacing w:val="2"/>
              </w:rPr>
            </w:pPr>
            <w:r>
              <w:rPr>
                <w:spacing w:val="2"/>
              </w:rPr>
              <w:t xml:space="preserve">Shares </w:t>
              <w:br/>
              <w:t xml:space="preserve">Acquirable </w:t>
              <w:br/>
              <w:t xml:space="preserve">within 60 days </w:t>
            </w:r>
          </w:p>
        </w:tc>
        <w:tc>
          <w:tcPr>
            <w:tcW w:w="110" w:type="dxa"/>
            <w:tcBorders/>
            <w:shd w:fill="702076"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w:t>
            </w:r>
          </w:p>
        </w:tc>
        <w:tc>
          <w:tcPr>
            <w:tcW w:w="110" w:type="dxa"/>
            <w:tcBorders/>
            <w:shd w:fill="702076" w:val="clear"/>
            <w:vAlign w:val="center"/>
          </w:tcPr>
          <w:p>
            <w:pPr>
              <w:pStyle w:val="TableContents"/>
              <w:bidi w:val="0"/>
              <w:spacing w:before="0" w:after="283"/>
              <w:jc w:val="left"/>
              <w:rPr/>
            </w:pPr>
            <w:r>
              <w:rPr/>
              <w:t>​</w:t>
            </w:r>
          </w:p>
        </w:tc>
        <w:tc>
          <w:tcPr>
            <w:tcW w:w="1421" w:type="dxa"/>
            <w:gridSpan w:val="4"/>
            <w:tcBorders/>
            <w:shd w:fill="702076" w:val="clear"/>
            <w:vAlign w:val="center"/>
          </w:tcPr>
          <w:p>
            <w:pPr>
              <w:pStyle w:val="TableContents"/>
              <w:bidi w:val="0"/>
              <w:spacing w:before="0" w:after="0"/>
              <w:jc w:val="center"/>
              <w:rPr>
                <w:spacing w:val="2"/>
              </w:rPr>
            </w:pPr>
            <w:r>
              <w:rPr>
                <w:spacing w:val="2"/>
              </w:rPr>
              <w:t xml:space="preserve">Total </w:t>
              <w:br/>
              <w:t xml:space="preserve">Beneficial </w:t>
              <w:br/>
              <w:t xml:space="preserve">Ownership </w:t>
            </w:r>
          </w:p>
        </w:tc>
        <w:tc>
          <w:tcPr>
            <w:tcW w:w="110" w:type="dxa"/>
            <w:tcBorders/>
            <w:shd w:fill="702076"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w:t>
            </w:r>
          </w:p>
        </w:tc>
        <w:tc>
          <w:tcPr>
            <w:tcW w:w="110" w:type="dxa"/>
            <w:tcBorders/>
            <w:shd w:fill="702076" w:val="clear"/>
            <w:vAlign w:val="center"/>
          </w:tcPr>
          <w:p>
            <w:pPr>
              <w:pStyle w:val="TableContents"/>
              <w:bidi w:val="0"/>
              <w:spacing w:before="0" w:after="283"/>
              <w:jc w:val="left"/>
              <w:rPr/>
            </w:pPr>
            <w:r>
              <w:rPr/>
              <w:t>​</w:t>
            </w:r>
          </w:p>
        </w:tc>
        <w:tc>
          <w:tcPr>
            <w:tcW w:w="889" w:type="dxa"/>
            <w:gridSpan w:val="4"/>
            <w:tcBorders/>
            <w:shd w:fill="702076" w:val="clear"/>
            <w:tcMar>
              <w:top w:w="28" w:type="dxa"/>
              <w:left w:w="28" w:type="dxa"/>
              <w:bottom w:w="28" w:type="dxa"/>
              <w:right w:w="28" w:type="dxa"/>
            </w:tcMar>
            <w:vAlign w:val="center"/>
          </w:tcPr>
          <w:p>
            <w:pPr>
              <w:pStyle w:val="TableContents"/>
              <w:bidi w:val="0"/>
              <w:spacing w:lineRule="atLeast" w:line="150" w:before="0" w:after="0"/>
              <w:jc w:val="center"/>
              <w:rPr/>
            </w:pPr>
            <w:r>
              <w:rPr>
                <w:spacing w:val="2"/>
              </w:rPr>
              <w:t xml:space="preserve">Percent of </w:t>
              <w:br/>
              <w:t>Class</w:t>
            </w:r>
            <w:r>
              <w:rPr>
                <w:spacing w:val="2"/>
                <w:sz w:val="13"/>
              </w:rPr>
              <w:t>(2)</w:t>
            </w:r>
            <w:r>
              <w:rPr/>
              <w:t xml:space="preserve"> </w:t>
            </w:r>
          </w:p>
        </w:tc>
        <w:tc>
          <w:tcPr>
            <w:tcW w:w="109" w:type="dxa"/>
            <w:tcBorders/>
            <w:shd w:fill="702076" w:val="clear"/>
            <w:vAlign w:val="center"/>
          </w:tcPr>
          <w:p>
            <w:pPr>
              <w:pStyle w:val="TableContents"/>
              <w:bidi w:val="0"/>
              <w:spacing w:before="0" w:after="283"/>
              <w:jc w:val="left"/>
              <w:rPr/>
            </w:pPr>
            <w:r>
              <w:rPr/>
              <w:t>​</w:t>
            </w:r>
          </w:p>
        </w:tc>
        <w:tc>
          <w:tcPr>
            <w:tcW w:w="165"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Francesco Bianchi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7,522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10,938</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Sharon O’Kane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9,494</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12,910</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William Kozy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28,308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4,840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33,148</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Stacy Enxing Seng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8,745</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12,161</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Todd Schermerhorn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6,057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9,473</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Peter Wilver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3,732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7,148</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Brooke Story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3,476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6,892</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J. Christopher Barry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1,356</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3,416</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4,772</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Susan Podlogar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4,284</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4,284</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26,680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26,680</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Mike Hutchinson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5,666</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5,666</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Trui Hebbelinck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17,791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tcMar>
              <w:bottom w:w="45"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2,967</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2,967</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45" w:type="dxa"/>
            </w:tcMar>
            <w:vAlign w:val="center"/>
          </w:tcPr>
          <w:p>
            <w:pPr>
              <w:pStyle w:val="TableContents"/>
              <w:bidi w:val="0"/>
              <w:spacing w:before="0" w:after="0"/>
              <w:jc w:val="left"/>
              <w:rPr/>
            </w:pPr>
            <w:r>
              <w:rPr>
                <w:spacing w:val="2"/>
              </w:rPr>
              <w:t>Stephanie Bolton</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tcMar>
              <w:bottom w:w="45" w:type="dxa"/>
            </w:tcMar>
            <w:vAlign w:val="center"/>
          </w:tcPr>
          <w:p>
            <w:pPr>
              <w:pStyle w:val="TableContents"/>
              <w:bidi w:val="0"/>
              <w:spacing w:before="0" w:after="283"/>
              <w:jc w:val="right"/>
              <w:rPr/>
            </w:pPr>
            <w:r>
              <w:rPr/>
              <w:t xml:space="preserve">12,751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tcMar>
              <w:bottom w:w="45" w:type="dxa"/>
            </w:tcMar>
            <w:vAlign w:val="center"/>
          </w:tcPr>
          <w:p>
            <w:pPr>
              <w:pStyle w:val="TableContents"/>
              <w:bidi w:val="0"/>
              <w:spacing w:before="0" w:after="283"/>
              <w:jc w:val="right"/>
              <w:rPr/>
            </w:pPr>
            <w:r>
              <w:rPr/>
              <w:t xml:space="preserve">12,751 </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73"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Franco Poletti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45" w:type="dxa"/>
            </w:tcMar>
            <w:vAlign w:val="center"/>
          </w:tcPr>
          <w:p>
            <w:pPr>
              <w:pStyle w:val="TableContents"/>
              <w:bidi w:val="0"/>
              <w:spacing w:before="0" w:after="283"/>
              <w:jc w:val="right"/>
              <w:rPr/>
            </w:pPr>
            <w:r>
              <w:rPr/>
              <w:t>8,152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45" w:type="dxa"/>
            </w:tcMar>
            <w:vAlign w:val="center"/>
          </w:tcPr>
          <w:p>
            <w:pPr>
              <w:pStyle w:val="TableContents"/>
              <w:bidi w:val="0"/>
              <w:spacing w:before="0" w:after="283"/>
              <w:jc w:val="right"/>
              <w:rPr/>
            </w:pPr>
            <w:r>
              <w:rPr/>
              <w:t>8,152</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 </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28" w:type="dxa"/>
            </w:tcMar>
            <w:vAlign w:val="center"/>
          </w:tcPr>
          <w:p>
            <w:pPr>
              <w:pStyle w:val="TableContents"/>
              <w:bidi w:val="0"/>
              <w:spacing w:before="0" w:after="0"/>
              <w:jc w:val="left"/>
              <w:rPr>
                <w:rFonts w:ascii="Arial;Tahoma;Geneva;sans-serif" w:hAnsi="Arial;Tahoma;Geneva;sans-serif"/>
                <w:b/>
                <w:i/>
              </w:rPr>
            </w:pPr>
            <w:r>
              <w:rPr>
                <w:rFonts w:ascii="Arial;Tahoma;Geneva;sans-serif" w:hAnsi="Arial;Tahoma;Geneva;sans-serif"/>
                <w:b/>
                <w:i/>
                <w:spacing w:val="-5"/>
              </w:rPr>
              <w:t>All current executive officers and directors as a group (15 persons)</w:t>
            </w:r>
            <w:r>
              <w:rPr>
                <w:rFonts w:ascii="Arial;Tahoma;Geneva;sans-serif" w:hAnsi="Arial;Tahoma;Geneva;sans-serif"/>
                <w:b/>
                <w:i/>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74" w:type="dxa"/>
            <w:tcBorders>
              <w:bottom w:val="single" w:sz="6" w:space="0" w:color="BFBFBF"/>
            </w:tcBorders>
            <w:tcMar>
              <w:bottom w:w="28" w:type="dxa"/>
            </w:tcMar>
            <w:vAlign w:val="center"/>
          </w:tcPr>
          <w:p>
            <w:pPr>
              <w:pStyle w:val="TableContents"/>
              <w:bidi w:val="0"/>
              <w:spacing w:before="0" w:after="283"/>
              <w:jc w:val="right"/>
              <w:rPr/>
            </w:pPr>
            <w:r>
              <w:rPr/>
              <w:t xml:space="preserve">126,223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right"/>
              <w:rPr/>
            </w:pPr>
            <w:r>
              <w:rPr/>
              <w:t>​</w:t>
            </w:r>
          </w:p>
        </w:tc>
        <w:tc>
          <w:tcPr>
            <w:tcW w:w="864" w:type="dxa"/>
            <w:tcBorders>
              <w:bottom w:val="single" w:sz="6" w:space="0" w:color="BFBFBF"/>
            </w:tcBorders>
            <w:tcMar>
              <w:bottom w:w="28" w:type="dxa"/>
            </w:tcMar>
            <w:vAlign w:val="center"/>
          </w:tcPr>
          <w:p>
            <w:pPr>
              <w:pStyle w:val="TableContents"/>
              <w:bidi w:val="0"/>
              <w:spacing w:before="0" w:after="283"/>
              <w:jc w:val="right"/>
              <w:rPr/>
            </w:pPr>
            <w:r>
              <w:rPr/>
              <w:t xml:space="preserve">31,719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right"/>
              <w:rPr/>
            </w:pPr>
            <w:r>
              <w:rPr/>
              <w:t>​</w:t>
            </w:r>
          </w:p>
        </w:tc>
        <w:tc>
          <w:tcPr>
            <w:tcW w:w="1091" w:type="dxa"/>
            <w:tcBorders>
              <w:bottom w:val="single" w:sz="6" w:space="0" w:color="BFBFBF"/>
            </w:tcBorders>
            <w:tcMar>
              <w:bottom w:w="28" w:type="dxa"/>
            </w:tcMar>
            <w:vAlign w:val="center"/>
          </w:tcPr>
          <w:p>
            <w:pPr>
              <w:pStyle w:val="TableContents"/>
              <w:bidi w:val="0"/>
              <w:spacing w:before="0" w:after="283"/>
              <w:jc w:val="right"/>
              <w:rPr/>
            </w:pPr>
            <w:r>
              <w:rPr/>
              <w:t xml:space="preserve">157,942 </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right"/>
              <w:rPr/>
            </w:pPr>
            <w:r>
              <w:rPr/>
              <w:t>​</w:t>
            </w:r>
          </w:p>
        </w:tc>
        <w:tc>
          <w:tcPr>
            <w:tcW w:w="553" w:type="dxa"/>
            <w:tcBorders>
              <w:bottom w:val="single" w:sz="6" w:space="0" w:color="BFBFBF"/>
            </w:tcBorders>
            <w:tcMar>
              <w:bottom w:w="28" w:type="dxa"/>
            </w:tcMar>
            <w:vAlign w:val="center"/>
          </w:tcPr>
          <w:p>
            <w:pPr>
              <w:pStyle w:val="TableContents"/>
              <w:bidi w:val="0"/>
              <w:spacing w:before="0" w:after="283"/>
              <w:jc w:val="righ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45" w:type="dxa"/>
            </w:tcMar>
            <w:vAlign w:val="center"/>
          </w:tcPr>
          <w:p>
            <w:pPr>
              <w:pStyle w:val="TableContents"/>
              <w:bidi w:val="0"/>
              <w:spacing w:before="0" w:after="0"/>
              <w:jc w:val="left"/>
              <w:rPr/>
            </w:pPr>
            <w:r>
              <w:rPr>
                <w:spacing w:val="2"/>
              </w:rPr>
              <w:t>5% Holders:</w:t>
            </w:r>
            <w:r>
              <w:rPr/>
              <w:t xml:space="preserve">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28" w:type="dxa"/>
            </w:tcMar>
            <w:vAlign w:val="center"/>
          </w:tcPr>
          <w:p>
            <w:pPr>
              <w:pStyle w:val="TableContents"/>
              <w:bidi w:val="0"/>
              <w:spacing w:before="0" w:after="0"/>
              <w:jc w:val="left"/>
              <w:rPr/>
            </w:pPr>
            <w:r>
              <w:rPr>
                <w:spacing w:val="2"/>
              </w:rPr>
              <w:t>BlackRock, Inc.</w:t>
            </w:r>
            <w:r>
              <w:rPr>
                <w:spacing w:val="2"/>
                <w:szCs w:val="13"/>
              </w:rPr>
              <w:t>﻿</w:t>
            </w:r>
            <w:r>
              <w:rPr>
                <w:spacing w:val="2"/>
                <w:sz w:val="13"/>
              </w:rPr>
              <w:t>(3)</w:t>
            </w:r>
            <w:r>
              <w:rPr>
                <w:spacing w:val="2"/>
              </w:rPr>
              <w:t xml:space="preserve"> </w:t>
              <w:br/>
              <w:t xml:space="preserve">50 Hudson Yards </w:t>
              <w:br/>
              <w:t>New York, NY 10001</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74" w:type="dxa"/>
            <w:tcBorders>
              <w:bottom w:val="single" w:sz="6" w:space="0" w:color="BFBFBF"/>
            </w:tcBorders>
            <w:tcMar>
              <w:bottom w:w="28" w:type="dxa"/>
            </w:tcMar>
            <w:vAlign w:val="center"/>
          </w:tcPr>
          <w:p>
            <w:pPr>
              <w:pStyle w:val="TableContents"/>
              <w:bidi w:val="0"/>
              <w:spacing w:before="0" w:after="283"/>
              <w:jc w:val="right"/>
              <w:rPr/>
            </w:pPr>
            <w:r>
              <w:rPr/>
              <w:t xml:space="preserve">7,415,557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right"/>
              <w:rPr/>
            </w:pPr>
            <w:r>
              <w:rPr/>
              <w:t>​</w:t>
            </w:r>
          </w:p>
        </w:tc>
        <w:tc>
          <w:tcPr>
            <w:tcW w:w="864" w:type="dxa"/>
            <w:tcBorders>
              <w:bottom w:val="single" w:sz="6" w:space="0" w:color="BFBFBF"/>
            </w:tcBorders>
            <w:tcMar>
              <w:bottom w:w="28" w:type="dxa"/>
            </w:tcMar>
            <w:vAlign w:val="center"/>
          </w:tcPr>
          <w:p>
            <w:pPr>
              <w:pStyle w:val="TableContents"/>
              <w:bidi w:val="0"/>
              <w:spacing w:before="0" w:after="283"/>
              <w:jc w:val="righ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right"/>
              <w:rPr/>
            </w:pPr>
            <w:r>
              <w:rPr/>
              <w:t>​</w:t>
            </w:r>
          </w:p>
        </w:tc>
        <w:tc>
          <w:tcPr>
            <w:tcW w:w="1091" w:type="dxa"/>
            <w:tcBorders>
              <w:bottom w:val="single" w:sz="6" w:space="0" w:color="BFBFBF"/>
            </w:tcBorders>
            <w:tcMar>
              <w:bottom w:w="28" w:type="dxa"/>
            </w:tcMar>
            <w:vAlign w:val="center"/>
          </w:tcPr>
          <w:p>
            <w:pPr>
              <w:pStyle w:val="TableContents"/>
              <w:bidi w:val="0"/>
              <w:spacing w:before="0" w:after="283"/>
              <w:jc w:val="right"/>
              <w:rPr/>
            </w:pPr>
            <w:r>
              <w:rPr/>
              <w:t xml:space="preserve">7,415,557 </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right"/>
              <w:rPr/>
            </w:pPr>
            <w:r>
              <w:rPr/>
              <w:t>​</w:t>
            </w:r>
          </w:p>
        </w:tc>
        <w:tc>
          <w:tcPr>
            <w:tcW w:w="553" w:type="dxa"/>
            <w:tcBorders>
              <w:bottom w:val="single" w:sz="6" w:space="0" w:color="BFBFBF"/>
            </w:tcBorders>
            <w:tcMar>
              <w:bottom w:w="28" w:type="dxa"/>
            </w:tcMar>
            <w:vAlign w:val="center"/>
          </w:tcPr>
          <w:p>
            <w:pPr>
              <w:pStyle w:val="TableContents"/>
              <w:bidi w:val="0"/>
              <w:spacing w:before="0" w:after="283"/>
              <w:jc w:val="right"/>
              <w:rPr/>
            </w:pPr>
            <w:r>
              <w:rPr/>
              <w:t xml:space="preserve">13.6 </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shd w:fill="CCCCCC" w:val="clear"/>
            <w:tcMar>
              <w:bottom w:w="28" w:type="dxa"/>
            </w:tcMar>
            <w:vAlign w:val="center"/>
          </w:tcPr>
          <w:p>
            <w:pPr>
              <w:pStyle w:val="TableContents"/>
              <w:bidi w:val="0"/>
              <w:spacing w:before="0" w:after="0"/>
              <w:jc w:val="left"/>
              <w:rPr/>
            </w:pPr>
            <w:r>
              <w:rPr>
                <w:spacing w:val="2"/>
              </w:rPr>
              <w:t>PRIMECAP Management Company</w:t>
            </w:r>
            <w:r>
              <w:rPr>
                <w:spacing w:val="2"/>
                <w:szCs w:val="13"/>
              </w:rPr>
              <w:t>﻿</w:t>
            </w:r>
            <w:r>
              <w:rPr>
                <w:spacing w:val="2"/>
                <w:sz w:val="13"/>
              </w:rPr>
              <w:t>(4)</w:t>
            </w:r>
            <w:r>
              <w:rPr/>
              <w:t xml:space="preserve"> </w:t>
              <w:br/>
            </w:r>
            <w:r>
              <w:rPr>
                <w:spacing w:val="2"/>
              </w:rPr>
              <w:t xml:space="preserve">177 E. Colorado Blvd., 11th Floor </w:t>
              <w:br/>
              <w:t xml:space="preserve">Pasadena, CA 91105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74" w:type="dxa"/>
            <w:tcBorders>
              <w:bottom w:val="single" w:sz="6" w:space="0" w:color="BFBFBF"/>
            </w:tcBorders>
            <w:shd w:fill="CCCCCC" w:val="clear"/>
            <w:tcMar>
              <w:bottom w:w="28" w:type="dxa"/>
            </w:tcMar>
            <w:vAlign w:val="center"/>
          </w:tcPr>
          <w:p>
            <w:pPr>
              <w:pStyle w:val="TableContents"/>
              <w:bidi w:val="0"/>
              <w:spacing w:before="0" w:after="283"/>
              <w:jc w:val="right"/>
              <w:rPr/>
            </w:pPr>
            <w:r>
              <w:rPr/>
              <w:t>4,754,060</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86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1" w:type="dxa"/>
            <w:tcBorders>
              <w:bottom w:val="single" w:sz="6" w:space="0" w:color="BFBFBF"/>
            </w:tcBorders>
            <w:shd w:fill="CCCCCC" w:val="clear"/>
            <w:tcMar>
              <w:bottom w:w="28" w:type="dxa"/>
            </w:tcMar>
            <w:vAlign w:val="center"/>
          </w:tcPr>
          <w:p>
            <w:pPr>
              <w:pStyle w:val="TableContents"/>
              <w:bidi w:val="0"/>
              <w:spacing w:before="0" w:after="283"/>
              <w:jc w:val="right"/>
              <w:rPr/>
            </w:pPr>
            <w:r>
              <w:rPr/>
              <w:t>4,754,060</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553" w:type="dxa"/>
            <w:tcBorders>
              <w:bottom w:val="single" w:sz="6" w:space="0" w:color="BFBFBF"/>
            </w:tcBorders>
            <w:shd w:fill="CCCCCC" w:val="clear"/>
            <w:tcMar>
              <w:bottom w:w="28" w:type="dxa"/>
            </w:tcMar>
            <w:vAlign w:val="center"/>
          </w:tcPr>
          <w:p>
            <w:pPr>
              <w:pStyle w:val="TableContents"/>
              <w:bidi w:val="0"/>
              <w:spacing w:before="0" w:after="283"/>
              <w:jc w:val="right"/>
              <w:rPr/>
            </w:pPr>
            <w:r>
              <w:rPr/>
              <w:t xml:space="preserve">8.7 </w:t>
            </w:r>
          </w:p>
        </w:tc>
        <w:tc>
          <w:tcPr>
            <w:tcW w:w="11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4" w:type="dxa"/>
            <w:tcBorders>
              <w:bottom w:val="single" w:sz="6" w:space="0" w:color="BFBFBF"/>
            </w:tcBorders>
            <w:tcMar>
              <w:bottom w:w="28" w:type="dxa"/>
            </w:tcMar>
            <w:vAlign w:val="center"/>
          </w:tcPr>
          <w:p>
            <w:pPr>
              <w:pStyle w:val="TableContents"/>
              <w:bidi w:val="0"/>
              <w:spacing w:before="0" w:after="0"/>
              <w:jc w:val="left"/>
              <w:rPr/>
            </w:pPr>
            <w:r>
              <w:rPr>
                <w:spacing w:val="2"/>
              </w:rPr>
              <w:t>Integrated Core Strategies (US) LLC</w:t>
            </w:r>
            <w:r>
              <w:rPr>
                <w:spacing w:val="2"/>
                <w:szCs w:val="13"/>
              </w:rPr>
              <w:t>﻿</w:t>
            </w:r>
            <w:r>
              <w:rPr>
                <w:spacing w:val="2"/>
                <w:sz w:val="13"/>
              </w:rPr>
              <w:t>(5)</w:t>
            </w:r>
            <w:r>
              <w:rPr/>
              <w:t xml:space="preserve"> </w:t>
              <w:br/>
            </w:r>
            <w:r>
              <w:rPr>
                <w:spacing w:val="2"/>
              </w:rPr>
              <w:t xml:space="preserve">c/o Millennium Management LLC </w:t>
              <w:br/>
              <w:t xml:space="preserve">399 Park Avenue </w:t>
              <w:br/>
              <w:t>New York, NY 10022</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74" w:type="dxa"/>
            <w:tcBorders>
              <w:bottom w:val="single" w:sz="6" w:space="0" w:color="BFBFBF"/>
            </w:tcBorders>
            <w:tcMar>
              <w:bottom w:w="28" w:type="dxa"/>
            </w:tcMar>
            <w:vAlign w:val="center"/>
          </w:tcPr>
          <w:p>
            <w:pPr>
              <w:pStyle w:val="TableContents"/>
              <w:bidi w:val="0"/>
              <w:spacing w:before="0" w:after="283"/>
              <w:jc w:val="right"/>
              <w:rPr/>
            </w:pPr>
            <w:r>
              <w:rPr/>
              <w:t xml:space="preserve">2,733,440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24" w:type="dxa"/>
            <w:tcBorders>
              <w:bottom w:val="single" w:sz="6" w:space="0" w:color="BFBFBF"/>
            </w:tcBorders>
            <w:tcMar>
              <w:bottom w:w="28" w:type="dxa"/>
            </w:tcMar>
            <w:vAlign w:val="center"/>
          </w:tcPr>
          <w:p>
            <w:pPr>
              <w:pStyle w:val="TableContents"/>
              <w:bidi w:val="0"/>
              <w:spacing w:before="0" w:after="283"/>
              <w:jc w:val="right"/>
              <w:rPr/>
            </w:pPr>
            <w:r>
              <w:rPr/>
              <w:t>​</w:t>
            </w:r>
          </w:p>
        </w:tc>
        <w:tc>
          <w:tcPr>
            <w:tcW w:w="864" w:type="dxa"/>
            <w:tcBorders>
              <w:bottom w:val="single" w:sz="6" w:space="0" w:color="BFBFBF"/>
            </w:tcBorders>
            <w:tcMar>
              <w:bottom w:w="28" w:type="dxa"/>
            </w:tcMar>
            <w:vAlign w:val="center"/>
          </w:tcPr>
          <w:p>
            <w:pPr>
              <w:pStyle w:val="TableContents"/>
              <w:bidi w:val="0"/>
              <w:spacing w:before="0" w:after="283"/>
              <w:jc w:val="righ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right"/>
              <w:rPr/>
            </w:pPr>
            <w:r>
              <w:rPr/>
              <w:t>​</w:t>
            </w:r>
          </w:p>
        </w:tc>
        <w:tc>
          <w:tcPr>
            <w:tcW w:w="1091" w:type="dxa"/>
            <w:tcBorders>
              <w:bottom w:val="single" w:sz="6" w:space="0" w:color="BFBFBF"/>
            </w:tcBorders>
            <w:tcMar>
              <w:bottom w:w="28" w:type="dxa"/>
            </w:tcMar>
            <w:vAlign w:val="center"/>
          </w:tcPr>
          <w:p>
            <w:pPr>
              <w:pStyle w:val="TableContents"/>
              <w:bidi w:val="0"/>
              <w:spacing w:before="0" w:after="283"/>
              <w:jc w:val="right"/>
              <w:rPr/>
            </w:pPr>
            <w:r>
              <w:rPr/>
              <w:t>2,733,440</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10"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12" w:type="dxa"/>
            <w:tcBorders>
              <w:bottom w:val="single" w:sz="6" w:space="0" w:color="BFBFBF"/>
            </w:tcBorders>
            <w:tcMar>
              <w:bottom w:w="28" w:type="dxa"/>
            </w:tcMar>
            <w:vAlign w:val="center"/>
          </w:tcPr>
          <w:p>
            <w:pPr>
              <w:pStyle w:val="TableContents"/>
              <w:bidi w:val="0"/>
              <w:spacing w:before="0" w:after="283"/>
              <w:jc w:val="right"/>
              <w:rPr/>
            </w:pPr>
            <w:r>
              <w:rPr/>
              <w:t>​</w:t>
            </w:r>
          </w:p>
        </w:tc>
        <w:tc>
          <w:tcPr>
            <w:tcW w:w="553" w:type="dxa"/>
            <w:tcBorders>
              <w:bottom w:val="single" w:sz="6" w:space="0" w:color="BFBFBF"/>
            </w:tcBorders>
            <w:tcMar>
              <w:bottom w:w="28" w:type="dxa"/>
            </w:tcMar>
            <w:vAlign w:val="center"/>
          </w:tcPr>
          <w:p>
            <w:pPr>
              <w:pStyle w:val="TableContents"/>
              <w:bidi w:val="0"/>
              <w:spacing w:before="0" w:after="283"/>
              <w:jc w:val="right"/>
              <w:rPr/>
            </w:pPr>
            <w:r>
              <w:rPr/>
              <w:t>5.0</w:t>
            </w:r>
          </w:p>
        </w:tc>
        <w:tc>
          <w:tcPr>
            <w:tcW w:w="11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bl>
    <w:tbl>
      <w:tblPr>
        <w:tblW w:w="3213" w:type="dxa"/>
        <w:jc w:val="left"/>
        <w:tblInd w:w="1173" w:type="dxa"/>
        <w:tblLayout w:type="fixed"/>
        <w:tblCellMar>
          <w:top w:w="0" w:type="dxa"/>
          <w:left w:w="0" w:type="dxa"/>
          <w:bottom w:w="0" w:type="dxa"/>
          <w:right w:w="0" w:type="dxa"/>
        </w:tblCellMar>
      </w:tblPr>
      <w:tblGrid>
        <w:gridCol w:w="124"/>
        <w:gridCol w:w="567"/>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567"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98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1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20" descr=""/>
                          <pic:cNvPicPr>
                            <a:picLocks noChangeAspect="1" noChangeArrowheads="1"/>
                          </pic:cNvPicPr>
                        </pic:nvPicPr>
                        <pic:blipFill>
                          <a:blip r:embed="rId22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1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21" descr=""/>
                    <pic:cNvPicPr>
                      <a:picLocks noChangeAspect="1" noChangeArrowheads="1"/>
                    </pic:cNvPicPr>
                  </pic:nvPicPr>
                  <pic:blipFill>
                    <a:blip r:embed="rId22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8" w:space="0" w:color="BFBFBF"/>
            </w:tcBorders>
            <w:shd w:fill="D8D8D8" w:val="clear"/>
            <w:tcMar>
              <w:bottom w:w="92" w:type="dxa"/>
            </w:tcMar>
            <w:vAlign w:val="center"/>
          </w:tcPr>
          <w:p>
            <w:pPr>
              <w:pStyle w:val="TableContents"/>
              <w:bidi w:val="0"/>
              <w:spacing w:lineRule="atLeast" w:line="160" w:before="0" w:after="0"/>
              <w:ind w:left="320" w:right="0" w:hanging="0"/>
              <w:jc w:val="left"/>
              <w:rPr>
                <w:spacing w:val="2"/>
              </w:rPr>
            </w:pPr>
            <w:r>
              <w:rPr>
                <w:spacing w:val="2"/>
              </w:rPr>
              <w:t xml:space="preserve">Less than 1% </w:t>
            </w:r>
            <w:r>
              <mc:AlternateContent>
                <mc:Choice Requires="wps">
                  <w:drawing>
                    <wp:anchor behindDoc="0" distT="0" distB="0" distL="0" distR="0" simplePos="0" locked="0" layoutInCell="1" allowOverlap="1" relativeHeight="749">
                      <wp:simplePos x="0" y="0"/>
                      <wp:positionH relativeFrom="column">
                        <wp:align>left</wp:align>
                      </wp:positionH>
                      <wp:positionV relativeFrom="line">
                        <wp:posOffset>635</wp:posOffset>
                      </wp:positionV>
                      <wp:extent cx="203200" cy="350520"/>
                      <wp:effectExtent l="0" t="0" r="0" b="0"/>
                      <wp:wrapSquare wrapText="right"/>
                      <wp:docPr id="618" name="Frame39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14, 2025,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 </w:t>
            </w:r>
            <w:r>
              <mc:AlternateContent>
                <mc:Choice Requires="wps">
                  <w:drawing>
                    <wp:anchor behindDoc="0" distT="20320" distB="0" distL="228600" distR="0" simplePos="0" locked="0" layoutInCell="1" allowOverlap="1" relativeHeight="750">
                      <wp:simplePos x="0" y="0"/>
                      <wp:positionH relativeFrom="column">
                        <wp:align>left</wp:align>
                      </wp:positionH>
                      <wp:positionV relativeFrom="line">
                        <wp:align>top</wp:align>
                      </wp:positionV>
                      <wp:extent cx="203200" cy="525780"/>
                      <wp:effectExtent l="0" t="0" r="0" b="0"/>
                      <wp:wrapSquare wrapText="right"/>
                      <wp:docPr id="619" name="Frame39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680" w:right="0" w:hanging="0"/>
              <w:jc w:val="left"/>
              <w:rPr/>
            </w:pPr>
            <w:r>
              <w:rPr>
                <w:spacing w:val="2"/>
              </w:rPr>
              <w:t>Based on total shares outstanding of 54,524,159 as of April 14, 2025.</w:t>
            </w:r>
            <w:r>
              <w:rPr/>
              <w:t xml:space="preserve"> </w:t>
            </w:r>
            <w:r>
              <mc:AlternateContent>
                <mc:Choice Requires="wps">
                  <w:drawing>
                    <wp:anchor behindDoc="0" distT="20320" distB="0" distL="228600" distR="0" simplePos="0" locked="0" layoutInCell="1" allowOverlap="1" relativeHeight="751">
                      <wp:simplePos x="0" y="0"/>
                      <wp:positionH relativeFrom="column">
                        <wp:align>left</wp:align>
                      </wp:positionH>
                      <wp:positionV relativeFrom="line">
                        <wp:align>top</wp:align>
                      </wp:positionV>
                      <wp:extent cx="203200" cy="525780"/>
                      <wp:effectExtent l="0" t="0" r="0" b="0"/>
                      <wp:wrapSquare wrapText="right"/>
                      <wp:docPr id="620" name="Frame39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The shares set forth in the table reflect the number of shares beneficially owned as of December 31, 2023, based on a Schedule 13G/A filed on January 23, 2024, by BlackRock, Inc. In such Schedule 13G/A, BlackRock, Inc. reported having sole voting power over 7,248,857 shares and sole dispositive power over 7,415,557 shares. </w:t>
            </w:r>
            <w:r>
              <mc:AlternateContent>
                <mc:Choice Requires="wps">
                  <w:drawing>
                    <wp:anchor behindDoc="0" distT="20320" distB="0" distL="228600" distR="0" simplePos="0" locked="0" layoutInCell="1" allowOverlap="1" relativeHeight="752">
                      <wp:simplePos x="0" y="0"/>
                      <wp:positionH relativeFrom="column">
                        <wp:align>left</wp:align>
                      </wp:positionH>
                      <wp:positionV relativeFrom="line">
                        <wp:align>top</wp:align>
                      </wp:positionV>
                      <wp:extent cx="203200" cy="525780"/>
                      <wp:effectExtent l="0" t="0" r="0" b="0"/>
                      <wp:wrapSquare wrapText="right"/>
                      <wp:docPr id="621" name="Frame40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52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The shares set forth in the table reflect the number of shares beneficially owned as of December 31, 2024, based on Schedule 13G/A filed on February 13, 2025, by PRIMECAP Management Company. In such Schedule 13G/A, PRIMECAP Management Company reported having sole voting power over 4,517,200 shares and sole dispositive power over 4,754,060 shares. </w:t>
            </w:r>
            <w:r>
              <mc:AlternateContent>
                <mc:Choice Requires="wps">
                  <w:drawing>
                    <wp:anchor behindDoc="0" distT="20320" distB="0" distL="228600" distR="0" simplePos="0" locked="0" layoutInCell="1" allowOverlap="1" relativeHeight="753">
                      <wp:simplePos x="0" y="0"/>
                      <wp:positionH relativeFrom="column">
                        <wp:align>left</wp:align>
                      </wp:positionH>
                      <wp:positionV relativeFrom="line">
                        <wp:align>top</wp:align>
                      </wp:positionV>
                      <wp:extent cx="203200" cy="525780"/>
                      <wp:effectExtent l="0" t="0" r="0" b="0"/>
                      <wp:wrapSquare wrapText="right"/>
                      <wp:docPr id="622" name="Frame40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pPr>
            <w:r>
              <w:rPr>
                <w:spacing w:val="2"/>
              </w:rPr>
              <w:t>The shares set forth in the table reflect the number of shares beneficially owned as of April 9, 2024, based on Schedule 13G filed on April 17, 2024, by Integrated Core Strategies (US) LLC. In such Schedule 13G, Integrated Core Strategies (US) LLC reported having shared voting and dispositive power over 2,733,440 shares.</w:t>
            </w:r>
            <w:r>
              <w:rPr/>
              <w:t xml:space="preserve"> </w:t>
            </w:r>
            <w:r>
              <mc:AlternateContent>
                <mc:Choice Requires="wps">
                  <w:drawing>
                    <wp:anchor behindDoc="0" distT="20320" distB="0" distL="228600" distR="0" simplePos="0" locked="0" layoutInCell="1" allowOverlap="1" relativeHeight="754">
                      <wp:simplePos x="0" y="0"/>
                      <wp:positionH relativeFrom="column">
                        <wp:align>left</wp:align>
                      </wp:positionH>
                      <wp:positionV relativeFrom="line">
                        <wp:align>top</wp:align>
                      </wp:positionV>
                      <wp:extent cx="203200" cy="525780"/>
                      <wp:effectExtent l="0" t="0" r="0" b="0"/>
                      <wp:wrapSquare wrapText="right"/>
                      <wp:docPr id="623" name="Frame40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53"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Equity Compensation Plan Information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presents information as of December 31, 2024, regarding equity compensation plans applicable to LivaNova’s employees.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492"/>
        <w:gridCol w:w="109"/>
        <w:gridCol w:w="109"/>
        <w:gridCol w:w="109"/>
        <w:gridCol w:w="121"/>
        <w:gridCol w:w="121"/>
        <w:gridCol w:w="1189"/>
        <w:gridCol w:w="121"/>
        <w:gridCol w:w="109"/>
        <w:gridCol w:w="109"/>
        <w:gridCol w:w="109"/>
        <w:gridCol w:w="214"/>
        <w:gridCol w:w="214"/>
        <w:gridCol w:w="1277"/>
        <w:gridCol w:w="217"/>
        <w:gridCol w:w="109"/>
        <w:gridCol w:w="109"/>
        <w:gridCol w:w="109"/>
        <w:gridCol w:w="123"/>
        <w:gridCol w:w="123"/>
        <w:gridCol w:w="1212"/>
        <w:gridCol w:w="124"/>
        <w:gridCol w:w="109"/>
        <w:gridCol w:w="161"/>
      </w:tblGrid>
      <w:tr>
        <w:trPr/>
        <w:tc>
          <w:tcPr>
            <w:tcW w:w="124" w:type="dxa"/>
            <w:tcBorders/>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2492" w:type="dxa"/>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Plan Category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52" w:type="dxa"/>
            <w:gridSpan w:val="4"/>
            <w:tcBorders/>
            <w:shd w:fill="702076" w:val="clear"/>
            <w:vAlign w:val="center"/>
          </w:tcPr>
          <w:p>
            <w:pPr>
              <w:pStyle w:val="TableContents"/>
              <w:bidi w:val="0"/>
              <w:spacing w:before="0" w:after="0"/>
              <w:jc w:val="center"/>
              <w:rPr>
                <w:spacing w:val="2"/>
              </w:rPr>
            </w:pPr>
            <w:r>
              <w:rPr>
                <w:spacing w:val="2"/>
              </w:rPr>
              <w:t xml:space="preserve">Number of securities </w:t>
              <w:br/>
              <w:t xml:space="preserve">to be issued </w:t>
              <w:br/>
              <w:t xml:space="preserve">upon exercise of </w:t>
              <w:br/>
              <w:t xml:space="preserve">outstanding options, </w:t>
              <w:br/>
              <w:t xml:space="preserve">warrants and rights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922" w:type="dxa"/>
            <w:gridSpan w:val="4"/>
            <w:tcBorders/>
            <w:shd w:fill="702076"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Weighted-average </w:t>
              <w:br/>
              <w:t xml:space="preserve">exercise price of </w:t>
              <w:br/>
              <w:t xml:space="preserve">outstanding, options, </w:t>
              <w:br/>
              <w:t xml:space="preserve">warrants and rights </w:t>
              <w:br/>
              <w:t xml:space="preserve">($) </w:t>
            </w:r>
          </w:p>
        </w:tc>
        <w:tc>
          <w:tcPr>
            <w:tcW w:w="109" w:type="dxa"/>
            <w:tcBorders/>
            <w:shd w:fill="702076"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702076" w:val="clear"/>
            <w:vAlign w:val="center"/>
          </w:tcPr>
          <w:p>
            <w:pPr>
              <w:pStyle w:val="TableContents"/>
              <w:bidi w:val="0"/>
              <w:spacing w:before="0" w:after="283"/>
              <w:jc w:val="left"/>
              <w:rPr/>
            </w:pPr>
            <w:r>
              <w:rPr/>
              <w:t>​</w:t>
            </w:r>
          </w:p>
        </w:tc>
        <w:tc>
          <w:tcPr>
            <w:tcW w:w="1582" w:type="dxa"/>
            <w:gridSpan w:val="4"/>
            <w:tcBorders/>
            <w:shd w:fill="702076" w:val="clear"/>
            <w:vAlign w:val="center"/>
          </w:tcPr>
          <w:p>
            <w:pPr>
              <w:pStyle w:val="TableContents"/>
              <w:bidi w:val="0"/>
              <w:spacing w:before="0" w:after="0"/>
              <w:jc w:val="center"/>
              <w:rPr>
                <w:spacing w:val="2"/>
              </w:rPr>
            </w:pPr>
            <w:r>
              <w:rPr>
                <w:spacing w:val="2"/>
              </w:rPr>
              <w:t xml:space="preserve">Number of securities </w:t>
              <w:br/>
              <w:t xml:space="preserve">remaining available </w:t>
              <w:br/>
              <w:t xml:space="preserve">for future issuance </w:t>
              <w:br/>
              <w:t xml:space="preserve">under equity </w:t>
              <w:br/>
              <w:t xml:space="preserve">compensation plans </w:t>
              <w:br/>
              <w:t xml:space="preserve">(#) </w:t>
            </w:r>
          </w:p>
        </w:tc>
        <w:tc>
          <w:tcPr>
            <w:tcW w:w="109" w:type="dxa"/>
            <w:tcBorders/>
            <w:shd w:fill="702076" w:val="clear"/>
            <w:vAlign w:val="center"/>
          </w:tcPr>
          <w:p>
            <w:pPr>
              <w:pStyle w:val="TableContents"/>
              <w:bidi w:val="0"/>
              <w:spacing w:before="0" w:after="283"/>
              <w:jc w:val="left"/>
              <w:rPr/>
            </w:pPr>
            <w:r>
              <w:rPr/>
              <w:t>​</w:t>
            </w:r>
          </w:p>
        </w:tc>
        <w:tc>
          <w:tcPr>
            <w:tcW w:w="161" w:type="dxa"/>
            <w:tcBorders/>
            <w:shd w:fill="70207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92" w:type="dxa"/>
            <w:tcBorders>
              <w:bottom w:val="single" w:sz="6" w:space="0" w:color="BFBFBF"/>
            </w:tcBorders>
            <w:tcMar>
              <w:bottom w:w="32" w:type="dxa"/>
            </w:tcMar>
            <w:vAlign w:val="center"/>
          </w:tcPr>
          <w:p>
            <w:pPr>
              <w:pStyle w:val="TableContents"/>
              <w:bidi w:val="0"/>
              <w:spacing w:before="0" w:after="0"/>
              <w:jc w:val="left"/>
              <w:rPr>
                <w:spacing w:val="2"/>
              </w:rPr>
            </w:pPr>
            <w:r>
              <w:rPr>
                <w:spacing w:val="2"/>
              </w:rPr>
              <w:t xml:space="preserve">Equity compensation plans approved </w:t>
              <w:br/>
              <w:t xml:space="preserve">by security holders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tcMar>
              <w:bottom w:w="28" w:type="dxa"/>
            </w:tcMar>
            <w:vAlign w:val="center"/>
          </w:tcPr>
          <w:p>
            <w:pPr>
              <w:pStyle w:val="TableContents"/>
              <w:bidi w:val="0"/>
              <w:spacing w:before="0" w:after="283"/>
              <w:jc w:val="right"/>
              <w:rPr/>
            </w:pPr>
            <w:r>
              <w:rPr/>
              <w:t>​</w:t>
            </w:r>
          </w:p>
        </w:tc>
        <w:tc>
          <w:tcPr>
            <w:tcW w:w="1189" w:type="dxa"/>
            <w:tcBorders>
              <w:bottom w:val="single" w:sz="6" w:space="0" w:color="BFBFBF"/>
            </w:tcBorders>
            <w:tcMar>
              <w:bottom w:w="28" w:type="dxa"/>
            </w:tcMar>
            <w:vAlign w:val="center"/>
          </w:tcPr>
          <w:p>
            <w:pPr>
              <w:pStyle w:val="TableContents"/>
              <w:bidi w:val="0"/>
              <w:spacing w:before="0" w:after="283"/>
              <w:jc w:val="right"/>
              <w:rPr/>
            </w:pPr>
            <w:r>
              <w:rPr/>
              <w:t>​</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tcMar>
              <w:bottom w:w="28" w:type="dxa"/>
            </w:tcMar>
            <w:vAlign w:val="center"/>
          </w:tcPr>
          <w:p>
            <w:pPr>
              <w:pStyle w:val="TableContents"/>
              <w:bidi w:val="0"/>
              <w:spacing w:before="0" w:after="283"/>
              <w:jc w:val="right"/>
              <w:rPr/>
            </w:pPr>
            <w:r>
              <w:rPr/>
              <w:t>​</w:t>
            </w:r>
          </w:p>
        </w:tc>
        <w:tc>
          <w:tcPr>
            <w:tcW w:w="1277" w:type="dxa"/>
            <w:tcBorders>
              <w:bottom w:val="single" w:sz="6" w:space="0" w:color="BFBFBF"/>
            </w:tcBorders>
            <w:tcMar>
              <w:bottom w:w="28" w:type="dxa"/>
            </w:tcMar>
            <w:vAlign w:val="center"/>
          </w:tcPr>
          <w:p>
            <w:pPr>
              <w:pStyle w:val="TableContents"/>
              <w:bidi w:val="0"/>
              <w:spacing w:before="0" w:after="283"/>
              <w:jc w:val="right"/>
              <w:rPr/>
            </w:pPr>
            <w:r>
              <w:rPr/>
              <w:t>​</w:t>
            </w:r>
          </w:p>
        </w:tc>
        <w:tc>
          <w:tcPr>
            <w:tcW w:w="2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tcMar>
              <w:bottom w:w="28" w:type="dxa"/>
            </w:tcMar>
            <w:vAlign w:val="center"/>
          </w:tcPr>
          <w:p>
            <w:pPr>
              <w:pStyle w:val="TableContents"/>
              <w:bidi w:val="0"/>
              <w:spacing w:before="0" w:after="283"/>
              <w:jc w:val="right"/>
              <w:rPr/>
            </w:pPr>
            <w:r>
              <w:rPr/>
              <w:t>​</w:t>
            </w:r>
          </w:p>
        </w:tc>
        <w:tc>
          <w:tcPr>
            <w:tcW w:w="1212" w:type="dxa"/>
            <w:tcBorders>
              <w:bottom w:val="single" w:sz="6" w:space="0" w:color="BFBFBF"/>
            </w:tcBorders>
            <w:tcMar>
              <w:bottom w:w="28" w:type="dxa"/>
            </w:tcMar>
            <w:vAlign w:val="center"/>
          </w:tcPr>
          <w:p>
            <w:pPr>
              <w:pStyle w:val="TableContents"/>
              <w:bidi w:val="0"/>
              <w:spacing w:before="0" w:after="283"/>
              <w:jc w:val="right"/>
              <w:rPr/>
            </w:pPr>
            <w:r>
              <w:rPr/>
              <w:t>​</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492" w:type="dxa"/>
            <w:tcBorders>
              <w:bottom w:val="single" w:sz="6" w:space="0" w:color="BFBFBF"/>
            </w:tcBorders>
            <w:shd w:fill="CCCCCC" w:val="clear"/>
            <w:tcMar>
              <w:bottom w:w="32" w:type="dxa"/>
            </w:tcMar>
            <w:vAlign w:val="center"/>
          </w:tcPr>
          <w:p>
            <w:pPr>
              <w:pStyle w:val="TableContents"/>
              <w:bidi w:val="0"/>
              <w:spacing w:before="0" w:after="0"/>
              <w:jc w:val="left"/>
              <w:rPr/>
            </w:pPr>
            <w:r>
              <w:rPr>
                <w:spacing w:val="2"/>
              </w:rPr>
              <w:t xml:space="preserve">LivaNova PLC Amended and Restated </w:t>
              <w:br/>
              <w:t xml:space="preserve">2022 Incentive Award Plan and </w:t>
              <w:br/>
              <w:t>Sub-plan</w:t>
            </w:r>
            <w:r>
              <w:rPr>
                <w:spacing w:val="2"/>
                <w:szCs w:val="13"/>
              </w:rPr>
              <w:t>﻿</w:t>
            </w:r>
            <w:r>
              <w:rPr>
                <w:spacing w:val="2"/>
                <w:sz w:val="13"/>
              </w:rPr>
              <w:t>(1)</w:t>
            </w:r>
            <w:r>
              <w:rPr/>
              <w:t xml:space="preserve">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189" w:type="dxa"/>
            <w:tcBorders>
              <w:bottom w:val="single" w:sz="6" w:space="0" w:color="BFBFBF"/>
            </w:tcBorders>
            <w:shd w:fill="CCCCCC" w:val="clear"/>
            <w:tcMar>
              <w:bottom w:w="32" w:type="dxa"/>
            </w:tcMar>
            <w:vAlign w:val="center"/>
          </w:tcPr>
          <w:p>
            <w:pPr>
              <w:pStyle w:val="TableContents"/>
              <w:bidi w:val="0"/>
              <w:spacing w:before="0" w:after="283"/>
              <w:jc w:val="right"/>
              <w:rPr/>
            </w:pPr>
            <w:r>
              <w:rPr/>
              <w:t>2,226,518</w:t>
            </w:r>
          </w:p>
        </w:tc>
        <w:tc>
          <w:tcPr>
            <w:tcW w:w="12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277" w:type="dxa"/>
            <w:tcBorders>
              <w:bottom w:val="single" w:sz="6" w:space="0" w:color="BFBFBF"/>
            </w:tcBorders>
            <w:shd w:fill="CCCCCC" w:val="clear"/>
            <w:tcMar>
              <w:bottom w:w="32" w:type="dxa"/>
            </w:tcMar>
            <w:vAlign w:val="center"/>
          </w:tcPr>
          <w:p>
            <w:pPr>
              <w:pStyle w:val="TableContents"/>
              <w:bidi w:val="0"/>
              <w:spacing w:before="0" w:after="283"/>
              <w:jc w:val="right"/>
              <w:rPr/>
            </w:pPr>
            <w:r>
              <w:rPr/>
              <w:t>49.20</w:t>
            </w:r>
          </w:p>
        </w:tc>
        <w:tc>
          <w:tcPr>
            <w:tcW w:w="217"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212" w:type="dxa"/>
            <w:tcBorders>
              <w:bottom w:val="single" w:sz="6" w:space="0" w:color="BFBFBF"/>
            </w:tcBorders>
            <w:shd w:fill="CCCCCC" w:val="clear"/>
            <w:tcMar>
              <w:bottom w:w="32" w:type="dxa"/>
            </w:tcMar>
            <w:vAlign w:val="center"/>
          </w:tcPr>
          <w:p>
            <w:pPr>
              <w:pStyle w:val="TableContents"/>
              <w:bidi w:val="0"/>
              <w:spacing w:before="0" w:after="283"/>
              <w:jc w:val="right"/>
              <w:rPr/>
            </w:pPr>
            <w:r>
              <w:rPr/>
              <w:t>2,505,555</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1"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92" w:type="dxa"/>
            <w:tcBorders>
              <w:bottom w:val="single" w:sz="6" w:space="0" w:color="BFBFBF"/>
            </w:tcBorders>
            <w:tcMar>
              <w:bottom w:w="32" w:type="dxa"/>
            </w:tcMar>
            <w:vAlign w:val="center"/>
          </w:tcPr>
          <w:p>
            <w:pPr>
              <w:pStyle w:val="TableContents"/>
              <w:bidi w:val="0"/>
              <w:spacing w:before="0" w:after="0"/>
              <w:jc w:val="left"/>
              <w:rPr/>
            </w:pPr>
            <w:r>
              <w:rPr>
                <w:spacing w:val="2"/>
              </w:rPr>
              <w:t>LivaNova PLC 2015 Incentive Award Plan and Sub-Plan</w:t>
            </w:r>
            <w:r>
              <w:rPr>
                <w:spacing w:val="2"/>
                <w:szCs w:val="13"/>
              </w:rPr>
              <w:t>﻿</w:t>
            </w:r>
            <w:r>
              <w:rPr>
                <w:spacing w:val="2"/>
                <w:sz w:val="13"/>
              </w:rPr>
              <w:t>(2)</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tcMar>
              <w:bottom w:w="32" w:type="dxa"/>
            </w:tcMar>
            <w:vAlign w:val="center"/>
          </w:tcPr>
          <w:p>
            <w:pPr>
              <w:pStyle w:val="TableContents"/>
              <w:bidi w:val="0"/>
              <w:spacing w:before="0" w:after="283"/>
              <w:jc w:val="right"/>
              <w:rPr/>
            </w:pPr>
            <w:r>
              <w:rPr/>
              <w:t>​</w:t>
            </w:r>
          </w:p>
        </w:tc>
        <w:tc>
          <w:tcPr>
            <w:tcW w:w="1189" w:type="dxa"/>
            <w:tcBorders>
              <w:bottom w:val="single" w:sz="6" w:space="0" w:color="BFBFBF"/>
            </w:tcBorders>
            <w:tcMar>
              <w:bottom w:w="32" w:type="dxa"/>
            </w:tcMar>
            <w:vAlign w:val="center"/>
          </w:tcPr>
          <w:p>
            <w:pPr>
              <w:pStyle w:val="TableContents"/>
              <w:bidi w:val="0"/>
              <w:spacing w:before="0" w:after="283"/>
              <w:jc w:val="right"/>
              <w:rPr/>
            </w:pPr>
            <w:r>
              <w:rPr/>
              <w:t>1,893,984</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tcMar>
              <w:bottom w:w="32" w:type="dxa"/>
            </w:tcMar>
            <w:vAlign w:val="center"/>
          </w:tcPr>
          <w:p>
            <w:pPr>
              <w:pStyle w:val="TableContents"/>
              <w:bidi w:val="0"/>
              <w:spacing w:before="0" w:after="283"/>
              <w:jc w:val="right"/>
              <w:rPr/>
            </w:pPr>
            <w:r>
              <w:rPr/>
              <w:t>​</w:t>
            </w:r>
          </w:p>
        </w:tc>
        <w:tc>
          <w:tcPr>
            <w:tcW w:w="1277" w:type="dxa"/>
            <w:tcBorders>
              <w:bottom w:val="single" w:sz="6" w:space="0" w:color="BFBFBF"/>
            </w:tcBorders>
            <w:tcMar>
              <w:bottom w:w="32" w:type="dxa"/>
            </w:tcMar>
            <w:vAlign w:val="center"/>
          </w:tcPr>
          <w:p>
            <w:pPr>
              <w:pStyle w:val="TableContents"/>
              <w:bidi w:val="0"/>
              <w:spacing w:before="0" w:after="283"/>
              <w:jc w:val="right"/>
              <w:rPr/>
            </w:pPr>
            <w:r>
              <w:rPr/>
              <w:t>71.49</w:t>
            </w:r>
          </w:p>
        </w:tc>
        <w:tc>
          <w:tcPr>
            <w:tcW w:w="2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tcMar>
              <w:bottom w:w="32" w:type="dxa"/>
            </w:tcMar>
            <w:vAlign w:val="center"/>
          </w:tcPr>
          <w:p>
            <w:pPr>
              <w:pStyle w:val="TableContents"/>
              <w:bidi w:val="0"/>
              <w:spacing w:before="0" w:after="283"/>
              <w:jc w:val="right"/>
              <w:rPr/>
            </w:pPr>
            <w:r>
              <w:rPr/>
              <w:t>​</w:t>
            </w:r>
          </w:p>
        </w:tc>
        <w:tc>
          <w:tcPr>
            <w:tcW w:w="1212" w:type="dxa"/>
            <w:tcBorders>
              <w:bottom w:val="single" w:sz="6" w:space="0" w:color="BFBFBF"/>
            </w:tcBorders>
            <w:tcMar>
              <w:bottom w:w="32" w:type="dxa"/>
            </w:tcMar>
            <w:vAlign w:val="center"/>
          </w:tcPr>
          <w:p>
            <w:pPr>
              <w:pStyle w:val="TableContents"/>
              <w:bidi w:val="0"/>
              <w:spacing w:before="0" w:after="283"/>
              <w:jc w:val="right"/>
              <w:rPr/>
            </w:pPr>
            <w:r>
              <w:rPr/>
              <w:t xml:space="preserve">88,079 </w:t>
            </w:r>
          </w:p>
        </w:tc>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492" w:type="dxa"/>
            <w:tcBorders>
              <w:bottom w:val="single" w:sz="6" w:space="0" w:color="BFBFBF"/>
            </w:tcBorders>
            <w:shd w:fill="CCCCCC" w:val="clear"/>
            <w:tcMar>
              <w:bottom w:w="32"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1"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189" w:type="dxa"/>
            <w:tcBorders>
              <w:bottom w:val="single" w:sz="6" w:space="0" w:color="BFBFBF"/>
            </w:tcBorders>
            <w:shd w:fill="CCCCCC" w:val="clear"/>
            <w:tcMar>
              <w:bottom w:w="32" w:type="dxa"/>
            </w:tcMar>
            <w:vAlign w:val="center"/>
          </w:tcPr>
          <w:p>
            <w:pPr>
              <w:pStyle w:val="TableContents"/>
              <w:bidi w:val="0"/>
              <w:spacing w:before="0" w:after="283"/>
              <w:jc w:val="right"/>
              <w:rPr/>
            </w:pPr>
            <w:r>
              <w:rPr/>
              <w:t>4,120,502</w:t>
            </w:r>
          </w:p>
        </w:tc>
        <w:tc>
          <w:tcPr>
            <w:tcW w:w="12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14"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277" w:type="dxa"/>
            <w:tcBorders>
              <w:bottom w:val="single" w:sz="6" w:space="0" w:color="BFBFBF"/>
            </w:tcBorders>
            <w:shd w:fill="CCCCCC" w:val="clear"/>
            <w:tcMar>
              <w:bottom w:w="32" w:type="dxa"/>
            </w:tcMar>
            <w:vAlign w:val="center"/>
          </w:tcPr>
          <w:p>
            <w:pPr>
              <w:pStyle w:val="TableContents"/>
              <w:bidi w:val="0"/>
              <w:spacing w:before="0" w:after="283"/>
              <w:jc w:val="right"/>
              <w:rPr/>
            </w:pPr>
            <w:r>
              <w:rPr/>
              <w:t>45.96</w:t>
            </w:r>
          </w:p>
        </w:tc>
        <w:tc>
          <w:tcPr>
            <w:tcW w:w="217"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23" w:type="dxa"/>
            <w:tcBorders>
              <w:bottom w:val="single" w:sz="6" w:space="0" w:color="BFBFBF"/>
            </w:tcBorders>
            <w:shd w:fill="CCCCCC" w:val="clear"/>
            <w:tcMar>
              <w:bottom w:w="32" w:type="dxa"/>
            </w:tcMar>
            <w:vAlign w:val="center"/>
          </w:tcPr>
          <w:p>
            <w:pPr>
              <w:pStyle w:val="TableContents"/>
              <w:bidi w:val="0"/>
              <w:spacing w:before="0" w:after="283"/>
              <w:jc w:val="right"/>
              <w:rPr/>
            </w:pPr>
            <w:r>
              <w:rPr/>
              <w:t>​</w:t>
            </w:r>
          </w:p>
        </w:tc>
        <w:tc>
          <w:tcPr>
            <w:tcW w:w="1212" w:type="dxa"/>
            <w:tcBorders>
              <w:bottom w:val="single" w:sz="6" w:space="0" w:color="BFBFBF"/>
            </w:tcBorders>
            <w:shd w:fill="CCCCCC" w:val="clear"/>
            <w:tcMar>
              <w:bottom w:w="32" w:type="dxa"/>
            </w:tcMar>
            <w:vAlign w:val="center"/>
          </w:tcPr>
          <w:p>
            <w:pPr>
              <w:pStyle w:val="TableContents"/>
              <w:bidi w:val="0"/>
              <w:spacing w:before="0" w:after="283"/>
              <w:jc w:val="right"/>
              <w:rPr/>
            </w:pPr>
            <w:r>
              <w:rPr/>
              <w:t>2,593,634</w:t>
            </w:r>
          </w:p>
        </w:tc>
        <w:tc>
          <w:tcPr>
            <w:tcW w:w="12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1"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BFBFBF"/>
            </w:tcBorders>
            <w:shd w:fill="CCCCCC" w:val="clear"/>
            <w:tcMar>
              <w:bottom w:w="28" w:type="dxa"/>
            </w:tcMar>
            <w:vAlign w:val="center"/>
          </w:tcPr>
          <w:p>
            <w:pPr>
              <w:pStyle w:val="TableContents"/>
              <w:bidi w:val="0"/>
              <w:spacing w:before="0" w:after="283"/>
              <w:jc w:val="left"/>
              <w:rPr/>
            </w:pPr>
            <w:r>
              <w:rPr/>
              <w:t>​</w:t>
            </w:r>
          </w:p>
        </w:tc>
        <w:tc>
          <w:tcPr>
            <w:tcW w:w="8536" w:type="dxa"/>
            <w:tcBorders>
              <w:bottom w:val="single" w:sz="8" w:space="0" w:color="BFBFBF"/>
            </w:tcBorders>
            <w:shd w:fill="CCCCCC" w:val="clear"/>
            <w:tcMar>
              <w:bottom w:w="92" w:type="dxa"/>
            </w:tcMar>
            <w:vAlign w:val="center"/>
          </w:tcPr>
          <w:p>
            <w:pPr>
              <w:pStyle w:val="TableContents"/>
              <w:bidi w:val="0"/>
              <w:spacing w:lineRule="atLeast" w:line="192" w:before="0" w:after="0"/>
              <w:ind w:left="680" w:right="0" w:hanging="0"/>
              <w:jc w:val="both"/>
              <w:rPr>
                <w:spacing w:val="2"/>
              </w:rPr>
            </w:pPr>
            <w:r>
              <w:rPr>
                <w:spacing w:val="2"/>
              </w:rPr>
              <w:t xml:space="preserve">The 2022 LivaNova Incentive Award Plan and the Sub-Plan were approved by LivaNova’s shareholders, effective on June 13, 2022 and was subsequently amended and restated on June 12 2023. Amounts represent the number of Ordinary Shares issuable upon the exercise or settlement of outstanding SARs (1,362,724) and RSUs/PSUs (863,794), as granted under the LivaNova PLC Amended and Restated 2022 Incentive Award Plan as of December 31, 2024. </w:t>
            </w:r>
            <w:r>
              <mc:AlternateContent>
                <mc:Choice Requires="wps">
                  <w:drawing>
                    <wp:anchor behindDoc="0" distT="0" distB="0" distL="228600" distR="0" simplePos="0" locked="0" layoutInCell="1" allowOverlap="1" relativeHeight="755">
                      <wp:simplePos x="0" y="0"/>
                      <wp:positionH relativeFrom="column">
                        <wp:align>left</wp:align>
                      </wp:positionH>
                      <wp:positionV relativeFrom="line">
                        <wp:posOffset>635</wp:posOffset>
                      </wp:positionV>
                      <wp:extent cx="203200" cy="525780"/>
                      <wp:effectExtent l="0" t="0" r="0" b="0"/>
                      <wp:wrapSquare wrapText="right"/>
                      <wp:docPr id="624" name="Frame40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pPr>
            <w:r>
              <w:rPr>
                <w:spacing w:val="2"/>
              </w:rPr>
              <w:t>The LivaNova 2015 Incentive Award Plan and the Sub-Plan (the “2015 Plan”) were approved by LivaNova’s Board and the Company’s sole shareholder, effective on October 16, 2015. Amounts represent the number of Ordinary Shares issuable upon the exercise or settlement of outstanding SARs (1,711,215) and RSUs/PSUs (182,769), as granted under the 2015 Plan as of December 31, 2024. The 2022 amendment to the 2015 Plan reduced the share reserve under such plan to 50,000 shares and limited participation under such plan to non-executive directors.</w:t>
            </w:r>
            <w:r>
              <w:rPr/>
              <w:t xml:space="preserve"> </w:t>
            </w:r>
            <w:r>
              <mc:AlternateContent>
                <mc:Choice Requires="wps">
                  <w:drawing>
                    <wp:anchor behindDoc="0" distT="20320" distB="0" distL="228600" distR="0" simplePos="0" locked="0" layoutInCell="1" allowOverlap="1" relativeHeight="756">
                      <wp:simplePos x="0" y="0"/>
                      <wp:positionH relativeFrom="column">
                        <wp:align>left</wp:align>
                      </wp:positionH>
                      <wp:positionV relativeFrom="line">
                        <wp:align>top</wp:align>
                      </wp:positionV>
                      <wp:extent cx="203200" cy="525780"/>
                      <wp:effectExtent l="0" t="0" r="0" b="0"/>
                      <wp:wrapSquare wrapText="right"/>
                      <wp:docPr id="625" name="Frame40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BFBFB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52" w:after="283"/>
        <w:ind w:left="1173" w:right="0" w:hanging="0"/>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Shareholder Proposals for the 2026 AGM</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who, in accordance with Rule 14a-8 of the Exchange Act, wish to present proposals for inclusion in the proxy materials to be published by LivaNova in connection with LivaNova’s 2026 AGM must submit their proposals to the Office of the Company Secretary of LivaNova at 20 Eastbourne Terrace, London W2 6LG by December 31, 2025. As the rules of the SEC make clear, simply submitting a proposal does not guarantee its inclusion in LivaNova’s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42"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accordance with LivaNova’s Articles of Association (“Articles”), and without prejudice to the rights of a shareholder of record under the Companies Act, in order to nominate a candidate for election as a director or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13"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567"/>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222" descr=""/>
                          <pic:cNvPicPr>
                            <a:picLocks noChangeAspect="1" noChangeArrowheads="1"/>
                          </pic:cNvPicPr>
                        </pic:nvPicPr>
                        <pic:blipFill>
                          <a:blip r:embed="rId22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99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223" descr=""/>
                    <pic:cNvPicPr>
                      <a:picLocks noChangeAspect="1" noChangeArrowheads="1"/>
                    </pic:cNvPicPr>
                  </pic:nvPicPr>
                  <pic:blipFill>
                    <a:blip r:embed="rId22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properly bring business before the Company’s 2026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the Company’s Articles (and not submitted pursuant to Rule 14a-8) must be received no earlier than February 11, 2026, and no later than March 13, 2026. The requirements for advance notice of shareholder proposals under LivaNova’s Articles do not apply to proposals properly submitted under Rule 14a-8 under the Exchange Act, as those shareholder proposals are governed by Rule 14a-8. Shareholders are advised to review LivaNova’s Articles for further details on the requirements and procedures to submit shareholder proposals. In addition, to comply with the universal proxy rules, shareholders who intend to solicit proxies in support of director nominees other than the Company’s nominees must provide notice that sets forth the information required by Rule 14a-19 under the Exchange Act no later than April 13, 2026.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 reserves the right to reject, rule out of order or take other appropriate action with respect to any proposal that does not comply with Rule 14a-8, the Company’s Articles or any other requirements, as applicable.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section 338 of the Companies Act, shareholders meeting the threshold requirements in that section may require that LivaNova includes a resolution in the Notice of AGM. Provided that the appropriate thresholds are met, notice of the resolution must be received by the Company at the Office of the Company Secretary of LivaNova at 20 Eastbourne Terrace, London W2 6LG at least six weeks prior to the date of the AGM or, if later, at the time notice of the AGM is delivered to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Annual Reports and Proxy Materials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April 30, 2025, LivaNova will begin mailing the Notice of Internet Availability of Proxy Materials (the “Notice”) and this proxy statement, the accompanying proxy card (as to CDIs as defined herein, a Form of Proxy), LivaNova’s UK Annual Report, and LivaNova’s U.S. Annual Report on Form 10-K. Copies of these materials filed with the SEC may be accessed free of charge through the Company’s website.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LivaNova incurs in providing you with the requested exhibits). LivaNova’s U.S. Annual Report on Form 10-K, including the exhibits thereto, is also available through the SEC’s website as is this proxy statement, filed on Schedule DEF 14A.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Saving Resources: Householding and Electronic Communications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mindful that sending notices, documents, or information to shareholders by non-electronic means is costly to the Company in terms of administration, printing and postage costs and has a greater environmental impact than electronic communications. In some cases, duplicate materials going to the same address add to these costs. Both U.S. securities laws and English company laws provide ways for LivaNova to cut costs and benefit the environment.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Householding of Proxy Materials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SEC has adopted rules regarding delivery of proxy statements and annual reports to shareholders sharing the same address. LivaNova may satisfy these delivery rules by delivering a single proxy statement and annual report to an address shared by two or more of its shareholders who are not participating in electronic proxy material delivery. This delivery method, referred to as “householding,” results in significant cost savings for us. In order to take advantage of this opportunity, LivaNova has delivered only one proxy statement and annual report to multiple shareholders who share an address unless LivaNova has received contrary instructions from one or more of the shareholders. LivaNova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683"/>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100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224" descr=""/>
                          <pic:cNvPicPr>
                            <a:picLocks noChangeAspect="1" noChangeArrowheads="1"/>
                          </pic:cNvPicPr>
                        </pic:nvPicPr>
                        <pic:blipFill>
                          <a:blip r:embed="rId22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FAQA"/>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225" descr=""/>
                    <pic:cNvPicPr>
                      <a:picLocks noChangeAspect="1" noChangeArrowheads="1"/>
                    </pic:cNvPicPr>
                  </pic:nvPicPr>
                  <pic:blipFill>
                    <a:blip r:embed="rId22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following which they will receive an individual copy of LivaNova’s proxy materials. If you are the beneficial owner, you will need to contact your broker, bank, or other nominee to make such requests.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can also opt-in to householding if they are currently receiving multiple sets of materials to the same address or change their previous elections by using the above contact information.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Internet Availability of Proxy Materials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rules adopted by the SEC, LivaNova is making this proxy statement available to LivaNova’s shareholders electronically via the internet. On April 30, 2025, LivaNova will mail the Notice to Shareholders of the Company’s Ordinary Shares at the close of business on the Record Date, other than those shareholders who previously requested electronic or paper delivery of communications from LivaNova. The Notice contains instructions on how to access an electronic copy of LivaNova’s proxy materials, including this proxy statement and LivaNova’s UK Annual Report and U.S. Annual Report. The Notice also contains instructions on how to request a paper copy of the Company’s proxy materials. LivaNova believes that this process will allow the Company to provide you with the information you need in a timely manner, while conserving natural resources and lowering the costs of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Electronic Communications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English law, LivaNova has the authority to send notices, documents, or information to shareholders of record by electronic means. In conjunction with LivaNova registrars, Computershare Inc., starting in early 2018, LivaNova offered to the Company’s shareholders of record the option of receiving an email notification each time LivaNova publishes new shareholder documents on LivaNova’s website. Those shareholders who have supplied LivaNova with an email address will no longer receive copies of certain paper documents, such as LivaNova’s UK Annual Report and U.S. Annual Report. Instead, they will receive an email containing links to the Company’s website where electronic copies of the documents can be viewed and downloaded. Others have opted to receive paper notices of documents available on LivaNova’s website, and those who did not respond to LivaNova’s letter will, by default, continue to receive notifications in the same way.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Expenses of Solicitation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solicitation is made by the Company. LivaNova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LivaNova has engaged Alliance Advisors to assist in the solicitation of proxies and provide related advice and informational support, for a services fee, plus customary disbursements, which are not expected to exceed $20,000 in total.</w:t>
      </w:r>
      <w:r>
        <w:rPr>
          <w:rFonts w:ascii="Tahoma;Geneva;sans-serif" w:hAnsi="Tahoma;Geneva;sans-serif"/>
          <w:b w:val="false"/>
          <w:i w:val="false"/>
          <w:caps w:val="false"/>
          <w:smallCaps w:val="false"/>
          <w:color w:val="000000"/>
          <w:spacing w:val="4"/>
          <w:sz w:val="20"/>
        </w:rPr>
        <w:t xml:space="preserve"> </w:t>
      </w:r>
    </w:p>
    <w:tbl>
      <w:tblPr>
        <w:tblW w:w="4668" w:type="dxa"/>
        <w:jc w:val="left"/>
        <w:tblInd w:w="1173" w:type="dxa"/>
        <w:tblLayout w:type="fixed"/>
        <w:tblCellMar>
          <w:top w:w="0" w:type="dxa"/>
          <w:left w:w="0" w:type="dxa"/>
          <w:bottom w:w="0" w:type="dxa"/>
          <w:right w:w="0" w:type="dxa"/>
        </w:tblCellMar>
      </w:tblPr>
      <w:tblGrid>
        <w:gridCol w:w="124"/>
        <w:gridCol w:w="4390"/>
        <w:gridCol w:w="154"/>
      </w:tblGrid>
      <w:tr>
        <w:trPr/>
        <w:tc>
          <w:tcPr>
            <w:tcW w:w="124" w:type="dxa"/>
            <w:tcBorders/>
            <w:shd w:fill="702076" w:val="clear"/>
            <w:vAlign w:val="center"/>
          </w:tcPr>
          <w:p>
            <w:pPr>
              <w:pStyle w:val="TableContents"/>
              <w:bidi w:val="0"/>
              <w:spacing w:before="0" w:after="283"/>
              <w:jc w:val="left"/>
              <w:rPr/>
            </w:pPr>
            <w:r>
              <w:rPr/>
              <w:t>​</w:t>
            </w:r>
          </w:p>
        </w:tc>
        <w:tc>
          <w:tcPr>
            <w:tcW w:w="4390" w:type="dxa"/>
            <w:tcBorders/>
            <w:shd w:fill="702076" w:val="clear"/>
            <w:vAlign w:val="center"/>
          </w:tcPr>
          <w:p>
            <w:pPr>
              <w:pStyle w:val="TableContents"/>
              <w:bidi w:val="0"/>
              <w:spacing w:lineRule="atLeast" w:line="240" w:before="0" w:after="0"/>
              <w:jc w:val="center"/>
              <w:rPr/>
            </w:pPr>
            <w:r>
              <w:rPr>
                <w:spacing w:val="14"/>
              </w:rPr>
              <w:t>FREQUENTLY ASKED QUESTIONS</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is a proxy statement and what is a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proxy statement is a document that U.S. securities law rules and regulations require that the Company give to you when we ask you to give a proxy designating individuals to vote on your behalf. A proxy is your legal designation to another person to vote shares that you own. That other person is called a proxy. If you designate someone as your proxy in a written document, that document is also called a proxy or proxy card.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Why did I receive these proxy materials?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We have delivered or made available the Notice, this proxy statement, proxy cards, the UK Annual Report, and the U.S. Annual Report of LivaNova (collectively, the “proxy materials”) to our shareholders of record and beneficial holders of our shares as of the Record Date, in connection with the solicitation of proxies for use at the AGM, or at any adjournment or postponement thereof.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83"/>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226" descr=""/>
                          <pic:cNvPicPr>
                            <a:picLocks noChangeAspect="1" noChangeArrowheads="1"/>
                          </pic:cNvPicPr>
                        </pic:nvPicPr>
                        <pic:blipFill>
                          <a:blip r:embed="rId22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101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227" descr=""/>
                    <pic:cNvPicPr>
                      <a:picLocks noChangeAspect="1" noChangeArrowheads="1"/>
                    </pic:cNvPicPr>
                  </pic:nvPicPr>
                  <pic:blipFill>
                    <a:blip r:embed="rId22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should I do if I receive more than one Notice, proxy card or Form of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are the total voting rights in the Company?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of April 14, 2025, there were 54,524,159 Ordinary Shares in issue and entitled to vote. Each Ordinary Share is entitled to one vote on each matter properly brought before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Who is entitled to vote at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of record and beneficial holders as of the Record Date are entitled to attend virtually and vote at the AGM. Please note the following special cases: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 as discussed further below under “</w:t>
      </w:r>
      <w:r>
        <w:rPr>
          <w:rFonts w:ascii="Tahoma;Geneva;sans-serif" w:hAnsi="Tahoma;Geneva;sans-serif"/>
          <w:b w:val="false"/>
          <w:i/>
          <w:caps w:val="false"/>
          <w:smallCaps w:val="false"/>
          <w:color w:val="000000"/>
          <w:sz w:val="20"/>
        </w:rPr>
        <w:t>How do I vote if I am a beneficial owner</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57">
                <wp:simplePos x="0" y="0"/>
                <wp:positionH relativeFrom="column">
                  <wp:align>left</wp:align>
                </wp:positionH>
                <wp:positionV relativeFrom="line">
                  <wp:align>top</wp:align>
                </wp:positionV>
                <wp:extent cx="228600" cy="350520"/>
                <wp:effectExtent l="0" t="0" r="0" b="0"/>
                <wp:wrapSquare wrapText="right"/>
                <wp:docPr id="632" name="Frame4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 as discussed further below under “</w:t>
      </w:r>
      <w:r>
        <w:rPr>
          <w:rFonts w:ascii="Tahoma;Geneva;sans-serif" w:hAnsi="Tahoma;Geneva;sans-serif"/>
          <w:b w:val="false"/>
          <w:i/>
          <w:caps w:val="false"/>
          <w:smallCaps w:val="false"/>
          <w:color w:val="000000"/>
          <w:sz w:val="20"/>
        </w:rPr>
        <w:t>How do I vote if I am a shareholder of record?</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58">
                <wp:simplePos x="0" y="0"/>
                <wp:positionH relativeFrom="column">
                  <wp:align>left</wp:align>
                </wp:positionH>
                <wp:positionV relativeFrom="line">
                  <wp:align>top</wp:align>
                </wp:positionV>
                <wp:extent cx="228600" cy="350520"/>
                <wp:effectExtent l="0" t="0" r="0" b="0"/>
                <wp:wrapSquare wrapText="right"/>
                <wp:docPr id="633" name="Frame4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Arial Narrow;Arial;Tahoma;Geneva;sans-serif" w:hAnsi="Arial Narrow;Arial;Tahoma;Geneva;sans-serif"/>
          <w:b/>
          <w:i w:val="false"/>
          <w:caps w:val="false"/>
          <w:smallCaps w:val="false"/>
          <w:color w:val="000000"/>
          <w:spacing w:val="11"/>
          <w:sz w:val="20"/>
        </w:rPr>
        <w:t>www.envisionreports.com/LIVN</w:t>
      </w:r>
      <w:r>
        <w:rPr>
          <w:rFonts w:ascii="Tahoma;Geneva;sans-serif" w:hAnsi="Tahoma;Geneva;sans-serif"/>
          <w:b w:val="false"/>
          <w:i w:val="false"/>
          <w:caps w:val="false"/>
          <w:smallCaps w:val="false"/>
          <w:color w:val="000000"/>
          <w:spacing w:val="2"/>
          <w:sz w:val="20"/>
        </w:rPr>
        <w:t xml:space="preserve"> or returning a completed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 For additional information, please see “</w:t>
      </w:r>
      <w:r>
        <w:rPr>
          <w:rFonts w:ascii="Tahoma;Geneva;sans-serif" w:hAnsi="Tahoma;Geneva;sans-serif"/>
          <w:b w:val="false"/>
          <w:i/>
          <w:caps w:val="false"/>
          <w:smallCaps w:val="false"/>
          <w:color w:val="000000"/>
          <w:sz w:val="20"/>
        </w:rPr>
        <w:t>How do I vote if I am a holder of CDIs?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z w:val="20"/>
        </w:rPr>
        <w:t xml:space="preserve"> </w:t>
      </w:r>
      <w:r>
        <mc:AlternateContent>
          <mc:Choice Requires="wps">
            <w:drawing>
              <wp:anchor behindDoc="0" distT="74930" distB="0" distL="228600" distR="0" simplePos="0" locked="0" layoutInCell="1" allowOverlap="1" relativeHeight="759">
                <wp:simplePos x="0" y="0"/>
                <wp:positionH relativeFrom="column">
                  <wp:align>left</wp:align>
                </wp:positionH>
                <wp:positionV relativeFrom="line">
                  <wp:align>top</wp:align>
                </wp:positionV>
                <wp:extent cx="228600" cy="350520"/>
                <wp:effectExtent l="0" t="0" r="0" b="0"/>
                <wp:wrapSquare wrapText="right"/>
                <wp:docPr id="634" name="Frame4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78"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How is a quorum determined?</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presence of the holders of record of shares in the Company who together represent at least a majority of the voting rights of all the shareholders of record entitled to vote, present in person (virtually) or by proxy, at the AGM is necessary to constitute a quorum. Abstentions and broker non-votes will be counted as present and entitled to vote for the purposes of determining a quorum at the AGM (but, as noted elsewhere in this proxy statement, will not be counted in the calculation of the proportion of votes cast “for” or “against” the resolution).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683"/>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102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3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228" descr=""/>
                          <pic:cNvPicPr>
                            <a:picLocks noChangeAspect="1" noChangeArrowheads="1"/>
                          </pic:cNvPicPr>
                        </pic:nvPicPr>
                        <pic:blipFill>
                          <a:blip r:embed="rId22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3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229" descr=""/>
                    <pic:cNvPicPr>
                      <a:picLocks noChangeAspect="1" noChangeArrowheads="1"/>
                    </pic:cNvPicPr>
                  </pic:nvPicPr>
                  <pic:blipFill>
                    <a:blip r:embed="rId23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Who will count the votes?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2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Representatives of the Company’s transfer agent, Computershare, will serve as scrutineers of the poll, and will also serve as master tabulator.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68"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Where can I find the voting results of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2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as soon as reasonably practicable after the AGM and for a period of two (2) years thereafter.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268"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is the difference between holding Ordinary Shares as a shareholder of record, or as a beneficial owner and holder of CDIs?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2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a shareholder is registered on the register of members of the Company as holding Ordinary Shares, that shareholder is considered, with respect to those Ordinary Shares, the shareholder of record. As of April 14, 2025, the latest practicable date prior to publication of this proxy statement, our shareholders of record included Cede &amp; Co., the nominee for the Depositary Trust Company (“DTC”), and 48 other shareholders of record.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8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Beneficial owners are, therefore, strongly discouraged from withdrawing their Ordinary Shares from the DTC system.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8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8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in connection with the admission to trading of the Ordinary Shares on the London Stock Exchange, LivaNova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0"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How do I vote if I am a shareholder of record?</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If you are a shareholder of record on the Record Date,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 </w:t>
      </w:r>
    </w:p>
    <w:p>
      <w:pPr>
        <w:pStyle w:val="TextBody"/>
        <w:bidi w:val="0"/>
        <w:spacing w:lineRule="atLeast" w:line="240" w:before="19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may appoint a proxy to vote on your behalf using one of the following methods: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By returning the proxy card, or other instrument appointing a proxy, completed in accordance with the instructions therein and signed to Proxy Services, c/o Computershare Investor Services, PO Box 505008, Louisville, KY, USA 40233;</w:t>
      </w:r>
      <w:r>
        <w:rPr>
          <w:rFonts w:ascii="Tahoma;Geneva;sans-serif" w:hAnsi="Tahoma;Geneva;sans-serif"/>
          <w:b w:val="false"/>
          <w:i w:val="false"/>
          <w:caps w:val="false"/>
          <w:smallCaps w:val="false"/>
          <w:color w:val="000000"/>
          <w:sz w:val="20"/>
        </w:rPr>
        <w:t xml:space="preserve"> </w:t>
      </w:r>
      <w:r>
        <mc:AlternateContent>
          <mc:Choice Requires="wps">
            <w:drawing>
              <wp:anchor behindDoc="0" distT="69850" distB="0" distL="228600" distR="0" simplePos="0" locked="0" layoutInCell="1" allowOverlap="1" relativeHeight="760">
                <wp:simplePos x="0" y="0"/>
                <wp:positionH relativeFrom="column">
                  <wp:align>left</wp:align>
                </wp:positionH>
                <wp:positionV relativeFrom="line">
                  <wp:align>top</wp:align>
                </wp:positionV>
                <wp:extent cx="228600" cy="350520"/>
                <wp:effectExtent l="0" t="0" r="0" b="0"/>
                <wp:wrapSquare wrapText="right"/>
                <wp:docPr id="637" name="Frame4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By submission via the internet by going to </w:t>
      </w:r>
      <w:r>
        <w:rPr>
          <w:rFonts w:ascii="Arial Narrow;Arial;Tahoma;Geneva;sans-serif" w:hAnsi="Arial Narrow;Arial;Tahoma;Geneva;sans-serif"/>
          <w:b/>
          <w:i w:val="false"/>
          <w:caps w:val="false"/>
          <w:smallCaps w:val="false"/>
          <w:color w:val="000000"/>
          <w:spacing w:val="11"/>
          <w:sz w:val="20"/>
        </w:rPr>
        <w:t>envisionreports.com/LIVN</w:t>
      </w:r>
      <w:r>
        <w:rPr>
          <w:rFonts w:ascii="Tahoma;Geneva;sans-serif" w:hAnsi="Tahoma;Geneva;sans-serif"/>
          <w:b w:val="false"/>
          <w:i w:val="false"/>
          <w:caps w:val="false"/>
          <w:smallCaps w:val="false"/>
          <w:color w:val="000000"/>
          <w:spacing w:val="2"/>
          <w:sz w:val="20"/>
        </w:rPr>
        <w:t xml:space="preserve"> and following the instructions provided;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69850" distB="0" distL="228600" distR="0" simplePos="0" locked="0" layoutInCell="1" allowOverlap="1" relativeHeight="761">
                <wp:simplePos x="0" y="0"/>
                <wp:positionH relativeFrom="column">
                  <wp:align>left</wp:align>
                </wp:positionH>
                <wp:positionV relativeFrom="line">
                  <wp:align>top</wp:align>
                </wp:positionV>
                <wp:extent cx="228600" cy="350520"/>
                <wp:effectExtent l="0" t="0" r="0" b="0"/>
                <wp:wrapSquare wrapText="right"/>
                <wp:docPr id="638" name="Frame4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By telephone, using the number shown on the Notice or proxy card; or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69850" distB="0" distL="228600" distR="0" simplePos="0" locked="0" layoutInCell="1" allowOverlap="1" relativeHeight="762">
                <wp:simplePos x="0" y="0"/>
                <wp:positionH relativeFrom="column">
                  <wp:align>left</wp:align>
                </wp:positionH>
                <wp:positionV relativeFrom="line">
                  <wp:align>top</wp:align>
                </wp:positionV>
                <wp:extent cx="228600" cy="350520"/>
                <wp:effectExtent l="0" t="0" r="0" b="0"/>
                <wp:wrapSquare wrapText="right"/>
                <wp:docPr id="639" name="Frame4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During the AGM, you may submit a ballot at </w:t>
      </w:r>
      <w:r>
        <w:rPr>
          <w:rFonts w:ascii="Arial Narrow;Arial;Tahoma;Geneva;sans-serif" w:hAnsi="Arial Narrow;Arial;Tahoma;Geneva;sans-serif"/>
          <w:b/>
          <w:i w:val="false"/>
          <w:caps w:val="false"/>
          <w:smallCaps w:val="false"/>
          <w:color w:val="000000"/>
          <w:spacing w:val="11"/>
          <w:sz w:val="20"/>
        </w:rPr>
        <w:t>www.meetnow.global/</w:t>
      </w:r>
      <w:r>
        <w:rPr>
          <w:rFonts w:ascii="Tahoma;Geneva;sans-serif" w:hAnsi="Tahoma;Geneva;sans-serif"/>
          <w:b w:val="false"/>
          <w:i w:val="false"/>
          <w:caps w:val="false"/>
          <w:smallCaps w:val="false"/>
          <w:color w:val="000000"/>
          <w:sz w:val="20"/>
        </w:rPr>
        <w:t>​</w:t>
      </w:r>
      <w:r>
        <w:rPr>
          <w:rFonts w:ascii="Arial Narrow;Arial;Tahoma;Geneva;sans-serif" w:hAnsi="Arial Narrow;Arial;Tahoma;Geneva;sans-serif"/>
          <w:b/>
          <w:i w:val="false"/>
          <w:caps w:val="false"/>
          <w:smallCaps w:val="false"/>
          <w:color w:val="000000"/>
          <w:spacing w:val="11"/>
          <w:sz w:val="20"/>
        </w:rPr>
        <w:t>MFSFQWM</w:t>
      </w:r>
      <w:r>
        <w:rPr>
          <w:rFonts w:ascii="Tahoma;Geneva;sans-serif" w:hAnsi="Tahoma;Geneva;sans-serif"/>
          <w:b w:val="false"/>
          <w:i w:val="false"/>
          <w:caps w:val="false"/>
          <w:smallCaps w:val="false"/>
          <w:color w:val="000000"/>
          <w:spacing w:val="2"/>
          <w:sz w:val="20"/>
        </w:rPr>
        <w:t>. You will need to review the information included on your Notice or on your proxy card or in the instructions accompanying your proxy materials.</w:t>
      </w:r>
      <w:r>
        <w:rPr>
          <w:rFonts w:ascii="Tahoma;Geneva;sans-serif" w:hAnsi="Tahoma;Geneva;sans-serif"/>
          <w:b w:val="false"/>
          <w:i w:val="false"/>
          <w:caps w:val="false"/>
          <w:smallCaps w:val="false"/>
          <w:color w:val="000000"/>
          <w:sz w:val="20"/>
        </w:rPr>
        <w:t xml:space="preserve"> </w:t>
      </w:r>
      <w:r>
        <mc:AlternateContent>
          <mc:Choice Requires="wps">
            <w:drawing>
              <wp:anchor behindDoc="0" distT="69850" distB="0" distL="228600" distR="0" simplePos="0" locked="0" layoutInCell="1" allowOverlap="1" relativeHeight="763">
                <wp:simplePos x="0" y="0"/>
                <wp:positionH relativeFrom="column">
                  <wp:align>left</wp:align>
                </wp:positionH>
                <wp:positionV relativeFrom="line">
                  <wp:align>top</wp:align>
                </wp:positionV>
                <wp:extent cx="228600" cy="350520"/>
                <wp:effectExtent l="0" t="0" r="0" b="0"/>
                <wp:wrapSquare wrapText="right"/>
                <wp:docPr id="640" name="Frame4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83"/>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4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230" descr=""/>
                          <pic:cNvPicPr>
                            <a:picLocks noChangeAspect="1" noChangeArrowheads="1"/>
                          </pic:cNvPicPr>
                        </pic:nvPicPr>
                        <pic:blipFill>
                          <a:blip r:embed="rId23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103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4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231" descr=""/>
                    <pic:cNvPicPr>
                      <a:picLocks noChangeAspect="1" noChangeArrowheads="1"/>
                    </pic:cNvPicPr>
                  </pic:nvPicPr>
                  <pic:blipFill>
                    <a:blip r:embed="rId23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To be effective, the proxy appointment must be received by 3:00 pm British Summer Time on June 11, 2025. </w:t>
      </w:r>
    </w:p>
    <w:p>
      <w:pPr>
        <w:pStyle w:val="TextBody"/>
        <w:bidi w:val="0"/>
        <w:spacing w:lineRule="atLeast" w:line="240" w:before="142"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Details of how to appoint the chair of the AGM, or another person, as your proxy are set out in the proxy card. </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42"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 </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shareholder of record and you execute and return a proxy card, but do not give instructions, your proxy will be voted FOR each of the proposals.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have not received a proxy card and believe that you should have one, please contact your broker, bank, or other nominee for more information.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2"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How do I vote if I am a beneficial owner?</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are a beneficial owner and you wish to vote virtually at the AGM, you must obtain a legal proxy from your broker, bank or other nominee and register to attend the AGM following the instructions below. To register to attend the AGM virtually, you must submit proof of your proxy power (legal proxy) reflecting your LivaNova holdings along with your name and email address to Computershare Inc. Requests for registration should be directed to: Computershare Inc. LivaNova PLC Legal Proxy PO Box 43001 Providence, RI USA 02940-3001 or </w:t>
      </w:r>
      <w:r>
        <w:rPr>
          <w:rFonts w:ascii="Arial Narrow;Arial;Tahoma;Geneva;sans-serif" w:hAnsi="Arial Narrow;Arial;Tahoma;Geneva;sans-serif"/>
          <w:b/>
          <w:i w:val="false"/>
          <w:caps w:val="false"/>
          <w:smallCaps w:val="false"/>
          <w:color w:val="000000"/>
          <w:spacing w:val="11"/>
          <w:sz w:val="20"/>
        </w:rPr>
        <w:t>legalproxy@computershare.com</w:t>
      </w:r>
      <w:r>
        <w:rPr>
          <w:rFonts w:ascii="Tahoma;Geneva;sans-serif" w:hAnsi="Tahoma;Geneva;sans-serif"/>
          <w:b w:val="false"/>
          <w:i w:val="false"/>
          <w:caps w:val="false"/>
          <w:smallCaps w:val="false"/>
          <w:color w:val="000000"/>
          <w:spacing w:val="2"/>
          <w:sz w:val="20"/>
        </w:rPr>
        <w:t>. Requests for registration must be labeled as “Legal Proxy” and be received no later than 5:00 pm (Eastern Standard Time) on June 6, 2025. You will receive confirmation of your registration by email after we receive your registration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3"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How do I vote if I am a holder of CDIs?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are a holder of CDIs, you should follow the instructions on the notice of meeting and vote your shares at </w:t>
      </w:r>
      <w:r>
        <w:rPr>
          <w:rFonts w:ascii="Arial Narrow;Arial;Tahoma;Geneva;sans-serif" w:hAnsi="Arial Narrow;Arial;Tahoma;Geneva;sans-serif"/>
          <w:b/>
          <w:i w:val="false"/>
          <w:caps w:val="false"/>
          <w:smallCaps w:val="false"/>
          <w:color w:val="000000"/>
          <w:spacing w:val="11"/>
          <w:sz w:val="20"/>
        </w:rPr>
        <w:t>envisionreports.com/LIVN</w:t>
      </w:r>
      <w:r>
        <w:rPr>
          <w:rFonts w:ascii="Tahoma;Geneva;sans-serif" w:hAnsi="Tahoma;Geneva;sans-serif"/>
          <w:b w:val="false"/>
          <w:i w:val="false"/>
          <w:caps w:val="false"/>
          <w:smallCaps w:val="false"/>
          <w:color w:val="000000"/>
          <w:spacing w:val="2"/>
          <w:sz w:val="20"/>
        </w:rPr>
        <w:t xml:space="preserve">. Alternatively, holders of CDIs may transmit voting instructions by utilizing the CREST voting service in accordance with the procedures described in the CREST Manual (available via </w:t>
      </w:r>
      <w:r>
        <w:rPr>
          <w:rFonts w:ascii="Arial Narrow;Arial;Tahoma;Geneva;sans-serif" w:hAnsi="Arial Narrow;Arial;Tahoma;Geneva;sans-serif"/>
          <w:b/>
          <w:i w:val="false"/>
          <w:caps w:val="false"/>
          <w:smallCaps w:val="false"/>
          <w:color w:val="000000"/>
          <w:spacing w:val="11"/>
          <w:sz w:val="20"/>
        </w:rPr>
        <w:t>www.euroclear.com</w:t>
      </w:r>
      <w:r>
        <w:rPr>
          <w:rFonts w:ascii="Tahoma;Geneva;sans-serif" w:hAnsi="Tahoma;Geneva;sans-serif"/>
          <w:b w:val="false"/>
          <w:i w:val="false"/>
          <w:caps w:val="false"/>
          <w:smallCaps w:val="false"/>
          <w:color w:val="000000"/>
          <w:spacing w:val="2"/>
          <w:sz w:val="20"/>
        </w:rPr>
        <w:t>). To be effective, the CREST Voting Instruction must be transmitted so as to be received by the Voting Agent (ID: 3RA50) no later than 3:00 p.m. British Summer Time on June 5, 2025 (or, in the event of an adjourned meeting, four (4) business days before the adjourned meeting (excluding weekends and public holidays in the UK and the US)). If you are a holder of CDIs and you wish to vote virually at the AGM, please contact the Voting Agent, Computershare Investor Services PLC (contact details for whom are set in the Form of Proxy to be sent by Computershare Investor Services PLC to all holders of CDIs) to obtain a letter of representation to allow you to virtually attend, speak at, and vote at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3"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Can I change my vote or revoke my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shareholder of record</w:t>
      </w:r>
      <w:r>
        <w:rPr>
          <w:rFonts w:ascii="Tahoma;Geneva;sans-serif" w:hAnsi="Tahoma;Geneva;sans-serif"/>
          <w:b w:val="false"/>
          <w:i w:val="false"/>
          <w:caps w:val="false"/>
          <w:smallCaps w:val="false"/>
          <w:color w:val="000000"/>
          <w:spacing w:val="2"/>
          <w:sz w:val="20"/>
        </w:rPr>
        <w:t>, you can change how you wish to instruct the proxy to vote or revoke your proxy at any time before the AGM, by: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7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Delivering a valid, later-dated proxy card prior to the cut-off time for receipt of proxies, in which case your later-submitted proxy will be recorded, and your earlier proxy revoked. Any later-dated proxy card received after the relevant cut-off time will be disregarded;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48260" distB="0" distL="228600" distR="0" simplePos="0" locked="0" layoutInCell="1" allowOverlap="1" relativeHeight="764">
                <wp:simplePos x="0" y="0"/>
                <wp:positionH relativeFrom="column">
                  <wp:align>left</wp:align>
                </wp:positionH>
                <wp:positionV relativeFrom="line">
                  <wp:align>top</wp:align>
                </wp:positionV>
                <wp:extent cx="228600" cy="350520"/>
                <wp:effectExtent l="0" t="0" r="0" b="0"/>
                <wp:wrapSquare wrapText="right"/>
                <wp:docPr id="643" name="Frame4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3.8pt;mso-wrap-distance-bottom:0pt;margin-top:3.8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683"/>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104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4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232" descr=""/>
                          <pic:cNvPicPr>
                            <a:picLocks noChangeAspect="1" noChangeArrowheads="1"/>
                          </pic:cNvPicPr>
                        </pic:nvPicPr>
                        <pic:blipFill>
                          <a:blip r:embed="rId23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45"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233" descr=""/>
                    <pic:cNvPicPr>
                      <a:picLocks noChangeAspect="1" noChangeArrowheads="1"/>
                    </pic:cNvPicPr>
                  </pic:nvPicPr>
                  <pic:blipFill>
                    <a:blip r:embed="rId23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Amending your internet or telephone proxy instruction prior to the cut-off time for receipt of proxies, whereby your original instruction will be superseded. Any amended proxy instruction received after the relevant cut-off time will be disregarded;</w:t>
      </w:r>
      <w:r>
        <w:rPr>
          <w:rFonts w:ascii="Tahoma;Geneva;sans-serif" w:hAnsi="Tahoma;Geneva;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765">
                <wp:simplePos x="0" y="0"/>
                <wp:positionH relativeFrom="column">
                  <wp:align>left</wp:align>
                </wp:positionH>
                <wp:positionV relativeFrom="line">
                  <wp:posOffset>635</wp:posOffset>
                </wp:positionV>
                <wp:extent cx="228600" cy="350520"/>
                <wp:effectExtent l="0" t="0" r="0" b="0"/>
                <wp:wrapSquare wrapText="right"/>
                <wp:docPr id="646" name="Frame4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Sending written notice to the office of the Company Secretary at the Company’s registered office, which must be received at least 24 hours prior to the start of the AGM; or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48260" distB="0" distL="228600" distR="0" simplePos="0" locked="0" layoutInCell="1" allowOverlap="1" relativeHeight="766">
                <wp:simplePos x="0" y="0"/>
                <wp:positionH relativeFrom="column">
                  <wp:align>left</wp:align>
                </wp:positionH>
                <wp:positionV relativeFrom="line">
                  <wp:align>top</wp:align>
                </wp:positionV>
                <wp:extent cx="228600" cy="350520"/>
                <wp:effectExtent l="0" t="0" r="0" b="0"/>
                <wp:wrapSquare wrapText="right"/>
                <wp:docPr id="647" name="Frame4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3.8pt;mso-wrap-distance-bottom:0pt;margin-top:3.8pt;mso-position-vertical:top;mso-position-vertical-relative:text;margin-left:18pt;mso-position-horizontal:left;mso-position-horizontal-relative:text">
                <v:textbox>
                  <w:txbxContent>
                    <w:p>
                      <w:pPr>
                        <w:pStyle w:val="TextBody"/>
                        <w:bidi w:val="0"/>
                        <w:spacing w:lineRule="atLeast" w:line="240" w:before="0" w:after="283"/>
                        <w:jc w:val="both"/>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Voting at the AGM.</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48260" distB="0" distL="228600" distR="0" simplePos="0" locked="0" layoutInCell="1" allowOverlap="1" relativeHeight="767">
                <wp:simplePos x="0" y="0"/>
                <wp:positionH relativeFrom="column">
                  <wp:align>left</wp:align>
                </wp:positionH>
                <wp:positionV relativeFrom="line">
                  <wp:align>top</wp:align>
                </wp:positionV>
                <wp:extent cx="228600" cy="350520"/>
                <wp:effectExtent l="0" t="0" r="0" b="0"/>
                <wp:wrapSquare wrapText="right"/>
                <wp:docPr id="648" name="Frame4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3.8pt;mso-wrap-distance-bottom:0pt;margin-top:3.8pt;mso-position-vertical:top;mso-position-vertical-relative:text;margin-left:18pt;mso-position-horizontal:left;mso-position-horizontal-relative:text">
                <v:textbox>
                  <w:txbxContent>
                    <w:p>
                      <w:pPr>
                        <w:pStyle w:val="TextBody"/>
                        <w:bidi w:val="0"/>
                        <w:spacing w:lineRule="atLeast" w:line="240" w:before="0" w:after="283"/>
                        <w:jc w:val="left"/>
                        <w:rPr/>
                      </w:pPr>
                      <w:r>
                        <w:rPr/>
                        <w:t>•</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beneficial owner of Ordinary Shares</w:t>
      </w:r>
      <w:r>
        <w:rPr>
          <w:rFonts w:ascii="Tahoma;Geneva;sans-serif" w:hAnsi="Tahoma;Geneva;sans-serif"/>
          <w:b w:val="false"/>
          <w:i w:val="false"/>
          <w:caps w:val="false"/>
          <w:smallCaps w:val="false"/>
          <w:color w:val="000000"/>
          <w:spacing w:val="2"/>
          <w:sz w:val="20"/>
        </w:rPr>
        <w:t>, you may submit new proxy appointment instructions by contacting your broker, bank, or other nominee. You may also vote virtually at the AGM if you obtain a legal proxy and register for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8"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CDI holder</w:t>
      </w:r>
      <w:r>
        <w:rPr>
          <w:rFonts w:ascii="Tahoma;Geneva;sans-serif" w:hAnsi="Tahoma;Geneva;sans-serif"/>
          <w:b w:val="false"/>
          <w:i w:val="false"/>
          <w:caps w:val="false"/>
          <w:smallCaps w:val="false"/>
          <w:color w:val="000000"/>
          <w:spacing w:val="2"/>
          <w:sz w:val="20"/>
        </w:rPr>
        <w:t>, you may submit a new Form of Proxy following the instructions previously set out, at any time prior to 3:00 p.m. British Summer Time on June 5,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Ordinary Shares that have been properly voted and not revoked will be counted in the votes held on the resolutions proposed at the AGM. Attending the AGM without taking further action will not automatically revoke your prior proxy.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36"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are “routine” and “non-routine” matters and what are “broker non-votes”?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rules and interpretations of the New York Stock Exchange (which apply to all U.S. brokers pursuant to the rules of the SEC),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are generally considered to be “routine”; accordingly, these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Brokers, banks, or other nominees generally have discretionary voting power with respect to routine matters but not non-routine matters. If you own your Ordinary Shares through a bank, broker or other nominee and you do not provide them with specific voting instructions, the bank, broker, or nominee will be permitted to vote only on routine matters and will submit a “broker non-vote” on non-routine matters.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Broker non-votes will be counted for the purpose of determining whether a quorum is present at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34"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What are the voting requirements to approve the resolutions?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the Articles, all resolutions will be taken on a poll. Voting on a poll means that each share represented in person or by proxy will be counted in the vote. Please see the discussion under each proposal for a detailed explanation of the voting requirement for each proposal.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can vote “for” or “against” a resolution. Each of these votes will have legal effect under English law in that they count as votes cast. An abstention, indicated by electing “abstain” is not a vote under English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3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Why are you holding a virtual meeting instead of a physical meeting?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We are excited to embrace the latest technology to provide expanded access, improved communication and cost savings for our shareholders and the Company. In addition, we believe that hosting a virtual meeting will enable more of our shareholders to attend and participate in the meeting since our shareholders can participate from any location around the world with internet access.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34"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How may I attend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83"/>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49"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234" descr=""/>
                          <pic:cNvPicPr>
                            <a:picLocks noChangeAspect="1" noChangeArrowheads="1"/>
                          </pic:cNvPicPr>
                        </pic:nvPicPr>
                        <pic:blipFill>
                          <a:blip r:embed="rId23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105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5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35" descr=""/>
                    <pic:cNvPicPr>
                      <a:picLocks noChangeAspect="1" noChangeArrowheads="1"/>
                    </pic:cNvPicPr>
                  </pic:nvPicPr>
                  <pic:blipFill>
                    <a:blip r:embed="rId23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You will be able to attend the AGM online and submit your questions during the meeting by visiting </w:t>
      </w:r>
      <w:r>
        <w:rPr>
          <w:rFonts w:ascii="Arial Narrow;Arial;Tahoma;Geneva;sans-serif" w:hAnsi="Arial Narrow;Arial;Tahoma;Geneva;sans-serif"/>
          <w:b/>
          <w:i w:val="false"/>
          <w:caps w:val="false"/>
          <w:smallCaps w:val="false"/>
          <w:color w:val="000000"/>
          <w:spacing w:val="11"/>
          <w:sz w:val="20"/>
        </w:rPr>
        <w:t>www.meetnow.global/</w:t>
      </w:r>
      <w:r>
        <w:rPr>
          <w:rFonts w:ascii="Tahoma;Geneva;sans-serif" w:hAnsi="Tahoma;Geneva;sans-serif"/>
          <w:b w:val="false"/>
          <w:i w:val="false"/>
          <w:caps w:val="false"/>
          <w:smallCaps w:val="false"/>
          <w:color w:val="000000"/>
          <w:sz w:val="20"/>
        </w:rPr>
        <w:t>​</w:t>
      </w:r>
      <w:r>
        <w:rPr>
          <w:rFonts w:ascii="Arial Narrow;Arial;Tahoma;Geneva;sans-serif" w:hAnsi="Arial Narrow;Arial;Tahoma;Geneva;sans-serif"/>
          <w:b/>
          <w:i w:val="false"/>
          <w:caps w:val="false"/>
          <w:smallCaps w:val="false"/>
          <w:color w:val="000000"/>
          <w:spacing w:val="11"/>
          <w:sz w:val="20"/>
        </w:rPr>
        <w:t>MFSFQWM</w:t>
      </w:r>
      <w:r>
        <w:rPr>
          <w:rFonts w:ascii="Tahoma;Geneva;sans-serif" w:hAnsi="Tahoma;Geneva;sans-serif"/>
          <w:b w:val="false"/>
          <w:i w:val="false"/>
          <w:caps w:val="false"/>
          <w:smallCaps w:val="false"/>
          <w:color w:val="000000"/>
          <w:spacing w:val="2"/>
          <w:sz w:val="20"/>
        </w:rPr>
        <w:t>. You also will be able to vote your shares online by attending the AGM by webcast.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participate in the AGM, you will need to review the information included on your Notice, on your proxy card or on the instructions that accompanied your proxy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hold your shares through an intermediary, such as a bank or broker, you must register in advance using the instructions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online meeting will begin promptly at 3:00 pm British Summer Time on June 11, 2025. We encourage you to access the meeting prior to the start time leaving ample time for the check in. Please follow the registration instructions as outlined in this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How do I register to attend the AGM virtually on the internet?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registered shareholder (i.e., you hold your shares through the Company’s transfer agent, Computershare), you do not need to register to attend the AGM. Please follow the instructions on the Notice or proxy card that you received.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hold your shares through an intermediary, such as a bank or broker, you must obtain a legal proxy from your intermediary and then register in advance to attend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register to attend the AGM, you must submit proof of your proxy power (legal proxy) reflecting your LivaNova holdings along with your name and email address to Computershare. Requests for registration must be labeled “Legal Proxy” and be received no later than 5:00 p.m., Eastern Time, on June 6, 2025. Requests for registration should be directed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By email: Forward the email from your broker, or attach an image of your legal proxy, to </w:t>
      </w:r>
      <w:r>
        <w:rPr>
          <w:rFonts w:ascii="Arial Narrow;Arial;Tahoma;Geneva;sans-serif" w:hAnsi="Arial Narrow;Arial;Tahoma;Geneva;sans-serif"/>
          <w:b/>
          <w:i w:val="false"/>
          <w:caps w:val="false"/>
          <w:smallCaps w:val="false"/>
          <w:color w:val="000000"/>
          <w:spacing w:val="11"/>
          <w:sz w:val="20"/>
        </w:rPr>
        <w:t>legalproxy@computershare.com</w:t>
      </w:r>
      <w:r>
        <w:rPr>
          <w:rFonts w:ascii="Tahoma;Geneva;sans-serif" w:hAnsi="Tahoma;Geneva;sans-serif"/>
          <w:b w:val="false"/>
          <w:i w:val="false"/>
          <w:caps w:val="false"/>
          <w:smallCaps w:val="false"/>
          <w:color w:val="000000"/>
          <w:spacing w:val="2"/>
          <w:sz w:val="20"/>
        </w:rPr>
        <w:t xml:space="preserve"> By mail: Computershare LivaNova PLC Legal Proxy PO Box 43001 Providence, RI USA 02940-3001 You will receive a confirmation of your registration by email after the Company receives your registration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22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holder of CDIs and would like to attend, speak and vote at the AGM, please contact the Voting Agent Computershare Investor Services PLC (contact details for whom are set out in the Form of Proxy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 Narrow;Arial;Tahoma;Geneva;sans-serif" w:hAnsi="Arial Narrow;Arial;Tahoma;Geneva;sans-serif"/>
          <w:b/>
          <w:i w:val="false"/>
          <w:caps w:val="false"/>
          <w:smallCaps w:val="false"/>
          <w:color w:val="702076"/>
          <w:sz w:val="20"/>
        </w:rPr>
      </w:pPr>
      <w:r>
        <w:rPr>
          <w:rFonts w:ascii="Arial Narrow;Arial;Tahoma;Geneva;sans-serif" w:hAnsi="Arial Narrow;Arial;Tahoma;Geneva;sans-serif"/>
          <w:b/>
          <w:i w:val="false"/>
          <w:caps w:val="false"/>
          <w:smallCaps w:val="false"/>
          <w:color w:val="702076"/>
          <w:spacing w:val="11"/>
          <w:sz w:val="20"/>
        </w:rPr>
        <w:t>What if I have trouble accessing the AGM virtually?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 wherever they intend to participate in the meeting. We encourage you to access the meeting prior to the start time. A link on the meeting page will provide further assistance should you need it, or you may call 1-888-724-2416.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Tahoma;Geneva;sans-serif" w:hAnsi="Arial;Tahoma;Geneva;sans-serif"/>
          <w:b/>
          <w:i/>
          <w:caps w:val="false"/>
          <w:smallCaps w:val="false"/>
          <w:color w:val="702076"/>
          <w:sz w:val="20"/>
        </w:rPr>
      </w:pPr>
      <w:r>
        <w:rPr>
          <w:rFonts w:ascii="Arial;Tahoma;Geneva;sans-serif" w:hAnsi="Arial;Tahoma;Geneva;sans-serif"/>
          <w:b/>
          <w:i/>
          <w:caps w:val="false"/>
          <w:smallCaps w:val="false"/>
          <w:color w:val="702076"/>
          <w:spacing w:val="-5"/>
          <w:sz w:val="20"/>
        </w:rPr>
        <w:t>May I ask questions at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5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were a shareholder on the Record Date and have the right to attend the AGM, you may ask questions relevant to the meeting at the AGM. There will be a space to enter your questions online and, subject to meeting rules, a response will be provided verbally for all to hear. The Company also commits to posting answers to relevant questions presented at the AGM on the Investor page of our website,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after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683"/>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106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5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236" descr=""/>
                          <pic:cNvPicPr>
                            <a:picLocks noChangeAspect="1" noChangeArrowheads="1"/>
                          </pic:cNvPicPr>
                        </pic:nvPicPr>
                        <pic:blipFill>
                          <a:blip r:embed="rId23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AGM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52"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37" descr=""/>
                    <pic:cNvPicPr>
                      <a:picLocks noChangeAspect="1" noChangeArrowheads="1"/>
                    </pic:cNvPicPr>
                  </pic:nvPicPr>
                  <pic:blipFill>
                    <a:blip r:embed="rId23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tbl>
      <w:tblPr>
        <w:tblW w:w="4010" w:type="dxa"/>
        <w:jc w:val="left"/>
        <w:tblInd w:w="1173" w:type="dxa"/>
        <w:tblLayout w:type="fixed"/>
        <w:tblCellMar>
          <w:top w:w="0" w:type="dxa"/>
          <w:left w:w="0" w:type="dxa"/>
          <w:bottom w:w="0" w:type="dxa"/>
          <w:right w:w="0" w:type="dxa"/>
        </w:tblCellMar>
      </w:tblPr>
      <w:tblGrid>
        <w:gridCol w:w="124"/>
        <w:gridCol w:w="3732"/>
        <w:gridCol w:w="154"/>
      </w:tblGrid>
      <w:tr>
        <w:trPr/>
        <w:tc>
          <w:tcPr>
            <w:tcW w:w="124" w:type="dxa"/>
            <w:tcBorders/>
            <w:shd w:fill="702076" w:val="clear"/>
            <w:vAlign w:val="center"/>
          </w:tcPr>
          <w:p>
            <w:pPr>
              <w:pStyle w:val="TableContents"/>
              <w:bidi w:val="0"/>
              <w:spacing w:before="0" w:after="283"/>
              <w:jc w:val="left"/>
              <w:rPr/>
            </w:pPr>
            <w:r>
              <w:rPr/>
              <w:t>​</w:t>
            </w:r>
          </w:p>
        </w:tc>
        <w:tc>
          <w:tcPr>
            <w:tcW w:w="3732" w:type="dxa"/>
            <w:tcBorders/>
            <w:shd w:fill="702076" w:val="clear"/>
            <w:vAlign w:val="center"/>
          </w:tcPr>
          <w:p>
            <w:pPr>
              <w:pStyle w:val="TableContents"/>
              <w:bidi w:val="0"/>
              <w:spacing w:lineRule="atLeast" w:line="240" w:before="0" w:after="0"/>
              <w:jc w:val="center"/>
              <w:rPr/>
            </w:pPr>
            <w:r>
              <w:rPr>
                <w:spacing w:val="14"/>
              </w:rPr>
              <w:t>ADDITIONAL INFORMATION</w:t>
            </w:r>
            <w:r>
              <w:rPr/>
              <w:t xml:space="preserve">​ </w:t>
            </w:r>
          </w:p>
        </w:tc>
        <w:tc>
          <w:tcPr>
            <w:tcW w:w="154" w:type="dxa"/>
            <w:tcBorders/>
            <w:shd w:fill="702076"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For additional information, please contact </w:t>
      </w:r>
      <w:r>
        <w:rPr>
          <w:rFonts w:ascii="Arial Narrow;Arial;Tahoma;Geneva;sans-serif" w:hAnsi="Arial Narrow;Arial;Tahoma;Geneva;sans-serif"/>
          <w:b/>
          <w:i w:val="false"/>
          <w:caps w:val="false"/>
          <w:smallCaps w:val="false"/>
          <w:color w:val="000000"/>
          <w:spacing w:val="11"/>
          <w:sz w:val="20"/>
        </w:rPr>
        <w:t>company.secretariat@livanova.com</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Other Business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329"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83"/>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53"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238" descr=""/>
                          <pic:cNvPicPr>
                            <a:picLocks noChangeAspect="1" noChangeArrowheads="1"/>
                          </pic:cNvPicPr>
                        </pic:nvPicPr>
                        <pic:blipFill>
                          <a:blip r:embed="rId23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107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APA"/>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5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39" descr=""/>
                    <pic:cNvPicPr>
                      <a:picLocks noChangeAspect="1" noChangeArrowheads="1"/>
                    </pic:cNvPicPr>
                  </pic:nvPicPr>
                  <pic:blipFill>
                    <a:blip r:embed="rId24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5500"/>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34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A</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center"/>
        <w:rPr>
          <w:rFonts w:ascii="Arial Narrow;Arial;Tahoma;Geneva;sans-serif" w:hAnsi="Arial Narrow;Arial;Tahoma;Geneva;sans-serif"/>
          <w:b/>
          <w:i w:val="false"/>
          <w:caps w:val="false"/>
          <w:smallCaps w:val="false"/>
          <w:color w:val="000000"/>
          <w:spacing w:val="11"/>
          <w:sz w:val="20"/>
        </w:rPr>
      </w:pPr>
      <w:r>
        <w:rPr>
          <w:rFonts w:ascii="Arial Narrow;Arial;Tahoma;Geneva;sans-serif" w:hAnsi="Arial Narrow;Arial;Tahoma;Geneva;sans-serif"/>
          <w:b/>
          <w:i w:val="false"/>
          <w:caps w:val="false"/>
          <w:smallCaps w:val="false"/>
          <w:color w:val="000000"/>
          <w:spacing w:val="11"/>
          <w:sz w:val="20"/>
        </w:rPr>
        <w:t xml:space="preserve">SECOND AMENDED AND RESTATED LIVANOVA PLC </w:t>
        <w:br/>
        <w:t xml:space="preserve">2022 INCENTIVE AWARD PLAN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55"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240" descr=""/>
                          <pic:cNvPicPr>
                            <a:picLocks noChangeAspect="1" noChangeArrowheads="1"/>
                          </pic:cNvPicPr>
                        </pic:nvPicPr>
                        <pic:blipFill>
                          <a:blip r:embed="rId24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56"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41" descr=""/>
                    <pic:cNvPicPr>
                      <a:picLocks noChangeAspect="1" noChangeArrowheads="1"/>
                    </pic:cNvPicPr>
                  </pic:nvPicPr>
                  <pic:blipFill>
                    <a:blip r:embed="rId24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SECOND AMENDED AND RESTATED LIVANOVA PLC </w:t>
        <w:br/>
        <w:t>2022 INCENTIVE AWARD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4" w:after="283"/>
        <w:jc w:val="center"/>
        <w:rPr>
          <w:rFonts w:ascii="Tahoma;Geneva;sans-serif" w:hAnsi="Tahoma;Geneva;sans-serif"/>
          <w:b w:val="false"/>
          <w:i/>
          <w:caps w:val="false"/>
          <w:smallCaps w:val="false"/>
          <w:color w:val="000000"/>
          <w:sz w:val="20"/>
        </w:rPr>
      </w:pP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caps w:val="false"/>
          <w:smallCaps w:val="false"/>
          <w:color w:val="000000"/>
          <w:sz w:val="20"/>
        </w:rPr>
        <w:t xml:space="preserve">Adopted by the Board of Directors of LivaNova PLC on April 23, 2025, conditional on shareholder </w:t>
        <w:br/>
        <w:t>approval.) (Approved by the shareholders of LivaNova PLC on [June 11, 2025].</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purpose of the Second Amended and Restated LivaNova PLC 2022 Incentive Award Plan (as it may be amended or restated from time to time, the “</w:t>
      </w:r>
      <w:r>
        <w:rPr>
          <w:rFonts w:ascii="Tahoma;Geneva;sans-serif" w:hAnsi="Tahoma;Geneva;sans-serif"/>
          <w:b w:val="false"/>
          <w:i w:val="false"/>
          <w:caps w:val="false"/>
          <w:smallCaps w:val="false"/>
          <w:color w:val="000000"/>
          <w:spacing w:val="2"/>
          <w:sz w:val="20"/>
          <w:u w:val="single"/>
        </w:rPr>
        <w:t>Plan</w:t>
      </w:r>
      <w:r>
        <w:rPr>
          <w:rFonts w:ascii="Tahoma;Geneva;sans-serif" w:hAnsi="Tahoma;Geneva;sans-serif"/>
          <w:b w:val="false"/>
          <w:i w:val="false"/>
          <w:caps w:val="false"/>
          <w:smallCaps w:val="false"/>
          <w:color w:val="000000"/>
          <w:spacing w:val="2"/>
          <w:sz w:val="20"/>
        </w:rPr>
        <w:t>”) is to promote the success and enhance the value of LivaNova PLC, a public limited company incorporated under the laws of England and Wales (the “</w:t>
      </w:r>
      <w:r>
        <w:rPr>
          <w:rFonts w:ascii="Tahoma;Geneva;sans-serif" w:hAnsi="Tahoma;Geneva;sans-serif"/>
          <w:b w:val="false"/>
          <w:i w:val="false"/>
          <w:caps w:val="false"/>
          <w:smallCaps w:val="false"/>
          <w:color w:val="000000"/>
          <w:spacing w:val="2"/>
          <w:sz w:val="20"/>
          <w:u w:val="single"/>
        </w:rPr>
        <w:t>Company</w:t>
      </w:r>
      <w:r>
        <w:rPr>
          <w:rFonts w:ascii="Tahoma;Geneva;sans-serif" w:hAnsi="Tahoma;Geneva;sans-serif"/>
          <w:b w:val="false"/>
          <w:i w:val="false"/>
          <w:caps w:val="false"/>
          <w:smallCaps w:val="false"/>
          <w:color w:val="000000"/>
          <w:spacing w:val="2"/>
          <w:sz w:val="20"/>
        </w:rPr>
        <w:t xml:space="preserve">”), by linking the individual interests of the Employees to those of Company shareholders and by providing Employees with an incentive to drive value creation for the Company shareholders. The Plan is further intended to provide flexibility to the Company in its ability to motivate, attract, and retain the services of Employees upon whose judgment, interest, and special effort the successful conduct of the Company’s operation is largely dependent.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2.</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DEFINITIONS AND CONSTRUCTION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Wherever the following terms are used in the Plan they shall have the meanings specified below, unless the context clearly indicates otherwise. The singular pronoun shall include the plural where the context so indicates.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      “</w:t>
      </w:r>
      <w:r>
        <w:rPr>
          <w:rFonts w:ascii="Tahoma;Geneva;sans-serif" w:hAnsi="Tahoma;Geneva;sans-serif"/>
          <w:b w:val="false"/>
          <w:i w:val="false"/>
          <w:caps w:val="false"/>
          <w:smallCaps w:val="false"/>
          <w:color w:val="000000"/>
          <w:spacing w:val="2"/>
          <w:sz w:val="20"/>
          <w:u w:val="single"/>
        </w:rPr>
        <w:t>Administrator</w:t>
      </w:r>
      <w:r>
        <w:rPr>
          <w:rFonts w:ascii="Tahoma;Geneva;sans-serif" w:hAnsi="Tahoma;Geneva;sans-serif"/>
          <w:b w:val="false"/>
          <w:i w:val="false"/>
          <w:caps w:val="false"/>
          <w:smallCaps w:val="false"/>
          <w:color w:val="000000"/>
          <w:spacing w:val="2"/>
          <w:sz w:val="20"/>
        </w:rPr>
        <w:t>” shall mean the entity that conducts the general administration of the Plan as provided in Article 11. With reference to the duties of the Committee under the Plan which have been delegated to one or more persons pursuant to Section 11.6, or as to which the Board has assumed, the term “Administrator” shall refer to such person(s) unless the Committee or the Board has revoked such delegation or the Board has terminated the assumption of such duties.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      “</w:t>
      </w:r>
      <w:r>
        <w:rPr>
          <w:rFonts w:ascii="Tahoma;Geneva;sans-serif" w:hAnsi="Tahoma;Geneva;sans-serif"/>
          <w:b w:val="false"/>
          <w:i w:val="false"/>
          <w:caps w:val="false"/>
          <w:smallCaps w:val="false"/>
          <w:color w:val="000000"/>
          <w:spacing w:val="2"/>
          <w:sz w:val="20"/>
          <w:u w:val="single"/>
        </w:rPr>
        <w:t>Applicable Accounting Standards</w:t>
      </w:r>
      <w:r>
        <w:rPr>
          <w:rFonts w:ascii="Tahoma;Geneva;sans-serif" w:hAnsi="Tahoma;Geneva;sans-serif"/>
          <w:b w:val="false"/>
          <w:i w:val="false"/>
          <w:caps w:val="false"/>
          <w:smallCaps w:val="false"/>
          <w:color w:val="000000"/>
          <w:spacing w:val="2"/>
          <w:sz w:val="20"/>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      “</w:t>
      </w:r>
      <w:r>
        <w:rPr>
          <w:rFonts w:ascii="Tahoma;Geneva;sans-serif" w:hAnsi="Tahoma;Geneva;sans-serif"/>
          <w:b w:val="false"/>
          <w:i w:val="false"/>
          <w:caps w:val="false"/>
          <w:smallCaps w:val="false"/>
          <w:color w:val="000000"/>
          <w:spacing w:val="2"/>
          <w:sz w:val="20"/>
          <w:u w:val="single"/>
        </w:rPr>
        <w:t>Applicable Law</w:t>
      </w:r>
      <w:r>
        <w:rPr>
          <w:rFonts w:ascii="Tahoma;Geneva;sans-serif" w:hAnsi="Tahoma;Geneva;sans-serif"/>
          <w:b w:val="false"/>
          <w:i w:val="false"/>
          <w:caps w:val="false"/>
          <w:smallCaps w:val="false"/>
          <w:color w:val="000000"/>
          <w:spacing w:val="2"/>
          <w:sz w:val="20"/>
        </w:rPr>
        <w:t xml:space="preserve">”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England and Wales, the United States or any other jurisdiction; and (c) rules of any securities exchange or automated quotation system on which the Shares are listed, quoted or traded.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      “</w:t>
      </w:r>
      <w:r>
        <w:rPr>
          <w:rFonts w:ascii="Tahoma;Geneva;sans-serif" w:hAnsi="Tahoma;Geneva;sans-serif"/>
          <w:b w:val="false"/>
          <w:i w:val="false"/>
          <w:caps w:val="false"/>
          <w:smallCaps w:val="false"/>
          <w:color w:val="000000"/>
          <w:spacing w:val="2"/>
          <w:sz w:val="20"/>
          <w:u w:val="single"/>
        </w:rPr>
        <w:t>Automatic Exercise Date</w:t>
      </w:r>
      <w:r>
        <w:rPr>
          <w:rFonts w:ascii="Tahoma;Geneva;sans-serif" w:hAnsi="Tahoma;Geneva;sans-serif"/>
          <w:b w:val="false"/>
          <w:i w:val="false"/>
          <w:caps w:val="false"/>
          <w:smallCaps w:val="false"/>
          <w:color w:val="000000"/>
          <w:spacing w:val="2"/>
          <w:sz w:val="20"/>
        </w:rPr>
        <w:t>” shall mean, with respect to an Option or a Stock Appreciation Right, the last business day of the applicable Option Term or SAR Term that was initially established by the Administrator for such Option or Stock Appreciation Right (</w:t>
      </w:r>
      <w:r>
        <w:rPr>
          <w:rFonts w:ascii="Tahoma;Geneva;sans-serif" w:hAnsi="Tahoma;Geneva;sans-serif"/>
          <w:b w:val="false"/>
          <w:i/>
          <w:caps w:val="false"/>
          <w:smallCaps w:val="false"/>
          <w:color w:val="000000"/>
          <w:sz w:val="20"/>
        </w:rPr>
        <w:t>e.g.</w:t>
      </w:r>
      <w:r>
        <w:rPr>
          <w:rFonts w:ascii="Tahoma;Geneva;sans-serif" w:hAnsi="Tahoma;Geneva;sans-serif"/>
          <w:b w:val="false"/>
          <w:i w:val="false"/>
          <w:caps w:val="false"/>
          <w:smallCaps w:val="false"/>
          <w:color w:val="000000"/>
          <w:spacing w:val="2"/>
          <w:sz w:val="20"/>
        </w:rPr>
        <w:t>, the last business day prior to the tenth anniversary of the date of grant of such Option or Stock Appreciation Right if the Option or Stock Appreciation Right initially had a ten-year Option Term or SAR Term, as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      “</w:t>
      </w:r>
      <w:r>
        <w:rPr>
          <w:rFonts w:ascii="Tahoma;Geneva;sans-serif" w:hAnsi="Tahoma;Geneva;sans-serif"/>
          <w:b w:val="false"/>
          <w:i w:val="false"/>
          <w:caps w:val="false"/>
          <w:smallCaps w:val="false"/>
          <w:color w:val="000000"/>
          <w:spacing w:val="2"/>
          <w:sz w:val="20"/>
          <w:u w:val="single"/>
        </w:rPr>
        <w:t>Award</w:t>
      </w:r>
      <w:r>
        <w:rPr>
          <w:rFonts w:ascii="Tahoma;Geneva;sans-serif" w:hAnsi="Tahoma;Geneva;sans-serif"/>
          <w:b w:val="false"/>
          <w:i w:val="false"/>
          <w:caps w:val="false"/>
          <w:smallCaps w:val="false"/>
          <w:color w:val="000000"/>
          <w:spacing w:val="2"/>
          <w:sz w:val="20"/>
        </w:rPr>
        <w:t>” shall mean an Option, Stock Appreciation Right, Restricted Stock, Restricted Stock Unit, Other Stock or Cash Based Award or a Dividend Equivalent award, which may be awarded or granted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2.6      “</w:t>
      </w:r>
      <w:r>
        <w:rPr>
          <w:rFonts w:ascii="Tahoma;Geneva;sans-serif" w:hAnsi="Tahoma;Geneva;sans-serif"/>
          <w:b w:val="false"/>
          <w:i w:val="false"/>
          <w:caps w:val="false"/>
          <w:smallCaps w:val="false"/>
          <w:color w:val="000000"/>
          <w:spacing w:val="2"/>
          <w:sz w:val="20"/>
          <w:u w:val="single"/>
        </w:rPr>
        <w:t>Award Agreement</w:t>
      </w:r>
      <w:r>
        <w:rPr>
          <w:rFonts w:ascii="Tahoma;Geneva;sans-serif" w:hAnsi="Tahoma;Geneva;sans-serif"/>
          <w:b w:val="false"/>
          <w:i w:val="false"/>
          <w:caps w:val="false"/>
          <w:smallCaps w:val="false"/>
          <w:color w:val="000000"/>
          <w:spacing w:val="2"/>
          <w:sz w:val="20"/>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57"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242" descr=""/>
                          <pic:cNvPicPr>
                            <a:picLocks noChangeAspect="1" noChangeArrowheads="1"/>
                          </pic:cNvPicPr>
                        </pic:nvPicPr>
                        <pic:blipFill>
                          <a:blip r:embed="rId24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58"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243" descr=""/>
                    <pic:cNvPicPr>
                      <a:picLocks noChangeAspect="1" noChangeArrowheads="1"/>
                    </pic:cNvPicPr>
                  </pic:nvPicPr>
                  <pic:blipFill>
                    <a:blip r:embed="rId24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2.7      “</w:t>
      </w:r>
      <w:r>
        <w:rPr>
          <w:rFonts w:ascii="Tahoma;Geneva;sans-serif" w:hAnsi="Tahoma;Geneva;sans-serif"/>
          <w:b w:val="false"/>
          <w:i w:val="false"/>
          <w:caps w:val="false"/>
          <w:smallCaps w:val="false"/>
          <w:color w:val="000000"/>
          <w:spacing w:val="2"/>
          <w:sz w:val="20"/>
          <w:u w:val="single"/>
        </w:rPr>
        <w:t>Award Limit</w:t>
      </w:r>
      <w:r>
        <w:rPr>
          <w:rFonts w:ascii="Tahoma;Geneva;sans-serif" w:hAnsi="Tahoma;Geneva;sans-serif"/>
          <w:b w:val="false"/>
          <w:i w:val="false"/>
          <w:caps w:val="false"/>
          <w:smallCaps w:val="false"/>
          <w:color w:val="000000"/>
          <w:spacing w:val="2"/>
          <w:sz w:val="20"/>
        </w:rPr>
        <w:t>” shall mean with respect to Awards that shall be payable in Shares or in cash, as the case may be, the respective limit set forth in Section 3.2.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2.8      “</w:t>
      </w:r>
      <w:r>
        <w:rPr>
          <w:rFonts w:ascii="Tahoma;Geneva;sans-serif" w:hAnsi="Tahoma;Geneva;sans-serif"/>
          <w:b w:val="false"/>
          <w:i w:val="false"/>
          <w:caps w:val="false"/>
          <w:smallCaps w:val="false"/>
          <w:color w:val="000000"/>
          <w:spacing w:val="2"/>
          <w:sz w:val="20"/>
          <w:u w:val="single"/>
        </w:rPr>
        <w:t>Board</w:t>
      </w:r>
      <w:r>
        <w:rPr>
          <w:rFonts w:ascii="Tahoma;Geneva;sans-serif" w:hAnsi="Tahoma;Geneva;sans-serif"/>
          <w:b w:val="false"/>
          <w:i w:val="false"/>
          <w:caps w:val="false"/>
          <w:smallCaps w:val="false"/>
          <w:color w:val="000000"/>
          <w:spacing w:val="2"/>
          <w:sz w:val="20"/>
        </w:rPr>
        <w:t>” shall mean the Board of Directors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2.9      “</w:t>
      </w:r>
      <w:r>
        <w:rPr>
          <w:rFonts w:ascii="Tahoma;Geneva;sans-serif" w:hAnsi="Tahoma;Geneva;sans-serif"/>
          <w:b w:val="false"/>
          <w:i w:val="false"/>
          <w:caps w:val="false"/>
          <w:smallCaps w:val="false"/>
          <w:color w:val="000000"/>
          <w:spacing w:val="2"/>
          <w:sz w:val="20"/>
          <w:u w:val="single"/>
        </w:rPr>
        <w:t>Change in Control</w:t>
      </w:r>
      <w:r>
        <w:rPr>
          <w:rFonts w:ascii="Tahoma;Geneva;sans-serif" w:hAnsi="Tahoma;Geneva;sans-serif"/>
          <w:b w:val="false"/>
          <w:i w:val="false"/>
          <w:caps w:val="false"/>
          <w:smallCaps w:val="false"/>
          <w:color w:val="000000"/>
          <w:spacing w:val="2"/>
          <w:sz w:val="20"/>
        </w:rPr>
        <w:t>” shall mean: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 Sale;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 Takeover.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Administrator shall have full and final authority, which shall be exercised in its sole discretion, to determine conclusively whether a Change in Control has occurred, the date of the occurrence of such Change in Control and any incidental matters relating thereto.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Holder who is subject to Section 409A by reason of such Change in Control unless the circumstances giving rise to such Change in Control constitutes a “change in control event” as defined in Treasury Regulation Section 1.409A-3(i)(5). If this provision prevents the payment or distribution of any amount, such payment or distribution shall be made on the next earliest payment or distribution date or event specified in the Plan that is permissible under Section 409A.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2.10      “</w:t>
      </w:r>
      <w:r>
        <w:rPr>
          <w:rFonts w:ascii="Tahoma;Geneva;sans-serif" w:hAnsi="Tahoma;Geneva;sans-serif"/>
          <w:b w:val="false"/>
          <w:i w:val="false"/>
          <w:caps w:val="false"/>
          <w:smallCaps w:val="false"/>
          <w:color w:val="000000"/>
          <w:spacing w:val="2"/>
          <w:sz w:val="20"/>
          <w:u w:val="single"/>
        </w:rPr>
        <w:t>Code</w:t>
      </w:r>
      <w:r>
        <w:rPr>
          <w:rFonts w:ascii="Tahoma;Geneva;sans-serif" w:hAnsi="Tahoma;Geneva;sans-serif"/>
          <w:b w:val="false"/>
          <w:i w:val="false"/>
          <w:caps w:val="false"/>
          <w:smallCaps w:val="false"/>
          <w:color w:val="000000"/>
          <w:spacing w:val="2"/>
          <w:sz w:val="20"/>
        </w:rPr>
        <w:t>” shall mean the Internal Revenue Code of 1986, as amended from time to time, together with the regulations and official guidance promulgated thereunder, whether issued prior or subsequent to the grant of any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2.11      “</w:t>
      </w:r>
      <w:r>
        <w:rPr>
          <w:rFonts w:ascii="Tahoma;Geneva;sans-serif" w:hAnsi="Tahoma;Geneva;sans-serif"/>
          <w:b w:val="false"/>
          <w:i w:val="false"/>
          <w:caps w:val="false"/>
          <w:smallCaps w:val="false"/>
          <w:color w:val="000000"/>
          <w:spacing w:val="2"/>
          <w:sz w:val="20"/>
          <w:u w:val="single"/>
        </w:rPr>
        <w:t>Committee</w:t>
      </w:r>
      <w:r>
        <w:rPr>
          <w:rFonts w:ascii="Tahoma;Geneva;sans-serif" w:hAnsi="Tahoma;Geneva;sans-serif"/>
          <w:b w:val="false"/>
          <w:i w:val="false"/>
          <w:caps w:val="false"/>
          <w:smallCaps w:val="false"/>
          <w:color w:val="000000"/>
          <w:spacing w:val="2"/>
          <w:sz w:val="20"/>
        </w:rPr>
        <w:t>” shall mean the Compensation and Human Capital Management Committee of the Board, or another committee or subcommittee of the Board or the Compensation and Human Capital Management Committee of the Board described in Article 11 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2.12      “</w:t>
      </w:r>
      <w:r>
        <w:rPr>
          <w:rFonts w:ascii="Tahoma;Geneva;sans-serif" w:hAnsi="Tahoma;Geneva;sans-serif"/>
          <w:b w:val="false"/>
          <w:i w:val="false"/>
          <w:caps w:val="false"/>
          <w:smallCaps w:val="false"/>
          <w:color w:val="000000"/>
          <w:spacing w:val="2"/>
          <w:sz w:val="20"/>
          <w:u w:val="single"/>
        </w:rPr>
        <w:t>Company</w:t>
      </w:r>
      <w:r>
        <w:rPr>
          <w:rFonts w:ascii="Tahoma;Geneva;sans-serif" w:hAnsi="Tahoma;Geneva;sans-serif"/>
          <w:b w:val="false"/>
          <w:i w:val="false"/>
          <w:caps w:val="false"/>
          <w:smallCaps w:val="false"/>
          <w:color w:val="000000"/>
          <w:spacing w:val="2"/>
          <w:sz w:val="20"/>
        </w:rPr>
        <w:t>” shall have the meaning set forth in Article 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2.13      “</w:t>
      </w:r>
      <w:r>
        <w:rPr>
          <w:rFonts w:ascii="Tahoma;Geneva;sans-serif" w:hAnsi="Tahoma;Geneva;sans-serif"/>
          <w:b w:val="false"/>
          <w:i w:val="false"/>
          <w:caps w:val="false"/>
          <w:smallCaps w:val="false"/>
          <w:color w:val="000000"/>
          <w:spacing w:val="2"/>
          <w:sz w:val="20"/>
          <w:u w:val="single"/>
        </w:rPr>
        <w:t>Consultant</w:t>
      </w:r>
      <w:r>
        <w:rPr>
          <w:rFonts w:ascii="Tahoma;Geneva;sans-serif" w:hAnsi="Tahoma;Geneva;sans-serif"/>
          <w:b w:val="false"/>
          <w:i w:val="false"/>
          <w:caps w:val="false"/>
          <w:smallCaps w:val="false"/>
          <w:color w:val="000000"/>
          <w:spacing w:val="2"/>
          <w:sz w:val="20"/>
        </w:rPr>
        <w:t>” shall mean any consultant or adviser engaged to provide services to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2.14      “</w:t>
      </w:r>
      <w:r>
        <w:rPr>
          <w:rFonts w:ascii="Tahoma;Geneva;sans-serif" w:hAnsi="Tahoma;Geneva;sans-serif"/>
          <w:b w:val="false"/>
          <w:i w:val="false"/>
          <w:caps w:val="false"/>
          <w:smallCaps w:val="false"/>
          <w:color w:val="000000"/>
          <w:spacing w:val="2"/>
          <w:sz w:val="20"/>
          <w:u w:val="single"/>
        </w:rPr>
        <w:t>Control</w:t>
      </w:r>
      <w:r>
        <w:rPr>
          <w:rFonts w:ascii="Tahoma;Geneva;sans-serif" w:hAnsi="Tahoma;Geneva;sans-serif"/>
          <w:b w:val="false"/>
          <w:i w:val="false"/>
          <w:caps w:val="false"/>
          <w:smallCaps w:val="false"/>
          <w:color w:val="000000"/>
          <w:spacing w:val="2"/>
          <w:sz w:val="20"/>
        </w:rPr>
        <w:t>” shall have the meaning given in section 995(2) of the Income Tax Act 2007, unless otherwise specified.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2.15      “</w:t>
      </w:r>
      <w:r>
        <w:rPr>
          <w:rFonts w:ascii="Tahoma;Geneva;sans-serif" w:hAnsi="Tahoma;Geneva;sans-serif"/>
          <w:b w:val="false"/>
          <w:i w:val="false"/>
          <w:caps w:val="false"/>
          <w:smallCaps w:val="false"/>
          <w:color w:val="000000"/>
          <w:spacing w:val="2"/>
          <w:sz w:val="20"/>
          <w:u w:val="single"/>
        </w:rPr>
        <w:t>Director</w:t>
      </w:r>
      <w:r>
        <w:rPr>
          <w:rFonts w:ascii="Tahoma;Geneva;sans-serif" w:hAnsi="Tahoma;Geneva;sans-serif"/>
          <w:b w:val="false"/>
          <w:i w:val="false"/>
          <w:caps w:val="false"/>
          <w:smallCaps w:val="false"/>
          <w:color w:val="000000"/>
          <w:spacing w:val="2"/>
          <w:sz w:val="20"/>
        </w:rPr>
        <w:t>” shall mean a member of the Board, as constituted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2.16      “</w:t>
      </w:r>
      <w:r>
        <w:rPr>
          <w:rFonts w:ascii="Tahoma;Geneva;sans-serif" w:hAnsi="Tahoma;Geneva;sans-serif"/>
          <w:b w:val="false"/>
          <w:i w:val="false"/>
          <w:caps w:val="false"/>
          <w:smallCaps w:val="false"/>
          <w:color w:val="000000"/>
          <w:spacing w:val="2"/>
          <w:sz w:val="20"/>
          <w:u w:val="single"/>
        </w:rPr>
        <w:t>Dividend Equivalent</w:t>
      </w:r>
      <w:r>
        <w:rPr>
          <w:rFonts w:ascii="Tahoma;Geneva;sans-serif" w:hAnsi="Tahoma;Geneva;sans-serif"/>
          <w:b w:val="false"/>
          <w:i w:val="false"/>
          <w:caps w:val="false"/>
          <w:smallCaps w:val="false"/>
          <w:color w:val="000000"/>
          <w:spacing w:val="2"/>
          <w:sz w:val="20"/>
        </w:rPr>
        <w:t>” shall mean a right to receive the equivalent value (in cash or Shares) of dividends paid on Shares, awarded under Section 9.2.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2.17      “</w:t>
      </w:r>
      <w:r>
        <w:rPr>
          <w:rFonts w:ascii="Tahoma;Geneva;sans-serif" w:hAnsi="Tahoma;Geneva;sans-serif"/>
          <w:b w:val="false"/>
          <w:i w:val="false"/>
          <w:caps w:val="false"/>
          <w:smallCaps w:val="false"/>
          <w:color w:val="000000"/>
          <w:spacing w:val="2"/>
          <w:sz w:val="20"/>
          <w:u w:val="single"/>
        </w:rPr>
        <w:t>DRO</w:t>
      </w:r>
      <w:r>
        <w:rPr>
          <w:rFonts w:ascii="Tahoma;Geneva;sans-serif" w:hAnsi="Tahoma;Geneva;sans-serif"/>
          <w:b w:val="false"/>
          <w:i w:val="false"/>
          <w:caps w:val="false"/>
          <w:smallCaps w:val="false"/>
          <w:color w:val="000000"/>
          <w:spacing w:val="2"/>
          <w:sz w:val="20"/>
        </w:rPr>
        <w:t>” shall mean a “domestic relations order” as defined by the Code or Title I of the Employee Retirement Income Security Act of 1974, as amended from time to time, or the rules thereunder.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2.18      “</w:t>
      </w:r>
      <w:r>
        <w:rPr>
          <w:rFonts w:ascii="Tahoma;Geneva;sans-serif" w:hAnsi="Tahoma;Geneva;sans-serif"/>
          <w:b w:val="false"/>
          <w:i w:val="false"/>
          <w:caps w:val="false"/>
          <w:smallCaps w:val="false"/>
          <w:color w:val="000000"/>
          <w:spacing w:val="2"/>
          <w:sz w:val="20"/>
          <w:u w:val="single"/>
        </w:rPr>
        <w:t>Effective Date</w:t>
      </w:r>
      <w:r>
        <w:rPr>
          <w:rFonts w:ascii="Tahoma;Geneva;sans-serif" w:hAnsi="Tahoma;Geneva;sans-serif"/>
          <w:b w:val="false"/>
          <w:i w:val="false"/>
          <w:caps w:val="false"/>
          <w:smallCaps w:val="false"/>
          <w:color w:val="000000"/>
          <w:spacing w:val="2"/>
          <w:sz w:val="20"/>
        </w:rPr>
        <w:t>” shall mean June 11, 2025, corresponding to the date on which the Plan (as most recently amended and restated) was approved by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2.19      “</w:t>
      </w:r>
      <w:r>
        <w:rPr>
          <w:rFonts w:ascii="Tahoma;Geneva;sans-serif" w:hAnsi="Tahoma;Geneva;sans-serif"/>
          <w:b w:val="false"/>
          <w:i w:val="false"/>
          <w:caps w:val="false"/>
          <w:smallCaps w:val="false"/>
          <w:color w:val="000000"/>
          <w:spacing w:val="2"/>
          <w:sz w:val="20"/>
          <w:u w:val="single"/>
        </w:rPr>
        <w:t>Eligible Individual</w:t>
      </w:r>
      <w:r>
        <w:rPr>
          <w:rFonts w:ascii="Tahoma;Geneva;sans-serif" w:hAnsi="Tahoma;Geneva;sans-serif"/>
          <w:b w:val="false"/>
          <w:i w:val="false"/>
          <w:caps w:val="false"/>
          <w:smallCaps w:val="false"/>
          <w:color w:val="000000"/>
          <w:spacing w:val="2"/>
          <w:sz w:val="20"/>
        </w:rPr>
        <w:t>” shall mean any person who is an Employee, as determined by the Administrator. For the avoidance of doubt, no person who is a Consultant or a Non-Executive Director can qualify as an Eligible Individual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2.20      “</w:t>
      </w:r>
      <w:r>
        <w:rPr>
          <w:rFonts w:ascii="Tahoma;Geneva;sans-serif" w:hAnsi="Tahoma;Geneva;sans-serif"/>
          <w:b w:val="false"/>
          <w:i w:val="false"/>
          <w:caps w:val="false"/>
          <w:smallCaps w:val="false"/>
          <w:color w:val="000000"/>
          <w:spacing w:val="2"/>
          <w:sz w:val="20"/>
          <w:u w:val="single"/>
        </w:rPr>
        <w:t>Employee</w:t>
      </w:r>
      <w:r>
        <w:rPr>
          <w:rFonts w:ascii="Tahoma;Geneva;sans-serif" w:hAnsi="Tahoma;Geneva;sans-serif"/>
          <w:b w:val="false"/>
          <w:i w:val="false"/>
          <w:caps w:val="false"/>
          <w:smallCaps w:val="false"/>
          <w:color w:val="000000"/>
          <w:spacing w:val="2"/>
          <w:sz w:val="20"/>
        </w:rPr>
        <w:t>” shall mean any person who is an employee of the Company or of any Subsidiary, including any employee who is also a director or officeholder of the Company or of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2.21      “</w:t>
      </w:r>
      <w:r>
        <w:rPr>
          <w:rFonts w:ascii="Tahoma;Geneva;sans-serif" w:hAnsi="Tahoma;Geneva;sans-serif"/>
          <w:b w:val="false"/>
          <w:i w:val="false"/>
          <w:caps w:val="false"/>
          <w:smallCaps w:val="false"/>
          <w:color w:val="000000"/>
          <w:spacing w:val="2"/>
          <w:sz w:val="20"/>
          <w:u w:val="single"/>
        </w:rPr>
        <w:t>Employer</w:t>
      </w:r>
      <w:r>
        <w:rPr>
          <w:rFonts w:ascii="Tahoma;Geneva;sans-serif" w:hAnsi="Tahoma;Geneva;sans-serif"/>
          <w:b w:val="false"/>
          <w:i w:val="false"/>
          <w:caps w:val="false"/>
          <w:smallCaps w:val="false"/>
          <w:color w:val="000000"/>
          <w:spacing w:val="2"/>
          <w:sz w:val="20"/>
        </w:rPr>
        <w:t>” shall have the meaning set forth in Section 10.2.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59"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244" descr=""/>
                          <pic:cNvPicPr>
                            <a:picLocks noChangeAspect="1" noChangeArrowheads="1"/>
                          </pic:cNvPicPr>
                        </pic:nvPicPr>
                        <pic:blipFill>
                          <a:blip r:embed="rId24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60"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245" descr=""/>
                    <pic:cNvPicPr>
                      <a:picLocks noChangeAspect="1" noChangeArrowheads="1"/>
                    </pic:cNvPicPr>
                  </pic:nvPicPr>
                  <pic:blipFill>
                    <a:blip r:embed="rId24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2.22      “</w:t>
      </w:r>
      <w:r>
        <w:rPr>
          <w:rFonts w:ascii="Tahoma;Geneva;sans-serif" w:hAnsi="Tahoma;Geneva;sans-serif"/>
          <w:b w:val="false"/>
          <w:i w:val="false"/>
          <w:caps w:val="false"/>
          <w:smallCaps w:val="false"/>
          <w:color w:val="000000"/>
          <w:spacing w:val="2"/>
          <w:sz w:val="20"/>
          <w:u w:val="single"/>
        </w:rPr>
        <w:t>Equity Restructuring</w:t>
      </w:r>
      <w:r>
        <w:rPr>
          <w:rFonts w:ascii="Tahoma;Geneva;sans-serif" w:hAnsi="Tahoma;Geneva;sans-serif"/>
          <w:b w:val="false"/>
          <w:i w:val="false"/>
          <w:caps w:val="false"/>
          <w:smallCaps w:val="false"/>
          <w:color w:val="000000"/>
          <w:spacing w:val="2"/>
          <w:sz w:val="20"/>
        </w:rPr>
        <w:t>”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2.23      “</w:t>
      </w:r>
      <w:r>
        <w:rPr>
          <w:rFonts w:ascii="Tahoma;Geneva;sans-serif" w:hAnsi="Tahoma;Geneva;sans-serif"/>
          <w:b w:val="false"/>
          <w:i w:val="false"/>
          <w:caps w:val="false"/>
          <w:smallCaps w:val="false"/>
          <w:color w:val="000000"/>
          <w:spacing w:val="2"/>
          <w:sz w:val="20"/>
          <w:u w:val="single"/>
        </w:rPr>
        <w:t>Exchange Act</w:t>
      </w:r>
      <w:r>
        <w:rPr>
          <w:rFonts w:ascii="Tahoma;Geneva;sans-serif" w:hAnsi="Tahoma;Geneva;sans-serif"/>
          <w:b w:val="false"/>
          <w:i w:val="false"/>
          <w:caps w:val="false"/>
          <w:smallCaps w:val="false"/>
          <w:color w:val="000000"/>
          <w:spacing w:val="2"/>
          <w:sz w:val="20"/>
        </w:rPr>
        <w:t>” shall mean the Securities Exchange Act of 1934, as amended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2.24      “</w:t>
      </w:r>
      <w:r>
        <w:rPr>
          <w:rFonts w:ascii="Tahoma;Geneva;sans-serif" w:hAnsi="Tahoma;Geneva;sans-serif"/>
          <w:b w:val="false"/>
          <w:i w:val="false"/>
          <w:caps w:val="false"/>
          <w:smallCaps w:val="false"/>
          <w:color w:val="000000"/>
          <w:spacing w:val="2"/>
          <w:sz w:val="20"/>
          <w:u w:val="single"/>
        </w:rPr>
        <w:t>Expiration Date</w:t>
      </w:r>
      <w:r>
        <w:rPr>
          <w:rFonts w:ascii="Tahoma;Geneva;sans-serif" w:hAnsi="Tahoma;Geneva;sans-serif"/>
          <w:b w:val="false"/>
          <w:i w:val="false"/>
          <w:caps w:val="false"/>
          <w:smallCaps w:val="false"/>
          <w:color w:val="000000"/>
          <w:spacing w:val="2"/>
          <w:sz w:val="20"/>
        </w:rPr>
        <w:t>” shall have the meaning given to such term in Section 12.1(c).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2.25      “</w:t>
      </w:r>
      <w:r>
        <w:rPr>
          <w:rFonts w:ascii="Tahoma;Geneva;sans-serif" w:hAnsi="Tahoma;Geneva;sans-serif"/>
          <w:b w:val="false"/>
          <w:i w:val="false"/>
          <w:caps w:val="false"/>
          <w:smallCaps w:val="false"/>
          <w:color w:val="000000"/>
          <w:spacing w:val="2"/>
          <w:sz w:val="20"/>
          <w:u w:val="single"/>
        </w:rPr>
        <w:t>Fair Market Value</w:t>
      </w:r>
      <w:r>
        <w:rPr>
          <w:rFonts w:ascii="Tahoma;Geneva;sans-serif" w:hAnsi="Tahoma;Geneva;sans-serif"/>
          <w:b w:val="false"/>
          <w:i w:val="false"/>
          <w:caps w:val="false"/>
          <w:smallCaps w:val="false"/>
          <w:color w:val="000000"/>
          <w:spacing w:val="2"/>
          <w:sz w:val="20"/>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Tahoma;Geneva;sans-serif" w:hAnsi="Tahoma;Geneva;sans-serif"/>
          <w:b w:val="false"/>
          <w:i/>
          <w:caps w:val="false"/>
          <w:smallCaps w:val="false"/>
          <w:color w:val="000000"/>
          <w:sz w:val="20"/>
        </w:rPr>
        <w:t>The Wall Street Journal</w:t>
      </w:r>
      <w:r>
        <w:rPr>
          <w:rFonts w:ascii="Tahoma;Geneva;sans-serif" w:hAnsi="Tahoma;Geneva;sans-serif"/>
          <w:b w:val="false"/>
          <w:i w:val="false"/>
          <w:caps w:val="false"/>
          <w:smallCaps w:val="false"/>
          <w:color w:val="000000"/>
          <w:spacing w:val="2"/>
          <w:sz w:val="20"/>
        </w:rPr>
        <w:t xml:space="preserve"> or such other source as the Administrator deems reliable.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2.26      “</w:t>
      </w:r>
      <w:r>
        <w:rPr>
          <w:rFonts w:ascii="Tahoma;Geneva;sans-serif" w:hAnsi="Tahoma;Geneva;sans-serif"/>
          <w:b w:val="false"/>
          <w:i w:val="false"/>
          <w:caps w:val="false"/>
          <w:smallCaps w:val="false"/>
          <w:color w:val="000000"/>
          <w:spacing w:val="2"/>
          <w:sz w:val="20"/>
          <w:u w:val="single"/>
        </w:rPr>
        <w:t>Greater Than 10% Shareholder</w:t>
      </w:r>
      <w:r>
        <w:rPr>
          <w:rFonts w:ascii="Tahoma;Geneva;sans-serif" w:hAnsi="Tahoma;Geneva;sans-serif"/>
          <w:b w:val="false"/>
          <w:i w:val="false"/>
          <w:caps w:val="false"/>
          <w:smallCaps w:val="false"/>
          <w:color w:val="000000"/>
          <w:spacing w:val="2"/>
          <w:sz w:val="20"/>
        </w:rPr>
        <w:t>” shall mean an individual then owning (within the meaning of Section 424(d) of the Code) more than 10% of the total combined voting power of all classes of shares of the Company or any subsidiary corporation (as defined in Section 424(f) of the Code) or parent corporation thereof (as defined in Section 424(e)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2.27      “</w:t>
      </w:r>
      <w:r>
        <w:rPr>
          <w:rFonts w:ascii="Tahoma;Geneva;sans-serif" w:hAnsi="Tahoma;Geneva;sans-serif"/>
          <w:b w:val="false"/>
          <w:i w:val="false"/>
          <w:caps w:val="false"/>
          <w:smallCaps w:val="false"/>
          <w:color w:val="000000"/>
          <w:spacing w:val="2"/>
          <w:sz w:val="20"/>
          <w:u w:val="single"/>
        </w:rPr>
        <w:t>Holder</w:t>
      </w:r>
      <w:r>
        <w:rPr>
          <w:rFonts w:ascii="Tahoma;Geneva;sans-serif" w:hAnsi="Tahoma;Geneva;sans-serif"/>
          <w:b w:val="false"/>
          <w:i w:val="false"/>
          <w:caps w:val="false"/>
          <w:smallCaps w:val="false"/>
          <w:color w:val="000000"/>
          <w:spacing w:val="2"/>
          <w:sz w:val="20"/>
        </w:rPr>
        <w:t>” shall mean a person who has been granted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2.28      “</w:t>
      </w:r>
      <w:r>
        <w:rPr>
          <w:rFonts w:ascii="Tahoma;Geneva;sans-serif" w:hAnsi="Tahoma;Geneva;sans-serif"/>
          <w:b w:val="false"/>
          <w:i w:val="false"/>
          <w:caps w:val="false"/>
          <w:smallCaps w:val="false"/>
          <w:color w:val="000000"/>
          <w:spacing w:val="2"/>
          <w:sz w:val="20"/>
          <w:u w:val="single"/>
        </w:rPr>
        <w:t>Incentive Stock Option</w:t>
      </w:r>
      <w:r>
        <w:rPr>
          <w:rFonts w:ascii="Tahoma;Geneva;sans-serif" w:hAnsi="Tahoma;Geneva;sans-serif"/>
          <w:b w:val="false"/>
          <w:i w:val="false"/>
          <w:caps w:val="false"/>
          <w:smallCaps w:val="false"/>
          <w:color w:val="000000"/>
          <w:spacing w:val="2"/>
          <w:sz w:val="20"/>
        </w:rPr>
        <w:t>” shall mean an Option that is intended to qualify as an incentive stock option and conforms to the applicable provisions of Section 422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2.29      “</w:t>
      </w:r>
      <w:r>
        <w:rPr>
          <w:rFonts w:ascii="Tahoma;Geneva;sans-serif" w:hAnsi="Tahoma;Geneva;sans-serif"/>
          <w:b w:val="false"/>
          <w:i w:val="false"/>
          <w:caps w:val="false"/>
          <w:smallCaps w:val="false"/>
          <w:color w:val="000000"/>
          <w:spacing w:val="2"/>
          <w:sz w:val="20"/>
          <w:u w:val="single"/>
        </w:rPr>
        <w:t>Non-Executive Director</w:t>
      </w:r>
      <w:r>
        <w:rPr>
          <w:rFonts w:ascii="Tahoma;Geneva;sans-serif" w:hAnsi="Tahoma;Geneva;sans-serif"/>
          <w:b w:val="false"/>
          <w:i w:val="false"/>
          <w:caps w:val="false"/>
          <w:smallCaps w:val="false"/>
          <w:color w:val="000000"/>
          <w:spacing w:val="2"/>
          <w:sz w:val="20"/>
        </w:rPr>
        <w:t>” shall mean a Director of the Company who is not an Employee.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2.30      “</w:t>
      </w:r>
      <w:r>
        <w:rPr>
          <w:rFonts w:ascii="Tahoma;Geneva;sans-serif" w:hAnsi="Tahoma;Geneva;sans-serif"/>
          <w:b w:val="false"/>
          <w:i w:val="false"/>
          <w:caps w:val="false"/>
          <w:smallCaps w:val="false"/>
          <w:color w:val="000000"/>
          <w:spacing w:val="2"/>
          <w:sz w:val="20"/>
          <w:u w:val="single"/>
        </w:rPr>
        <w:t>Non-Qualified Stock Option</w:t>
      </w:r>
      <w:r>
        <w:rPr>
          <w:rFonts w:ascii="Tahoma;Geneva;sans-serif" w:hAnsi="Tahoma;Geneva;sans-serif"/>
          <w:b w:val="false"/>
          <w:i w:val="false"/>
          <w:caps w:val="false"/>
          <w:smallCaps w:val="false"/>
          <w:color w:val="000000"/>
          <w:spacing w:val="2"/>
          <w:sz w:val="20"/>
        </w:rPr>
        <w:t>” shall mean an Option that is not an Incentive Stock Option or which is designated as an Incentive Stock Option but does not meet the applicable requirements of Section 422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2.31      “</w:t>
      </w:r>
      <w:r>
        <w:rPr>
          <w:rFonts w:ascii="Tahoma;Geneva;sans-serif" w:hAnsi="Tahoma;Geneva;sans-serif"/>
          <w:b w:val="false"/>
          <w:i w:val="false"/>
          <w:caps w:val="false"/>
          <w:smallCaps w:val="false"/>
          <w:color w:val="000000"/>
          <w:spacing w:val="2"/>
          <w:sz w:val="20"/>
          <w:u w:val="single"/>
        </w:rPr>
        <w:t>Option</w:t>
      </w:r>
      <w:r>
        <w:rPr>
          <w:rFonts w:ascii="Tahoma;Geneva;sans-serif" w:hAnsi="Tahoma;Geneva;sans-serif"/>
          <w:b w:val="false"/>
          <w:i w:val="false"/>
          <w:caps w:val="false"/>
          <w:smallCaps w:val="false"/>
          <w:color w:val="000000"/>
          <w:spacing w:val="2"/>
          <w:sz w:val="20"/>
        </w:rPr>
        <w:t>” shall mean a right to purchase Shares at a specified exercise price, granted under Article 5. An Option shall be either a Non-Qualified Stock Option or an Incentive Stock Option.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2.32      “</w:t>
      </w:r>
      <w:r>
        <w:rPr>
          <w:rFonts w:ascii="Tahoma;Geneva;sans-serif" w:hAnsi="Tahoma;Geneva;sans-serif"/>
          <w:b w:val="false"/>
          <w:i w:val="false"/>
          <w:caps w:val="false"/>
          <w:smallCaps w:val="false"/>
          <w:color w:val="000000"/>
          <w:spacing w:val="2"/>
          <w:sz w:val="20"/>
          <w:u w:val="single"/>
        </w:rPr>
        <w:t>Option Term</w:t>
      </w:r>
      <w:r>
        <w:rPr>
          <w:rFonts w:ascii="Tahoma;Geneva;sans-serif" w:hAnsi="Tahoma;Geneva;sans-serif"/>
          <w:b w:val="false"/>
          <w:i w:val="false"/>
          <w:caps w:val="false"/>
          <w:smallCaps w:val="false"/>
          <w:color w:val="000000"/>
          <w:spacing w:val="2"/>
          <w:sz w:val="20"/>
        </w:rPr>
        <w:t>” shall have the meaning set forth in Section 5.4.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2.33      “</w:t>
      </w:r>
      <w:r>
        <w:rPr>
          <w:rFonts w:ascii="Tahoma;Geneva;sans-serif" w:hAnsi="Tahoma;Geneva;sans-serif"/>
          <w:b w:val="false"/>
          <w:i w:val="false"/>
          <w:caps w:val="false"/>
          <w:smallCaps w:val="false"/>
          <w:color w:val="000000"/>
          <w:spacing w:val="2"/>
          <w:sz w:val="20"/>
          <w:u w:val="single"/>
        </w:rPr>
        <w:t>Organizational Documents</w:t>
      </w:r>
      <w:r>
        <w:rPr>
          <w:rFonts w:ascii="Tahoma;Geneva;sans-serif" w:hAnsi="Tahoma;Geneva;sans-serif"/>
          <w:b w:val="false"/>
          <w:i w:val="false"/>
          <w:caps w:val="false"/>
          <w:smallCaps w:val="false"/>
          <w:color w:val="000000"/>
          <w:spacing w:val="2"/>
          <w:sz w:val="20"/>
        </w:rPr>
        <w:t>” shall mean, collectively: (a) the Company’s memorandum and articles of association; and (b) the Committee’s charter or other similar organizational documentation relating to the creation and governance of the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2.34      “</w:t>
      </w:r>
      <w:r>
        <w:rPr>
          <w:rFonts w:ascii="Tahoma;Geneva;sans-serif" w:hAnsi="Tahoma;Geneva;sans-serif"/>
          <w:b w:val="false"/>
          <w:i w:val="false"/>
          <w:caps w:val="false"/>
          <w:smallCaps w:val="false"/>
          <w:color w:val="000000"/>
          <w:spacing w:val="2"/>
          <w:sz w:val="20"/>
          <w:u w:val="single"/>
        </w:rPr>
        <w:t>Other Stock or Cash Based Award</w:t>
      </w:r>
      <w:r>
        <w:rPr>
          <w:rFonts w:ascii="Tahoma;Geneva;sans-serif" w:hAnsi="Tahoma;Geneva;sans-serif"/>
          <w:b w:val="false"/>
          <w:i w:val="false"/>
          <w:caps w:val="false"/>
          <w:smallCaps w:val="false"/>
          <w:color w:val="000000"/>
          <w:spacing w:val="2"/>
          <w:sz w:val="20"/>
        </w:rPr>
        <w:t>” shall mean a cash bonus award, stock bonus award, performance award or incentive award that is paid in cash, Shares or a combination of both, awarded under Section 9.1, which may include, without limitation, deferred stock, deferred stock units, stock payments and performance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2.35      “</w:t>
      </w:r>
      <w:r>
        <w:rPr>
          <w:rFonts w:ascii="Tahoma;Geneva;sans-serif" w:hAnsi="Tahoma;Geneva;sans-serif"/>
          <w:b w:val="false"/>
          <w:i w:val="false"/>
          <w:caps w:val="false"/>
          <w:smallCaps w:val="false"/>
          <w:color w:val="000000"/>
          <w:spacing w:val="2"/>
          <w:sz w:val="20"/>
          <w:u w:val="single"/>
        </w:rPr>
        <w:t>Performance Criteria</w:t>
      </w:r>
      <w:r>
        <w:rPr>
          <w:rFonts w:ascii="Tahoma;Geneva;sans-serif" w:hAnsi="Tahoma;Geneva;sans-serif"/>
          <w:b w:val="false"/>
          <w:i w:val="false"/>
          <w:caps w:val="false"/>
          <w:smallCaps w:val="false"/>
          <w:color w:val="000000"/>
          <w:spacing w:val="2"/>
          <w:sz w:val="20"/>
        </w:rPr>
        <w:t>” shall mean the criteria (and adjustments) that the Administrator selects for an Award for purposes of establishing the Performance Goal or Performance Goals for a Performance Period, determined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      The Performance Criteria that shall be used to establish Performance Goals include without limitation: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shareholders’ equity; (x) total shareholder return or total shareholder return relative to peers; (xi) return on sales; (xii) gross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6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246" descr=""/>
                          <pic:cNvPicPr>
                            <a:picLocks noChangeAspect="1" noChangeArrowheads="1"/>
                          </pic:cNvPicPr>
                        </pic:nvPicPr>
                        <pic:blipFill>
                          <a:blip r:embed="rId24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6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247" descr=""/>
                    <pic:cNvPicPr>
                      <a:picLocks noChangeAspect="1" noChangeArrowheads="1"/>
                    </pic:cNvPicPr>
                  </pic:nvPicPr>
                  <pic:blipFill>
                    <a:blip r:embed="rId24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or study milestones; (xxi) market share; (xxii) economic value; (xxiii) productivity; (xxiv) operating efficiency; (xxv) economic value-added; (xxvi) cash flow return on capital; (xxvii) return on net assets; (xxviii); funds from operations; (xxix) funds available for distributions; (xxx) sales and sales unit volume; (xxxi) licensing revenue; (xxxii) brand recognition and acceptance; (xxxiii) inventory turns or cycle time; (xxxiv) market penetration and geographic business expansion; (xxxv) customer satisfaction/ growth; (xxxvi) customer service; (xxxvi) employee satisfaction; (xxxvii) recruitment and maintenance of personnel; (xxxviii) human resources management; (xxxix) 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 (l) marketing initiatives, (li) environmental, social or governance metrics, any of which may be measured either in absolute terms or as compared to any incremental increase or decrease or as compared to results of a peer group or to market performance indicators or indices.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dividend in specie, sub-division of shares, consolidation of shares, or exchange of shares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initiative; (xx) items relating to foreign exchange or currency transactions and/or fluctuations; or (xxi) items relating to any other unusual or nonrecurring events or changes in Applicable Law, Applicable Accounting Standards or business conditions.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2.36      “</w:t>
      </w:r>
      <w:r>
        <w:rPr>
          <w:rFonts w:ascii="Tahoma;Geneva;sans-serif" w:hAnsi="Tahoma;Geneva;sans-serif"/>
          <w:b w:val="false"/>
          <w:i w:val="false"/>
          <w:caps w:val="false"/>
          <w:smallCaps w:val="false"/>
          <w:color w:val="000000"/>
          <w:spacing w:val="2"/>
          <w:sz w:val="20"/>
          <w:u w:val="single"/>
        </w:rPr>
        <w:t>Performance Goals</w:t>
      </w:r>
      <w:r>
        <w:rPr>
          <w:rFonts w:ascii="Tahoma;Geneva;sans-serif" w:hAnsi="Tahoma;Geneva;sans-serif"/>
          <w:b w:val="false"/>
          <w:i w:val="false"/>
          <w:caps w:val="false"/>
          <w:smallCaps w:val="false"/>
          <w:color w:val="000000"/>
          <w:spacing w:val="2"/>
          <w:sz w:val="20"/>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2.37      “</w:t>
      </w:r>
      <w:r>
        <w:rPr>
          <w:rFonts w:ascii="Tahoma;Geneva;sans-serif" w:hAnsi="Tahoma;Geneva;sans-serif"/>
          <w:b w:val="false"/>
          <w:i w:val="false"/>
          <w:caps w:val="false"/>
          <w:smallCaps w:val="false"/>
          <w:color w:val="000000"/>
          <w:spacing w:val="2"/>
          <w:sz w:val="20"/>
          <w:u w:val="single"/>
        </w:rPr>
        <w:t>Performance Period</w:t>
      </w:r>
      <w:r>
        <w:rPr>
          <w:rFonts w:ascii="Tahoma;Geneva;sans-serif" w:hAnsi="Tahoma;Geneva;sans-serif"/>
          <w:b w:val="false"/>
          <w:i w:val="false"/>
          <w:caps w:val="false"/>
          <w:smallCaps w:val="false"/>
          <w:color w:val="000000"/>
          <w:spacing w:val="2"/>
          <w:sz w:val="20"/>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2.38      “</w:t>
      </w:r>
      <w:r>
        <w:rPr>
          <w:rFonts w:ascii="Tahoma;Geneva;sans-serif" w:hAnsi="Tahoma;Geneva;sans-serif"/>
          <w:b w:val="false"/>
          <w:i w:val="false"/>
          <w:caps w:val="false"/>
          <w:smallCaps w:val="false"/>
          <w:color w:val="000000"/>
          <w:spacing w:val="2"/>
          <w:sz w:val="20"/>
          <w:u w:val="single"/>
        </w:rPr>
        <w:t>Permitted Transferee</w:t>
      </w:r>
      <w:r>
        <w:rPr>
          <w:rFonts w:ascii="Tahoma;Geneva;sans-serif" w:hAnsi="Tahoma;Geneva;sans-serif"/>
          <w:b w:val="false"/>
          <w:i w:val="false"/>
          <w:caps w:val="false"/>
          <w:smallCaps w:val="false"/>
          <w:color w:val="000000"/>
          <w:spacing w:val="2"/>
          <w:sz w:val="20"/>
        </w:rPr>
        <w:t xml:space="preserve">” shall mean, with respect to a Holder, any “family member” of the Holder, as defined in the General Instructions to Form S-8 Registration Statement under the Securities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63"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248" descr=""/>
                          <pic:cNvPicPr>
                            <a:picLocks noChangeAspect="1" noChangeArrowheads="1"/>
                          </pic:cNvPicPr>
                        </pic:nvPicPr>
                        <pic:blipFill>
                          <a:blip r:embed="rId24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64"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249" descr=""/>
                    <pic:cNvPicPr>
                      <a:picLocks noChangeAspect="1" noChangeArrowheads="1"/>
                    </pic:cNvPicPr>
                  </pic:nvPicPr>
                  <pic:blipFill>
                    <a:blip r:embed="rId25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Act (or any successor form thereto), or any other transferee specifically approved by the Administrator after taking into account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2.39      “</w:t>
      </w:r>
      <w:r>
        <w:rPr>
          <w:rFonts w:ascii="Tahoma;Geneva;sans-serif" w:hAnsi="Tahoma;Geneva;sans-serif"/>
          <w:b w:val="false"/>
          <w:i w:val="false"/>
          <w:caps w:val="false"/>
          <w:smallCaps w:val="false"/>
          <w:color w:val="000000"/>
          <w:spacing w:val="2"/>
          <w:sz w:val="20"/>
          <w:u w:val="single"/>
        </w:rPr>
        <w:t>Plan</w:t>
      </w:r>
      <w:r>
        <w:rPr>
          <w:rFonts w:ascii="Tahoma;Geneva;sans-serif" w:hAnsi="Tahoma;Geneva;sans-serif"/>
          <w:b w:val="false"/>
          <w:i w:val="false"/>
          <w:caps w:val="false"/>
          <w:smallCaps w:val="false"/>
          <w:color w:val="000000"/>
          <w:spacing w:val="2"/>
          <w:sz w:val="20"/>
        </w:rPr>
        <w:t>” shall have the meaning set forth in Article 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2.40      “</w:t>
      </w:r>
      <w:r>
        <w:rPr>
          <w:rFonts w:ascii="Tahoma;Geneva;sans-serif" w:hAnsi="Tahoma;Geneva;sans-serif"/>
          <w:b w:val="false"/>
          <w:i w:val="false"/>
          <w:caps w:val="false"/>
          <w:smallCaps w:val="false"/>
          <w:color w:val="000000"/>
          <w:spacing w:val="2"/>
          <w:sz w:val="20"/>
          <w:u w:val="single"/>
        </w:rPr>
        <w:t>Program</w:t>
      </w:r>
      <w:r>
        <w:rPr>
          <w:rFonts w:ascii="Tahoma;Geneva;sans-serif" w:hAnsi="Tahoma;Geneva;sans-serif"/>
          <w:b w:val="false"/>
          <w:i w:val="false"/>
          <w:caps w:val="false"/>
          <w:smallCaps w:val="false"/>
          <w:color w:val="000000"/>
          <w:spacing w:val="2"/>
          <w:sz w:val="20"/>
        </w:rPr>
        <w:t>” shall mean any program adopted by the Administrator pursuant to the Plan containing the terms and conditions intended to govern a specified type of Award granted under the Plan and pursuant to which such type of Award may be granted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2.41      “</w:t>
      </w:r>
      <w:r>
        <w:rPr>
          <w:rFonts w:ascii="Tahoma;Geneva;sans-serif" w:hAnsi="Tahoma;Geneva;sans-serif"/>
          <w:b w:val="false"/>
          <w:i w:val="false"/>
          <w:caps w:val="false"/>
          <w:smallCaps w:val="false"/>
          <w:color w:val="000000"/>
          <w:spacing w:val="2"/>
          <w:sz w:val="20"/>
          <w:u w:val="single"/>
        </w:rPr>
        <w:t>Restricted Stock</w:t>
      </w:r>
      <w:r>
        <w:rPr>
          <w:rFonts w:ascii="Tahoma;Geneva;sans-serif" w:hAnsi="Tahoma;Geneva;sans-serif"/>
          <w:b w:val="false"/>
          <w:i w:val="false"/>
          <w:caps w:val="false"/>
          <w:smallCaps w:val="false"/>
          <w:color w:val="000000"/>
          <w:spacing w:val="2"/>
          <w:sz w:val="20"/>
        </w:rPr>
        <w:t>” shall mean Shares awarded under Article 7 that are subject to certain restrictions and may be subject to risk of forfeiture or repurchase.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2.42      “</w:t>
      </w:r>
      <w:r>
        <w:rPr>
          <w:rFonts w:ascii="Tahoma;Geneva;sans-serif" w:hAnsi="Tahoma;Geneva;sans-serif"/>
          <w:b w:val="false"/>
          <w:i w:val="false"/>
          <w:caps w:val="false"/>
          <w:smallCaps w:val="false"/>
          <w:color w:val="000000"/>
          <w:spacing w:val="2"/>
          <w:sz w:val="20"/>
          <w:u w:val="single"/>
        </w:rPr>
        <w:t>Restricted Stock Units</w:t>
      </w:r>
      <w:r>
        <w:rPr>
          <w:rFonts w:ascii="Tahoma;Geneva;sans-serif" w:hAnsi="Tahoma;Geneva;sans-serif"/>
          <w:b w:val="false"/>
          <w:i w:val="false"/>
          <w:caps w:val="false"/>
          <w:smallCaps w:val="false"/>
          <w:color w:val="000000"/>
          <w:spacing w:val="2"/>
          <w:sz w:val="20"/>
        </w:rPr>
        <w:t>” shall mean the right to receive Shares awarded under Article 8.</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2.43      “</w:t>
      </w:r>
      <w:r>
        <w:rPr>
          <w:rFonts w:ascii="Tahoma;Geneva;sans-serif" w:hAnsi="Tahoma;Geneva;sans-serif"/>
          <w:b w:val="false"/>
          <w:i w:val="false"/>
          <w:caps w:val="false"/>
          <w:smallCaps w:val="false"/>
          <w:color w:val="000000"/>
          <w:spacing w:val="2"/>
          <w:sz w:val="20"/>
          <w:u w:val="single"/>
        </w:rPr>
        <w:t>Sale</w:t>
      </w:r>
      <w:r>
        <w:rPr>
          <w:rFonts w:ascii="Tahoma;Geneva;sans-serif" w:hAnsi="Tahoma;Geneva;sans-serif"/>
          <w:b w:val="false"/>
          <w:i w:val="false"/>
          <w:caps w:val="false"/>
          <w:smallCaps w:val="false"/>
          <w:color w:val="000000"/>
          <w:spacing w:val="2"/>
          <w:sz w:val="20"/>
        </w:rPr>
        <w:t>” shall mean the sale of all or substantially all of the assets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2.44      “</w:t>
      </w:r>
      <w:r>
        <w:rPr>
          <w:rFonts w:ascii="Tahoma;Geneva;sans-serif" w:hAnsi="Tahoma;Geneva;sans-serif"/>
          <w:b w:val="false"/>
          <w:i w:val="false"/>
          <w:caps w:val="false"/>
          <w:smallCaps w:val="false"/>
          <w:color w:val="000000"/>
          <w:spacing w:val="2"/>
          <w:sz w:val="20"/>
          <w:u w:val="single"/>
        </w:rPr>
        <w:t>SAR Term</w:t>
      </w:r>
      <w:r>
        <w:rPr>
          <w:rFonts w:ascii="Tahoma;Geneva;sans-serif" w:hAnsi="Tahoma;Geneva;sans-serif"/>
          <w:b w:val="false"/>
          <w:i w:val="false"/>
          <w:caps w:val="false"/>
          <w:smallCaps w:val="false"/>
          <w:color w:val="000000"/>
          <w:spacing w:val="2"/>
          <w:sz w:val="20"/>
        </w:rPr>
        <w:t>” shall have the meaning set forth in Section 5.4.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2.45      “</w:t>
      </w:r>
      <w:r>
        <w:rPr>
          <w:rFonts w:ascii="Tahoma;Geneva;sans-serif" w:hAnsi="Tahoma;Geneva;sans-serif"/>
          <w:b w:val="false"/>
          <w:i w:val="false"/>
          <w:caps w:val="false"/>
          <w:smallCaps w:val="false"/>
          <w:color w:val="000000"/>
          <w:spacing w:val="2"/>
          <w:sz w:val="20"/>
          <w:u w:val="single"/>
        </w:rPr>
        <w:t>Section 409A</w:t>
      </w:r>
      <w:r>
        <w:rPr>
          <w:rFonts w:ascii="Tahoma;Geneva;sans-serif" w:hAnsi="Tahoma;Geneva;sans-serif"/>
          <w:b w:val="false"/>
          <w:i w:val="false"/>
          <w:caps w:val="false"/>
          <w:smallCaps w:val="false"/>
          <w:color w:val="000000"/>
          <w:spacing w:val="2"/>
          <w:sz w:val="20"/>
        </w:rPr>
        <w:t>” shall mean Section 409A of the Code and the Department of Treasury regulations and other interpretive guidance issued thereunder, including, without limitation, any such regulations or other guidance that may be issued after the Effective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2.46      “</w:t>
      </w:r>
      <w:r>
        <w:rPr>
          <w:rFonts w:ascii="Tahoma;Geneva;sans-serif" w:hAnsi="Tahoma;Geneva;sans-serif"/>
          <w:b w:val="false"/>
          <w:i w:val="false"/>
          <w:caps w:val="false"/>
          <w:smallCaps w:val="false"/>
          <w:color w:val="000000"/>
          <w:spacing w:val="2"/>
          <w:sz w:val="20"/>
          <w:u w:val="single"/>
        </w:rPr>
        <w:t>Securities Act</w:t>
      </w:r>
      <w:r>
        <w:rPr>
          <w:rFonts w:ascii="Tahoma;Geneva;sans-serif" w:hAnsi="Tahoma;Geneva;sans-serif"/>
          <w:b w:val="false"/>
          <w:i w:val="false"/>
          <w:caps w:val="false"/>
          <w:smallCaps w:val="false"/>
          <w:color w:val="000000"/>
          <w:spacing w:val="2"/>
          <w:sz w:val="20"/>
        </w:rPr>
        <w:t>” shall mean the Securities Act of 1933, as amended.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2.47      “</w:t>
      </w:r>
      <w:r>
        <w:rPr>
          <w:rFonts w:ascii="Tahoma;Geneva;sans-serif" w:hAnsi="Tahoma;Geneva;sans-serif"/>
          <w:b w:val="false"/>
          <w:i w:val="false"/>
          <w:caps w:val="false"/>
          <w:smallCaps w:val="false"/>
          <w:color w:val="000000"/>
          <w:spacing w:val="2"/>
          <w:sz w:val="20"/>
          <w:u w:val="single"/>
        </w:rPr>
        <w:t>Shares</w:t>
      </w:r>
      <w:r>
        <w:rPr>
          <w:rFonts w:ascii="Tahoma;Geneva;sans-serif" w:hAnsi="Tahoma;Geneva;sans-serif"/>
          <w:b w:val="false"/>
          <w:i w:val="false"/>
          <w:caps w:val="false"/>
          <w:smallCaps w:val="false"/>
          <w:color w:val="000000"/>
          <w:spacing w:val="2"/>
          <w:sz w:val="20"/>
        </w:rPr>
        <w:t>” shall mean ordinary shares in the capital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2.48      “</w:t>
      </w:r>
      <w:r>
        <w:rPr>
          <w:rFonts w:ascii="Tahoma;Geneva;sans-serif" w:hAnsi="Tahoma;Geneva;sans-serif"/>
          <w:b w:val="false"/>
          <w:i w:val="false"/>
          <w:caps w:val="false"/>
          <w:smallCaps w:val="false"/>
          <w:color w:val="000000"/>
          <w:spacing w:val="2"/>
          <w:sz w:val="20"/>
          <w:u w:val="single"/>
        </w:rPr>
        <w:t>Stock Appreciation Right</w:t>
      </w:r>
      <w:r>
        <w:rPr>
          <w:rFonts w:ascii="Tahoma;Geneva;sans-serif" w:hAnsi="Tahoma;Geneva;sans-serif"/>
          <w:b w:val="false"/>
          <w:i w:val="false"/>
          <w:caps w:val="false"/>
          <w:smallCaps w:val="false"/>
          <w:color w:val="000000"/>
          <w:spacing w:val="2"/>
          <w:sz w:val="20"/>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2.49      “</w:t>
      </w:r>
      <w:r>
        <w:rPr>
          <w:rFonts w:ascii="Tahoma;Geneva;sans-serif" w:hAnsi="Tahoma;Geneva;sans-serif"/>
          <w:b w:val="false"/>
          <w:i w:val="false"/>
          <w:caps w:val="false"/>
          <w:smallCaps w:val="false"/>
          <w:color w:val="000000"/>
          <w:spacing w:val="2"/>
          <w:sz w:val="20"/>
          <w:u w:val="single"/>
        </w:rPr>
        <w:t>Subsidiary</w:t>
      </w:r>
      <w:r>
        <w:rPr>
          <w:rFonts w:ascii="Tahoma;Geneva;sans-serif" w:hAnsi="Tahoma;Geneva;sans-serif"/>
          <w:b w:val="false"/>
          <w:i w:val="false"/>
          <w:caps w:val="false"/>
          <w:smallCaps w:val="false"/>
          <w:color w:val="000000"/>
          <w:spacing w:val="2"/>
          <w:sz w:val="20"/>
        </w:rPr>
        <w:t>” shall mean a company that is a subsidiary of the Company within the meaning of Section 1159 of the Companies Act 2006.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2.50      “</w:t>
      </w:r>
      <w:r>
        <w:rPr>
          <w:rFonts w:ascii="Tahoma;Geneva;sans-serif" w:hAnsi="Tahoma;Geneva;sans-serif"/>
          <w:b w:val="false"/>
          <w:i w:val="false"/>
          <w:caps w:val="false"/>
          <w:smallCaps w:val="false"/>
          <w:color w:val="000000"/>
          <w:spacing w:val="2"/>
          <w:sz w:val="20"/>
          <w:u w:val="single"/>
        </w:rPr>
        <w:t>Substitute Award</w:t>
      </w:r>
      <w:r>
        <w:rPr>
          <w:rFonts w:ascii="Tahoma;Geneva;sans-serif" w:hAnsi="Tahoma;Geneva;sans-serif"/>
          <w:b w:val="false"/>
          <w:i w:val="false"/>
          <w:caps w:val="false"/>
          <w:smallCaps w:val="false"/>
          <w:color w:val="000000"/>
          <w:spacing w:val="2"/>
          <w:sz w:val="20"/>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in no event shall the term “Substitute Award” be construed to refer to an award made in connection with the cancellation and repricing of an Option or Stock Appreciation Right.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2.51      “</w:t>
      </w:r>
      <w:r>
        <w:rPr>
          <w:rFonts w:ascii="Tahoma;Geneva;sans-serif" w:hAnsi="Tahoma;Geneva;sans-serif"/>
          <w:b w:val="false"/>
          <w:i w:val="false"/>
          <w:caps w:val="false"/>
          <w:smallCaps w:val="false"/>
          <w:color w:val="000000"/>
          <w:spacing w:val="2"/>
          <w:sz w:val="20"/>
          <w:u w:val="single"/>
        </w:rPr>
        <w:t>Takeover</w:t>
      </w:r>
      <w:r>
        <w:rPr>
          <w:rFonts w:ascii="Tahoma;Geneva;sans-serif" w:hAnsi="Tahoma;Geneva;sans-serif"/>
          <w:b w:val="false"/>
          <w:i w:val="false"/>
          <w:caps w:val="false"/>
          <w:smallCaps w:val="false"/>
          <w:color w:val="000000"/>
          <w:spacing w:val="2"/>
          <w:sz w:val="20"/>
        </w:rPr>
        <w:t>” shall mean if any person (or a group of persons acting in concert) (the “</w:t>
      </w:r>
      <w:r>
        <w:rPr>
          <w:rFonts w:ascii="Tahoma;Geneva;sans-serif" w:hAnsi="Tahoma;Geneva;sans-serif"/>
          <w:b w:val="false"/>
          <w:i w:val="false"/>
          <w:caps w:val="false"/>
          <w:smallCaps w:val="false"/>
          <w:color w:val="000000"/>
          <w:spacing w:val="2"/>
          <w:sz w:val="20"/>
          <w:u w:val="single"/>
        </w:rPr>
        <w:t>Acquiring Person</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 obtains Control of the Company as the result of making a general offer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acquire all of the issued ordinary share capital of the Company, which is made on a condition that, if it is satisfied, the Acquiring Person will have Control of the Company;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 acquire all of the shares in the Company which are of the same class as the Shares;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 obtains Control of the Company as a result of a compromise or arrangement sanctioned by a court under Section 899 of the Companies Act 2006, or sanctioned under any other similar law of another jurisdiction;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 becomes bound or entitled under Sections 979 to 985 of the Companies Act 2006 (or similar law of another jurisdiction) to acquire shares of the same class as the Shares;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6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250" descr=""/>
                          <pic:cNvPicPr>
                            <a:picLocks noChangeAspect="1" noChangeArrowheads="1"/>
                          </pic:cNvPicPr>
                        </pic:nvPicPr>
                        <pic:blipFill>
                          <a:blip r:embed="rId25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66"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251" descr=""/>
                    <pic:cNvPicPr>
                      <a:picLocks noChangeAspect="1" noChangeArrowheads="1"/>
                    </pic:cNvPicPr>
                  </pic:nvPicPr>
                  <pic:blipFill>
                    <a:blip r:embed="rId25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 obtains Control of the Company in any other way.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2.52      “</w:t>
      </w:r>
      <w:r>
        <w:rPr>
          <w:rFonts w:ascii="Tahoma;Geneva;sans-serif" w:hAnsi="Tahoma;Geneva;sans-serif"/>
          <w:b w:val="false"/>
          <w:i w:val="false"/>
          <w:caps w:val="false"/>
          <w:smallCaps w:val="false"/>
          <w:color w:val="000000"/>
          <w:spacing w:val="2"/>
          <w:sz w:val="20"/>
          <w:u w:val="single"/>
        </w:rPr>
        <w:t>Tax Liability</w:t>
      </w:r>
      <w:r>
        <w:rPr>
          <w:rFonts w:ascii="Tahoma;Geneva;sans-serif" w:hAnsi="Tahoma;Geneva;sans-serif"/>
          <w:b w:val="false"/>
          <w:i w:val="false"/>
          <w:caps w:val="false"/>
          <w:smallCaps w:val="false"/>
          <w:color w:val="000000"/>
          <w:spacing w:val="2"/>
          <w:sz w:val="20"/>
        </w:rPr>
        <w:t>” shall have the meaning set forth in Section 10.2(a).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2.53      “</w:t>
      </w:r>
      <w:r>
        <w:rPr>
          <w:rFonts w:ascii="Tahoma;Geneva;sans-serif" w:hAnsi="Tahoma;Geneva;sans-serif"/>
          <w:b w:val="false"/>
          <w:i w:val="false"/>
          <w:caps w:val="false"/>
          <w:smallCaps w:val="false"/>
          <w:color w:val="000000"/>
          <w:spacing w:val="2"/>
          <w:sz w:val="20"/>
          <w:u w:val="single"/>
        </w:rPr>
        <w:t>Termination of Service</w:t>
      </w:r>
      <w:r>
        <w:rPr>
          <w:rFonts w:ascii="Tahoma;Geneva;sans-serif" w:hAnsi="Tahoma;Geneva;sans-serif"/>
          <w:b w:val="false"/>
          <w:i w:val="false"/>
          <w:caps w:val="false"/>
          <w:smallCaps w:val="false"/>
          <w:color w:val="000000"/>
          <w:spacing w:val="2"/>
          <w:sz w:val="20"/>
        </w:rPr>
        <w:t>” shall mean the time when the employee-employer relationship between a Holder and the Company or any Subsidiary is terminated for any reason, including, without limitation, a termination by resignation, discharge, dismissal, agreement, redundancy, death, disability, ill-health, injury or retirement. For the avoidance of doubt, a “Termination of Service” includes a termination of an employee-employer relationship simultaneously with the commencement of a Non-Executive Director, Consultant or other non-employee service provider relationship with the Company or any Subsidiary, but excludes a termination of an employee-employer relationship simultaneously with the commencement of another employee-employer relationship with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or dismissal for cause and all questions of whether particular leaves of absence constitute a Termination of Service;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with respect to Incentive Stock Options, unless the Administrator otherwise provides in the terms of any Program, Award Agreement or otherwise, or as otherwise required by Applicable Law, a leave of absence or other change in the employee-employer relationship shall constitute a Termination of Service only if, and to the extent that, such leave of absence or other change interrupts employment for the purposes of Section 422(a)(2) of the Code and the then-applicable regulations and revenue rulings under said Section. For purposes of the Plan, a Termination of Service shall be deemed to occur in the event that: (i) the Subsidiary employing such Holder ceases to remain a Subsidiary; or (ii) there is a transfer by the Subsidiary employing such Holder of the undertaking, or part of the undertaking, in which the Holder works to a person which is not a Subsidiary and such transfer involves an automatic transfer of the Holder’s employment to such person by operation of Applicable Law, in each case as a result of any merger, sale of stock or other corporate transaction or event (including, without limitation, a spin-off).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3.</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SHARES SUBJECT TO THE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3.1      </w:t>
      </w:r>
      <w:r>
        <w:rPr>
          <w:rFonts w:ascii="Tahoma;Geneva;sans-serif" w:hAnsi="Tahoma;Geneva;sans-serif"/>
          <w:b w:val="false"/>
          <w:i w:val="false"/>
          <w:caps w:val="false"/>
          <w:smallCaps w:val="false"/>
          <w:color w:val="000000"/>
          <w:spacing w:val="2"/>
          <w:sz w:val="20"/>
          <w:u w:val="single"/>
        </w:rPr>
        <w:t>Number of Shares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Subject to Sections 3.1(b) and 12.2, the maximum aggregate number of Shares which may be issued or transferred pursuant to Awards granted under the Plan on or after the Effective Date is 2,200,000 Shares. Any Shares distributed pursuant to an Award may consist, in whole or in part, of authorized and unissued Shares, treasury Shares or Shares purchased on the open market.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If any Shares subject to an Award are forfeited, if any Award or any portion of an Award lapses or expires (including the unvested portion of any Award granted subject to Performance Goals, which fails to achieve its Performance Goals in full),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in each case, regardless of whether any such Award was granted prior to, on or after the Effective Date,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any Award; (iii) Shares subject to a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67"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252" descr=""/>
                          <pic:cNvPicPr>
                            <a:picLocks noChangeAspect="1" noChangeArrowheads="1"/>
                          </pic:cNvPicPr>
                        </pic:nvPicPr>
                        <pic:blipFill>
                          <a:blip r:embed="rId25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68"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253" descr=""/>
                    <pic:cNvPicPr>
                      <a:picLocks noChangeAspect="1" noChangeArrowheads="1"/>
                    </pic:cNvPicPr>
                  </pic:nvPicPr>
                  <pic:blipFill>
                    <a:blip r:embed="rId25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Stock Appreciation Right that are not issued in connection with the settlement of the Stock Appreciation Right in Shares upon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3.2      </w:t>
      </w:r>
      <w:r>
        <w:rPr>
          <w:rFonts w:ascii="Tahoma;Geneva;sans-serif" w:hAnsi="Tahoma;Geneva;sans-serif"/>
          <w:b w:val="false"/>
          <w:i w:val="false"/>
          <w:caps w:val="false"/>
          <w:smallCaps w:val="false"/>
          <w:color w:val="000000"/>
          <w:spacing w:val="2"/>
          <w:sz w:val="20"/>
          <w:u w:val="single"/>
        </w:rPr>
        <w:t>Limitation on Number of Shares Subject to Awards</w:t>
      </w:r>
      <w:r>
        <w:rPr>
          <w:rFonts w:ascii="Tahoma;Geneva;sans-serif" w:hAnsi="Tahoma;Geneva;sans-serif"/>
          <w:b w:val="false"/>
          <w:i w:val="false"/>
          <w:caps w:val="false"/>
          <w:smallCaps w:val="false"/>
          <w:color w:val="000000"/>
          <w:spacing w:val="2"/>
          <w:sz w:val="20"/>
        </w:rPr>
        <w:t>. Notwithstanding any provision in the Plan to the contrary, and subject to Section 12.2, the maximum aggregate number of Shares with respect to one or more Awards that may be granted to any one person during any calendar year shall be 1,250,000 and the maximum aggregate amount that may be paid in cash to any one person during any calendar year with respect to one or more Awards payable in cash shall be $12,500,000.</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4.</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GRANTING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4.1      </w:t>
      </w:r>
      <w:r>
        <w:rPr>
          <w:rFonts w:ascii="Tahoma;Geneva;sans-serif" w:hAnsi="Tahoma;Geneva;sans-serif"/>
          <w:b w:val="false"/>
          <w:i w:val="false"/>
          <w:caps w:val="false"/>
          <w:smallCaps w:val="false"/>
          <w:color w:val="000000"/>
          <w:spacing w:val="2"/>
          <w:sz w:val="20"/>
          <w:u w:val="single"/>
        </w:rPr>
        <w:t>Participation</w:t>
      </w:r>
      <w:r>
        <w:rPr>
          <w:rFonts w:ascii="Tahoma;Geneva;sans-serif" w:hAnsi="Tahoma;Geneva;sans-serif"/>
          <w:b w:val="false"/>
          <w:i w:val="false"/>
          <w:caps w:val="false"/>
          <w:smallCaps w:val="false"/>
          <w:color w:val="000000"/>
          <w:spacing w:val="2"/>
          <w:sz w:val="20"/>
        </w:rPr>
        <w:t>.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4.2      </w:t>
      </w:r>
      <w:r>
        <w:rPr>
          <w:rFonts w:ascii="Tahoma;Geneva;sans-serif" w:hAnsi="Tahoma;Geneva;sans-serif"/>
          <w:b w:val="false"/>
          <w:i w:val="false"/>
          <w:caps w:val="false"/>
          <w:smallCaps w:val="false"/>
          <w:color w:val="000000"/>
          <w:spacing w:val="2"/>
          <w:sz w:val="20"/>
          <w:u w:val="single"/>
        </w:rPr>
        <w:t>Award Agreement</w:t>
      </w:r>
      <w:r>
        <w:rPr>
          <w:rFonts w:ascii="Tahoma;Geneva;sans-serif" w:hAnsi="Tahoma;Geneva;sans-serif"/>
          <w:b w:val="false"/>
          <w:i w:val="false"/>
          <w:caps w:val="false"/>
          <w:smallCaps w:val="false"/>
          <w:color w:val="000000"/>
          <w:spacing w:val="2"/>
          <w:sz w:val="20"/>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4.3      </w:t>
      </w:r>
      <w:r>
        <w:rPr>
          <w:rFonts w:ascii="Tahoma;Geneva;sans-serif" w:hAnsi="Tahoma;Geneva;sans-serif"/>
          <w:b w:val="false"/>
          <w:i w:val="false"/>
          <w:caps w:val="false"/>
          <w:smallCaps w:val="false"/>
          <w:color w:val="000000"/>
          <w:spacing w:val="2"/>
          <w:sz w:val="20"/>
          <w:u w:val="single"/>
        </w:rPr>
        <w:t>Limitations Applicable to Section 16 Persons</w:t>
      </w:r>
      <w:r>
        <w:rPr>
          <w:rFonts w:ascii="Tahoma;Geneva;sans-serif" w:hAnsi="Tahoma;Geneva;sans-serif"/>
          <w:b w:val="false"/>
          <w:i w:val="false"/>
          <w:caps w:val="false"/>
          <w:smallCaps w:val="false"/>
          <w:color w:val="000000"/>
          <w:spacing w:val="2"/>
          <w:sz w:val="20"/>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69"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254" descr=""/>
                          <pic:cNvPicPr>
                            <a:picLocks noChangeAspect="1" noChangeArrowheads="1"/>
                          </pic:cNvPicPr>
                        </pic:nvPicPr>
                        <pic:blipFill>
                          <a:blip r:embed="rId25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7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255" descr=""/>
                    <pic:cNvPicPr>
                      <a:picLocks noChangeAspect="1" noChangeArrowheads="1"/>
                    </pic:cNvPicPr>
                  </pic:nvPicPr>
                  <pic:blipFill>
                    <a:blip r:embed="rId25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Applicable Law, the Plan and Awards granted or awarded hereunder shall be deemed amended to the extent necessary to conform to such applicable exemptive rule.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4.4      </w:t>
      </w:r>
      <w:r>
        <w:rPr>
          <w:rFonts w:ascii="Tahoma;Geneva;sans-serif" w:hAnsi="Tahoma;Geneva;sans-serif"/>
          <w:b w:val="false"/>
          <w:i w:val="false"/>
          <w:caps w:val="false"/>
          <w:smallCaps w:val="false"/>
          <w:color w:val="000000"/>
          <w:spacing w:val="2"/>
          <w:sz w:val="20"/>
          <w:u w:val="single"/>
        </w:rPr>
        <w:t>No Right to Continued Employment.</w:t>
      </w:r>
      <w:r>
        <w:rPr>
          <w:rFonts w:ascii="Tahoma;Geneva;sans-serif" w:hAnsi="Tahoma;Geneva;sans-serif"/>
          <w:b w:val="false"/>
          <w:i w:val="false"/>
          <w:caps w:val="false"/>
          <w:smallCaps w:val="false"/>
          <w:color w:val="000000"/>
          <w:spacing w:val="2"/>
          <w:sz w:val="20"/>
        </w:rPr>
        <w:t xml:space="preserve"> Nothing in the Plan or in any Program or Award Agreement hereunder shall confer upon any Holder any right to continue in the employ of the Company or any Subsidiary, or shall interfere with or restrict in any way the rights of the Company and any Subsidiary, which rights are hereby expressly reserved, to discharge or dismiss any Holder at any time for any reason whatsoever, with or without cause, and with or without notice, or to terminate or change any Holder’s terms and conditions of employment, except to the extent expressly provided otherwise in a written agreement between the Holder and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4.5      </w:t>
      </w:r>
      <w:r>
        <w:rPr>
          <w:rFonts w:ascii="Tahoma;Geneva;sans-serif" w:hAnsi="Tahoma;Geneva;sans-serif"/>
          <w:b w:val="false"/>
          <w:i w:val="false"/>
          <w:caps w:val="false"/>
          <w:smallCaps w:val="false"/>
          <w:color w:val="000000"/>
          <w:spacing w:val="2"/>
          <w:sz w:val="20"/>
          <w:u w:val="single"/>
        </w:rPr>
        <w:t>Foreign Holders</w:t>
      </w:r>
      <w:r>
        <w:rPr>
          <w:rFonts w:ascii="Tahoma;Geneva;sans-serif" w:hAnsi="Tahoma;Geneva;sans-serif"/>
          <w:b w:val="false"/>
          <w:i w:val="false"/>
          <w:caps w:val="false"/>
          <w:smallCaps w:val="false"/>
          <w:color w:val="000000"/>
          <w:spacing w:val="2"/>
          <w:sz w:val="20"/>
        </w:rPr>
        <w:t xml:space="preserve">. Notwithstanding any provision of the Plan or applicable Program to the contrary, in order to comply with the laws in countries other than the United States in which the Company and its Subsidiaries operate or have Employees,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no such sub-plans and/or modifications shall increase the share limitation contained in Section 3.1 or the Award Limit; and (e) take any action, before or after an Award is made, that it deems advisable to obtain approval or comply with any necessary local governmental regulatory exemptions or approvals or listing requirements of any foreign securities exchange.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5.</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GRANTING OF OPTIONS AND STOCK APPRECIATION RIGHTS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5.1      </w:t>
      </w:r>
      <w:r>
        <w:rPr>
          <w:rFonts w:ascii="Tahoma;Geneva;sans-serif" w:hAnsi="Tahoma;Geneva;sans-serif"/>
          <w:b w:val="false"/>
          <w:i w:val="false"/>
          <w:caps w:val="false"/>
          <w:smallCaps w:val="false"/>
          <w:color w:val="000000"/>
          <w:spacing w:val="2"/>
          <w:sz w:val="20"/>
          <w:u w:val="single"/>
        </w:rPr>
        <w:t>Granting of Options and Stock Appreciation Rights to Eligible Individuals</w:t>
      </w:r>
      <w:r>
        <w:rPr>
          <w:rFonts w:ascii="Tahoma;Geneva;sans-serif" w:hAnsi="Tahoma;Geneva;sans-serif"/>
          <w:b w:val="false"/>
          <w:i w:val="false"/>
          <w:caps w:val="false"/>
          <w:smallCaps w:val="false"/>
          <w:color w:val="000000"/>
          <w:spacing w:val="2"/>
          <w:sz w:val="20"/>
        </w:rPr>
        <w:t>. The Administrator is authorized to grant Options and Stock Appreciation Rights to Eligible Individuals from time to time, in its sole discretion, on such terms and conditions as it may determine, which shall not be inconsistent with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5.2      </w:t>
      </w:r>
      <w:r>
        <w:rPr>
          <w:rFonts w:ascii="Tahoma;Geneva;sans-serif" w:hAnsi="Tahoma;Geneva;sans-serif"/>
          <w:b w:val="false"/>
          <w:i w:val="false"/>
          <w:caps w:val="false"/>
          <w:smallCaps w:val="false"/>
          <w:color w:val="000000"/>
          <w:spacing w:val="2"/>
          <w:sz w:val="20"/>
          <w:u w:val="single"/>
        </w:rPr>
        <w:t>Qualification of Incentive Stock Options</w:t>
      </w:r>
      <w:r>
        <w:rPr>
          <w:rFonts w:ascii="Tahoma;Geneva;sans-serif" w:hAnsi="Tahoma;Geneva;sans-serif"/>
          <w:b w:val="false"/>
          <w:i w:val="false"/>
          <w:caps w:val="false"/>
          <w:smallCaps w:val="false"/>
          <w:color w:val="000000"/>
          <w:spacing w:val="2"/>
          <w:sz w:val="20"/>
        </w:rPr>
        <w:t xml:space="preserve">.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Shareholder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71"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256" descr=""/>
                          <pic:cNvPicPr>
                            <a:picLocks noChangeAspect="1" noChangeArrowheads="1"/>
                          </pic:cNvPicPr>
                        </pic:nvPicPr>
                        <pic:blipFill>
                          <a:blip r:embed="rId25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72"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257" descr=""/>
                    <pic:cNvPicPr>
                      <a:picLocks noChangeAspect="1" noChangeArrowheads="1"/>
                    </pic:cNvPicPr>
                  </pic:nvPicPr>
                  <pic:blipFill>
                    <a:blip r:embed="rId25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Stock Option or the grant of an Option intended as an Incentive Stock Option that fails to satisfy the requirements under the Code applicable to an Incentive Stock Option. Subject to Sections 3.1(b) and 12.2, the aggregate number of Shares which may be issued or transferred pursuant to Incentive Stock Options granted under the Plan on or after the Effective Date is 2,200,000.</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5.3      </w:t>
      </w:r>
      <w:r>
        <w:rPr>
          <w:rFonts w:ascii="Tahoma;Geneva;sans-serif" w:hAnsi="Tahoma;Geneva;sans-serif"/>
          <w:b w:val="false"/>
          <w:i w:val="false"/>
          <w:caps w:val="false"/>
          <w:smallCaps w:val="false"/>
          <w:color w:val="000000"/>
          <w:spacing w:val="2"/>
          <w:sz w:val="20"/>
          <w:u w:val="single"/>
        </w:rPr>
        <w:t>Option and Stock Appreciation Right Exercise Price</w:t>
      </w:r>
      <w:r>
        <w:rPr>
          <w:rFonts w:ascii="Tahoma;Geneva;sans-serif" w:hAnsi="Tahoma;Geneva;sans-serif"/>
          <w:b w:val="false"/>
          <w:i w:val="false"/>
          <w:caps w:val="false"/>
          <w:smallCaps w:val="false"/>
          <w:color w:val="000000"/>
          <w:spacing w:val="2"/>
          <w:sz w:val="20"/>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Shareholder,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exercise price of any Substitute Award shall be determined in accordance with the applicable requirements of Sections 424 and 409A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5.4      </w:t>
      </w:r>
      <w:r>
        <w:rPr>
          <w:rFonts w:ascii="Tahoma;Geneva;sans-serif" w:hAnsi="Tahoma;Geneva;sans-serif"/>
          <w:b w:val="false"/>
          <w:i w:val="false"/>
          <w:caps w:val="false"/>
          <w:smallCaps w:val="false"/>
          <w:color w:val="000000"/>
          <w:spacing w:val="2"/>
          <w:sz w:val="20"/>
          <w:u w:val="single"/>
        </w:rPr>
        <w:t>Option and SAR Term</w:t>
      </w:r>
      <w:r>
        <w:rPr>
          <w:rFonts w:ascii="Tahoma;Geneva;sans-serif" w:hAnsi="Tahoma;Geneva;sans-serif"/>
          <w:b w:val="false"/>
          <w:i w:val="false"/>
          <w:caps w:val="false"/>
          <w:smallCaps w:val="false"/>
          <w:color w:val="000000"/>
          <w:spacing w:val="2"/>
          <w:sz w:val="20"/>
        </w:rPr>
        <w:t>. The term of each Option (the “</w:t>
      </w:r>
      <w:r>
        <w:rPr>
          <w:rFonts w:ascii="Tahoma;Geneva;sans-serif" w:hAnsi="Tahoma;Geneva;sans-serif"/>
          <w:b w:val="false"/>
          <w:i w:val="false"/>
          <w:caps w:val="false"/>
          <w:smallCaps w:val="false"/>
          <w:color w:val="000000"/>
          <w:spacing w:val="2"/>
          <w:sz w:val="20"/>
          <w:u w:val="single"/>
        </w:rPr>
        <w:t>Option Term</w:t>
      </w:r>
      <w:r>
        <w:rPr>
          <w:rFonts w:ascii="Tahoma;Geneva;sans-serif" w:hAnsi="Tahoma;Geneva;sans-serif"/>
          <w:b w:val="false"/>
          <w:i w:val="false"/>
          <w:caps w:val="false"/>
          <w:smallCaps w:val="false"/>
          <w:color w:val="000000"/>
          <w:spacing w:val="2"/>
          <w:sz w:val="20"/>
        </w:rPr>
        <w:t>”) and the term of each Stock Appreciation Right (the “</w:t>
      </w:r>
      <w:r>
        <w:rPr>
          <w:rFonts w:ascii="Tahoma;Geneva;sans-serif" w:hAnsi="Tahoma;Geneva;sans-serif"/>
          <w:b w:val="false"/>
          <w:i w:val="false"/>
          <w:caps w:val="false"/>
          <w:smallCaps w:val="false"/>
          <w:color w:val="000000"/>
          <w:spacing w:val="2"/>
          <w:sz w:val="20"/>
          <w:u w:val="single"/>
        </w:rPr>
        <w:t>SAR Term</w:t>
      </w:r>
      <w:r>
        <w:rPr>
          <w:rFonts w:ascii="Tahoma;Geneva;sans-serif" w:hAnsi="Tahoma;Geneva;sans-serif"/>
          <w:b w:val="false"/>
          <w:i w:val="false"/>
          <w:caps w:val="false"/>
          <w:smallCaps w:val="false"/>
          <w:color w:val="000000"/>
          <w:spacing w:val="2"/>
          <w:sz w:val="20"/>
        </w:rPr>
        <w:t xml:space="preserve">”) shall be set by the Administrator in its sole discretion;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the Option Term or SAR Term, as applicable, shall not be more than: (a) ten (10) years from the date the Option or Stock Appreciation Right, as applicable, is granted to an Eligible Individual (other than a Greater Than 10% Shareholder); or (b) five (5) years from the date an Incentive Stock Option is granted to a Greater Than 10% Shareholder.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Sections 10.7 and 12.1, any other term or condition of such Option or Stock Appreciation Right relating to such Termination of Service of the Holder or otherwise.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5.5      </w:t>
      </w:r>
      <w:r>
        <w:rPr>
          <w:rFonts w:ascii="Tahoma;Geneva;sans-serif" w:hAnsi="Tahoma;Geneva;sans-serif"/>
          <w:b w:val="false"/>
          <w:i w:val="false"/>
          <w:caps w:val="false"/>
          <w:smallCaps w:val="false"/>
          <w:color w:val="000000"/>
          <w:spacing w:val="2"/>
          <w:sz w:val="20"/>
          <w:u w:val="single"/>
        </w:rPr>
        <w:t>Option and SAR Vesting</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      The period during which the right to exercise, in whole or in part, an Option vests in the Holder shall be set by the Administrator and set forth in the applicable Award Agreement, but, except in the event of a Holder’s Termination of Service due to death, disability or retirement or as otherwise set forth in Section 12.2, shall in all cases be a period of at least 12 months from the Grant Date;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Option, (a) no portion of an Option which is unexercisable at a Holder’s Termination of Service shall thereafter become exercisable and (b) the portion of an Option that is unexercisable at a Holder’s Termination of Service shall automatically expire on the date of such Termination of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      The period during which the right to exercise, in whole or in part, a Stock Appreciation Right vests in the Holder shall be set by the Administrator and set forth in the applicable Award Agreement, but, except in the event of a Holder’s Termination of Service due to death, disability or retirement or as otherwise set forth in Section 12.2, shall in all cases be a period of at least 12 months from the Grant Date;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A-10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7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258" descr=""/>
                          <pic:cNvPicPr>
                            <a:picLocks noChangeAspect="1" noChangeArrowheads="1"/>
                          </pic:cNvPicPr>
                        </pic:nvPicPr>
                        <pic:blipFill>
                          <a:blip r:embed="rId25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74"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259" descr=""/>
                    <pic:cNvPicPr>
                      <a:picLocks noChangeAspect="1" noChangeArrowheads="1"/>
                    </pic:cNvPicPr>
                  </pic:nvPicPr>
                  <pic:blipFill>
                    <a:blip r:embed="rId26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determined by the Administrator in the Award Agreement, the applicable Program or by action of the Administrator following the grant of the Stock Appreciation Right, (a) no portion of a Stock Appreciation Right which is unexercisable at a Holder’s Termination of Service shall thereafter become exercisable and (b) the portion of a Stock Appreciation Right that is unexercisable at a Holder’s Termination of Service shall automatically expire on the date of such Termination of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5.6      </w:t>
      </w:r>
      <w:r>
        <w:rPr>
          <w:rFonts w:ascii="Tahoma;Geneva;sans-serif" w:hAnsi="Tahoma;Geneva;sans-serif"/>
          <w:b w:val="false"/>
          <w:i w:val="false"/>
          <w:caps w:val="false"/>
          <w:smallCaps w:val="false"/>
          <w:color w:val="000000"/>
          <w:spacing w:val="2"/>
          <w:sz w:val="20"/>
          <w:u w:val="single"/>
        </w:rPr>
        <w:t>Substitution of Stock Appreciation Rights; Early Exercise of Options</w:t>
      </w:r>
      <w:r>
        <w:rPr>
          <w:rFonts w:ascii="Tahoma;Geneva;sans-serif" w:hAnsi="Tahoma;Geneva;sans-serif"/>
          <w:b w:val="false"/>
          <w:i w:val="false"/>
          <w:caps w:val="false"/>
          <w:smallCaps w:val="false"/>
          <w:color w:val="000000"/>
          <w:spacing w:val="2"/>
          <w:sz w:val="20"/>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Restricted Stock with respect to any unvested portion of the Option so exercised. Restricted Stock acquired upon the exercise of any unvested portion of an Option shall be subject to such terms and conditions as the Administrator shall determine.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6.</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EXERCISE OF OPTIONS AND STOCK APPRECIATION RIGHTS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6.1      </w:t>
      </w:r>
      <w:r>
        <w:rPr>
          <w:rFonts w:ascii="Tahoma;Geneva;sans-serif" w:hAnsi="Tahoma;Geneva;sans-serif"/>
          <w:b w:val="false"/>
          <w:i w:val="false"/>
          <w:caps w:val="false"/>
          <w:smallCaps w:val="false"/>
          <w:color w:val="000000"/>
          <w:spacing w:val="2"/>
          <w:sz w:val="20"/>
          <w:u w:val="single"/>
        </w:rPr>
        <w:t>Exercise and Payment</w:t>
      </w:r>
      <w:r>
        <w:rPr>
          <w:rFonts w:ascii="Tahoma;Geneva;sans-serif" w:hAnsi="Tahoma;Geneva;sans-serif"/>
          <w:b w:val="false"/>
          <w:i w:val="false"/>
          <w:caps w:val="false"/>
          <w:smallCaps w:val="false"/>
          <w:color w:val="000000"/>
          <w:spacing w:val="2"/>
          <w:sz w:val="20"/>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6.2      </w:t>
      </w:r>
      <w:r>
        <w:rPr>
          <w:rFonts w:ascii="Tahoma;Geneva;sans-serif" w:hAnsi="Tahoma;Geneva;sans-serif"/>
          <w:b w:val="false"/>
          <w:i w:val="false"/>
          <w:caps w:val="false"/>
          <w:smallCaps w:val="false"/>
          <w:color w:val="000000"/>
          <w:spacing w:val="2"/>
          <w:sz w:val="20"/>
          <w:u w:val="single"/>
        </w:rPr>
        <w:t>Manner of Exercise</w:t>
      </w:r>
      <w:r>
        <w:rPr>
          <w:rFonts w:ascii="Tahoma;Geneva;sans-serif" w:hAnsi="Tahoma;Geneva;sans-serif"/>
          <w:b w:val="false"/>
          <w:i w:val="false"/>
          <w:caps w:val="false"/>
          <w:smallCaps w:val="false"/>
          <w:color w:val="000000"/>
          <w:spacing w:val="2"/>
          <w:sz w:val="20"/>
        </w:rPr>
        <w:t>.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Such representations and documents as the Administrator, in its sole discretion, deems necessary or advisable to effect compliance with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10.1 and 10.2.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6.3      </w:t>
      </w:r>
      <w:r>
        <w:rPr>
          <w:rFonts w:ascii="Tahoma;Geneva;sans-serif" w:hAnsi="Tahoma;Geneva;sans-serif"/>
          <w:b w:val="false"/>
          <w:i w:val="false"/>
          <w:caps w:val="false"/>
          <w:smallCaps w:val="false"/>
          <w:color w:val="000000"/>
          <w:spacing w:val="2"/>
          <w:sz w:val="20"/>
          <w:u w:val="single"/>
        </w:rPr>
        <w:t>Expiration of Option Term or SAR Term: Automatic Exercise of In-The-Money Options and Stock Appreciation Rights</w:t>
      </w:r>
      <w:r>
        <w:rPr>
          <w:rFonts w:ascii="Tahoma;Geneva;sans-serif" w:hAnsi="Tahoma;Geneva;sans-serif"/>
          <w:b w:val="false"/>
          <w:i w:val="false"/>
          <w:caps w:val="false"/>
          <w:smallCaps w:val="false"/>
          <w:color w:val="000000"/>
          <w:spacing w:val="2"/>
          <w:sz w:val="20"/>
        </w:rPr>
        <w:t xml:space="preserve">. Unless otherwise provided by the Administrator in an Award Agreement or otherwise or as otherwise directed by an Option or Stock Appreciation Rights Holder in writing to the Company,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75"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260" descr=""/>
                          <pic:cNvPicPr>
                            <a:picLocks noChangeAspect="1" noChangeArrowheads="1"/>
                          </pic:cNvPicPr>
                        </pic:nvPicPr>
                        <pic:blipFill>
                          <a:blip r:embed="rId26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76"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261" descr=""/>
                    <pic:cNvPicPr>
                      <a:picLocks noChangeAspect="1" noChangeArrowheads="1"/>
                    </pic:cNvPicPr>
                  </pic:nvPicPr>
                  <pic:blipFill>
                    <a:blip r:embed="rId26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6.4      </w:t>
      </w:r>
      <w:r>
        <w:rPr>
          <w:rFonts w:ascii="Tahoma;Geneva;sans-serif" w:hAnsi="Tahoma;Geneva;sans-serif"/>
          <w:b w:val="false"/>
          <w:i w:val="false"/>
          <w:caps w:val="false"/>
          <w:smallCaps w:val="false"/>
          <w:color w:val="000000"/>
          <w:spacing w:val="2"/>
          <w:sz w:val="20"/>
          <w:u w:val="single"/>
        </w:rPr>
        <w:t>Notification Regarding Disposition</w:t>
      </w:r>
      <w:r>
        <w:rPr>
          <w:rFonts w:ascii="Tahoma;Geneva;sans-serif" w:hAnsi="Tahoma;Geneva;sans-serif"/>
          <w:b w:val="false"/>
          <w:i w:val="false"/>
          <w:caps w:val="false"/>
          <w:smallCaps w:val="false"/>
          <w:color w:val="000000"/>
          <w:spacing w:val="2"/>
          <w:sz w:val="20"/>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7.</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RESTRICTED STOCK</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7.1      </w:t>
      </w:r>
      <w:r>
        <w:rPr>
          <w:rFonts w:ascii="Tahoma;Geneva;sans-serif" w:hAnsi="Tahoma;Geneva;sans-serif"/>
          <w:b w:val="false"/>
          <w:i w:val="false"/>
          <w:caps w:val="false"/>
          <w:smallCaps w:val="false"/>
          <w:color w:val="000000"/>
          <w:spacing w:val="2"/>
          <w:sz w:val="20"/>
          <w:u w:val="single"/>
        </w:rPr>
        <w:t>Award of Restricted Stock</w:t>
      </w:r>
      <w:r>
        <w:rPr>
          <w:rFonts w:ascii="Tahoma;Geneva;sans-serif" w:hAnsi="Tahoma;Geneva;sans-serif"/>
          <w:b w:val="false"/>
          <w:i w:val="false"/>
          <w:caps w:val="false"/>
          <w:smallCaps w:val="false"/>
          <w:color w:val="000000"/>
          <w:spacing w:val="2"/>
          <w:sz w:val="20"/>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7.2      </w:t>
      </w:r>
      <w:r>
        <w:rPr>
          <w:rFonts w:ascii="Tahoma;Geneva;sans-serif" w:hAnsi="Tahoma;Geneva;sans-serif"/>
          <w:b w:val="false"/>
          <w:i w:val="false"/>
          <w:caps w:val="false"/>
          <w:smallCaps w:val="false"/>
          <w:color w:val="000000"/>
          <w:spacing w:val="2"/>
          <w:sz w:val="20"/>
          <w:u w:val="single"/>
        </w:rPr>
        <w:t>Rights as Shareholders</w:t>
      </w:r>
      <w:r>
        <w:rPr>
          <w:rFonts w:ascii="Tahoma;Geneva;sans-serif" w:hAnsi="Tahoma;Geneva;sans-serif"/>
          <w:b w:val="false"/>
          <w:i w:val="false"/>
          <w:caps w:val="false"/>
          <w:smallCaps w:val="false"/>
          <w:color w:val="000000"/>
          <w:spacing w:val="2"/>
          <w:sz w:val="20"/>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7.3      </w:t>
      </w:r>
      <w:r>
        <w:rPr>
          <w:rFonts w:ascii="Tahoma;Geneva;sans-serif" w:hAnsi="Tahoma;Geneva;sans-serif"/>
          <w:b w:val="false"/>
          <w:i w:val="false"/>
          <w:caps w:val="false"/>
          <w:smallCaps w:val="false"/>
          <w:color w:val="000000"/>
          <w:spacing w:val="2"/>
          <w:sz w:val="20"/>
          <w:u w:val="single"/>
        </w:rPr>
        <w:t>Restrictions</w:t>
      </w:r>
      <w:r>
        <w:rPr>
          <w:rFonts w:ascii="Tahoma;Geneva;sans-serif" w:hAnsi="Tahoma;Geneva;sans-serif"/>
          <w:b w:val="false"/>
          <w:i w:val="false"/>
          <w:caps w:val="false"/>
          <w:smallCaps w:val="false"/>
          <w:color w:val="000000"/>
          <w:spacing w:val="2"/>
          <w:sz w:val="20"/>
        </w:rPr>
        <w:t xml:space="preserve">. All Restricted Stock (including any shares received by Holders thereof with respect to Restricted Stock as a result of stock dividends, stock splits or any other form of recapitalization) shall be subject to such restrictions and vesting requirements as the Administrator shall provide in the applicable Program or Award Agreement, but, except in the event of a Holder’s Termination of Service due to death, disability or retirement or as otherwise set forth in Section 12.2, the vesting period shall in all cases be a period of at least 12 months from the Grant Date;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up to a maximum of five percent (5%) of the maximum aggregate number of Shares that may be issued under the Plan pursuant to Section 3.1 may be issued pursuant to Awards granted under the Plan without regard for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A-12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77"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262" descr=""/>
                          <pic:cNvPicPr>
                            <a:picLocks noChangeAspect="1" noChangeArrowheads="1"/>
                          </pic:cNvPicPr>
                        </pic:nvPicPr>
                        <pic:blipFill>
                          <a:blip r:embed="rId26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78"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263" descr=""/>
                    <pic:cNvPicPr>
                      <a:picLocks noChangeAspect="1" noChangeArrowheads="1"/>
                    </pic:cNvPicPr>
                  </pic:nvPicPr>
                  <pic:blipFill>
                    <a:blip r:embed="rId26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limitations or other requirements for vesting or transferability under the Plan. By action taken after the Restricted Stock is issued, in the event of a Holder’s Termination of Service due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death or disability, the Administrator may, on such terms and conditions as it may determine to be appropriate, accelerate the vesting of such Restricted Stock by removing any or all of the restrictions imposed by the terms of the applicable Program or Award Agreement;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7.4      </w:t>
      </w:r>
      <w:r>
        <w:rPr>
          <w:rFonts w:ascii="Tahoma;Geneva;sans-serif" w:hAnsi="Tahoma;Geneva;sans-serif"/>
          <w:b w:val="false"/>
          <w:i w:val="false"/>
          <w:caps w:val="false"/>
          <w:smallCaps w:val="false"/>
          <w:color w:val="000000"/>
          <w:spacing w:val="2"/>
          <w:sz w:val="20"/>
          <w:u w:val="single"/>
        </w:rPr>
        <w:t>Repurchase or Forfeiture of Restricted Stock</w:t>
      </w:r>
      <w:r>
        <w:rPr>
          <w:rFonts w:ascii="Tahoma;Geneva;sans-serif" w:hAnsi="Tahoma;Geneva;sans-serif"/>
          <w:b w:val="false"/>
          <w:i w:val="false"/>
          <w:caps w:val="false"/>
          <w:smallCaps w:val="false"/>
          <w:color w:val="000000"/>
          <w:spacing w:val="2"/>
          <w:sz w:val="20"/>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(in an Award Agreement or otherwise) that in the event of a Holder’s Termination of Service due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death or disability, the Holder’s rights in unvested Restricted Stock then subject to restrictions shall not lapse, such Restricted Stock shall vest and cease to be forfeitable and, if applicable, the Company shall cease to have a right of repurchase;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retirement, the Holder’s rights in unvested Restricted Stock then subject to restrictions shall not lapse, but shall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7.5      </w:t>
      </w:r>
      <w:r>
        <w:rPr>
          <w:rFonts w:ascii="Tahoma;Geneva;sans-serif" w:hAnsi="Tahoma;Geneva;sans-serif"/>
          <w:b w:val="false"/>
          <w:i w:val="false"/>
          <w:caps w:val="false"/>
          <w:smallCaps w:val="false"/>
          <w:color w:val="000000"/>
          <w:spacing w:val="2"/>
          <w:sz w:val="20"/>
          <w:u w:val="single"/>
        </w:rPr>
        <w:t>Section 83(b) Election</w:t>
      </w:r>
      <w:r>
        <w:rPr>
          <w:rFonts w:ascii="Tahoma;Geneva;sans-serif" w:hAnsi="Tahoma;Geneva;sans-serif"/>
          <w:b w:val="false"/>
          <w:i w:val="false"/>
          <w:caps w:val="false"/>
          <w:smallCaps w:val="false"/>
          <w:color w:val="000000"/>
          <w:spacing w:val="2"/>
          <w:sz w:val="20"/>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6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8.</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RESTRICTED STOCK UNITS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8.1      </w:t>
      </w:r>
      <w:r>
        <w:rPr>
          <w:rFonts w:ascii="Tahoma;Geneva;sans-serif" w:hAnsi="Tahoma;Geneva;sans-serif"/>
          <w:b w:val="false"/>
          <w:i w:val="false"/>
          <w:caps w:val="false"/>
          <w:smallCaps w:val="false"/>
          <w:color w:val="000000"/>
          <w:spacing w:val="2"/>
          <w:sz w:val="20"/>
          <w:u w:val="single"/>
        </w:rPr>
        <w:t>Grant of Restricted Stock Units</w:t>
      </w:r>
      <w:r>
        <w:rPr>
          <w:rFonts w:ascii="Tahoma;Geneva;sans-serif" w:hAnsi="Tahoma;Geneva;sans-serif"/>
          <w:b w:val="false"/>
          <w:i w:val="false"/>
          <w:caps w:val="false"/>
          <w:smallCaps w:val="false"/>
          <w:color w:val="000000"/>
          <w:spacing w:val="2"/>
          <w:sz w:val="20"/>
        </w:rPr>
        <w:t>.      The Administrator is authorized to grant Awards of Restricted Stock Units to any Eligible Individual selected by the Administrator in such amounts and subject to such terms and conditions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8.2      </w:t>
      </w:r>
      <w:r>
        <w:rPr>
          <w:rFonts w:ascii="Tahoma;Geneva;sans-serif" w:hAnsi="Tahoma;Geneva;sans-serif"/>
          <w:b w:val="false"/>
          <w:i w:val="false"/>
          <w:caps w:val="false"/>
          <w:smallCaps w:val="false"/>
          <w:color w:val="000000"/>
          <w:spacing w:val="2"/>
          <w:sz w:val="20"/>
          <w:u w:val="single"/>
        </w:rPr>
        <w:t>Term</w:t>
      </w:r>
      <w:r>
        <w:rPr>
          <w:rFonts w:ascii="Tahoma;Geneva;sans-serif" w:hAnsi="Tahoma;Geneva;sans-serif"/>
          <w:b w:val="false"/>
          <w:i w:val="false"/>
          <w:caps w:val="false"/>
          <w:smallCaps w:val="false"/>
          <w:color w:val="000000"/>
          <w:spacing w:val="2"/>
          <w:sz w:val="20"/>
        </w:rPr>
        <w:t>.      Except as otherwise provided herein, the term of a Restricted Stock Unit award shall be set by the Administrator in its sole discretion.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8.3      </w:t>
      </w:r>
      <w:r>
        <w:rPr>
          <w:rFonts w:ascii="Tahoma;Geneva;sans-serif" w:hAnsi="Tahoma;Geneva;sans-serif"/>
          <w:b w:val="false"/>
          <w:i w:val="false"/>
          <w:caps w:val="false"/>
          <w:smallCaps w:val="false"/>
          <w:color w:val="000000"/>
          <w:spacing w:val="2"/>
          <w:sz w:val="20"/>
          <w:u w:val="single"/>
        </w:rPr>
        <w:t>Purchase Price</w:t>
      </w:r>
      <w:r>
        <w:rPr>
          <w:rFonts w:ascii="Tahoma;Geneva;sans-serif" w:hAnsi="Tahoma;Geneva;sans-serif"/>
          <w:b w:val="false"/>
          <w:i w:val="false"/>
          <w:caps w:val="false"/>
          <w:smallCaps w:val="false"/>
          <w:color w:val="000000"/>
          <w:spacing w:val="2"/>
          <w:sz w:val="20"/>
        </w:rPr>
        <w:t xml:space="preserve">.      The Administrator shall specify the purchase price, if any, to be paid by the Holder to the Company with respect to any Restricted Stock Unit award; </w:t>
      </w:r>
      <w:r>
        <w:rPr>
          <w:rFonts w:ascii="Tahoma;Geneva;sans-serif" w:hAnsi="Tahoma;Geneva;sans-serif"/>
          <w:b w:val="false"/>
          <w:i w:val="false"/>
          <w:caps w:val="false"/>
          <w:smallCaps w:val="false"/>
          <w:color w:val="000000"/>
          <w:spacing w:val="2"/>
          <w:sz w:val="20"/>
          <w:u w:val="single"/>
        </w:rPr>
        <w:t>provided, however</w:t>
      </w:r>
      <w:r>
        <w:rPr>
          <w:rFonts w:ascii="Tahoma;Geneva;sans-serif" w:hAnsi="Tahoma;Geneva;sans-serif"/>
          <w:b w:val="false"/>
          <w:i w:val="false"/>
          <w:caps w:val="false"/>
          <w:smallCaps w:val="false"/>
          <w:color w:val="000000"/>
          <w:spacing w:val="2"/>
          <w:sz w:val="20"/>
        </w:rPr>
        <w:t>, that value of the consideration shall not be less than the par value of a Share, unless otherwise permitted by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8.4      </w:t>
      </w:r>
      <w:r>
        <w:rPr>
          <w:rFonts w:ascii="Tahoma;Geneva;sans-serif" w:hAnsi="Tahoma;Geneva;sans-serif"/>
          <w:b w:val="false"/>
          <w:i w:val="false"/>
          <w:caps w:val="false"/>
          <w:smallCaps w:val="false"/>
          <w:color w:val="000000"/>
          <w:spacing w:val="2"/>
          <w:sz w:val="20"/>
          <w:u w:val="single"/>
        </w:rPr>
        <w:t>Vesting of Restricted Stock Units</w:t>
      </w:r>
      <w:r>
        <w:rPr>
          <w:rFonts w:ascii="Tahoma;Geneva;sans-serif" w:hAnsi="Tahoma;Geneva;sans-serif"/>
          <w:b w:val="false"/>
          <w:i w:val="false"/>
          <w:caps w:val="false"/>
          <w:smallCaps w:val="false"/>
          <w:color w:val="000000"/>
          <w:spacing w:val="2"/>
          <w:sz w:val="20"/>
        </w:rPr>
        <w:t xml:space="preserve">.      At the time of grant, the Administrator shall specify the date or dates on which the Restricted Stock Units shall become fully vested and non-forfeitable,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79"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264" descr=""/>
                          <pic:cNvPicPr>
                            <a:picLocks noChangeAspect="1" noChangeArrowheads="1"/>
                          </pic:cNvPicPr>
                        </pic:nvPicPr>
                        <pic:blipFill>
                          <a:blip r:embed="rId26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80"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265" descr=""/>
                    <pic:cNvPicPr>
                      <a:picLocks noChangeAspect="1" noChangeArrowheads="1"/>
                    </pic:cNvPicPr>
                  </pic:nvPicPr>
                  <pic:blipFill>
                    <a:blip r:embed="rId26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but, except in the event of a Holder’s Termination of Service due to death, disability or retirement or as otherwise set forth in Section 12.2, the vesting period shall in all cases be a period of at least 12 months from the Grant Date;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8.5      </w:t>
      </w:r>
      <w:r>
        <w:rPr>
          <w:rFonts w:ascii="Tahoma;Geneva;sans-serif" w:hAnsi="Tahoma;Geneva;sans-serif"/>
          <w:b w:val="false"/>
          <w:i w:val="false"/>
          <w:caps w:val="false"/>
          <w:smallCaps w:val="false"/>
          <w:color w:val="000000"/>
          <w:spacing w:val="2"/>
          <w:sz w:val="20"/>
          <w:u w:val="single"/>
        </w:rPr>
        <w:t>Maturity and Payment</w:t>
      </w:r>
      <w:r>
        <w:rPr>
          <w:rFonts w:ascii="Tahoma;Geneva;sans-serif" w:hAnsi="Tahoma;Geneva;sans-serif"/>
          <w:b w:val="false"/>
          <w:i w:val="false"/>
          <w:caps w:val="false"/>
          <w:smallCaps w:val="false"/>
          <w:color w:val="000000"/>
          <w:spacing w:val="2"/>
          <w:sz w:val="20"/>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except as otherwise determined by the Administrator, and subject to compliance with Section 409A, in no event shall the maturity date relating to each Restricted Stock Unit occur following the later of: (a) the 15</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day of the third month following the end of calendar year in which the applicable portion of the Restricted Stock Unit vests; or (b) the 15</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day of the third month following the end of the Company’s fiscal year in which the applicable portion of the Restricted Stock Unit vests. On the maturity date, and subject to the achievement in full of any applicable Performance Goals during any applicable Performance Period,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8.6      </w:t>
      </w:r>
      <w:r>
        <w:rPr>
          <w:rFonts w:ascii="Tahoma;Geneva;sans-serif" w:hAnsi="Tahoma;Geneva;sans-serif"/>
          <w:b w:val="false"/>
          <w:i w:val="false"/>
          <w:caps w:val="false"/>
          <w:smallCaps w:val="false"/>
          <w:color w:val="000000"/>
          <w:spacing w:val="2"/>
          <w:sz w:val="20"/>
          <w:u w:val="single"/>
        </w:rPr>
        <w:t>Settlement after Termination of Service</w:t>
      </w:r>
      <w:r>
        <w:rPr>
          <w:rFonts w:ascii="Tahoma;Geneva;sans-serif" w:hAnsi="Tahoma;Geneva;sans-serif"/>
          <w:b w:val="false"/>
          <w:i w:val="false"/>
          <w:caps w:val="false"/>
          <w:smallCaps w:val="false"/>
          <w:color w:val="000000"/>
          <w:spacing w:val="2"/>
          <w:sz w:val="20"/>
        </w:rPr>
        <w:t xml:space="preserve">. An Award of Restricted Stock Units shall only be settled (whether by a distribution of Shares or a payment in cash) while the Holder is an Employee;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the Administrator, in its sole discretion, may provide (in an Award Agreement or otherwise) that a Restricted Stock Unit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may be settled subsequent to a Termination of Service in the event of a Holder’s Termination of Service due to death or disability;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may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9.</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OTHER STOCK OR CASH BASED AWARDS AND DIVIDEND EQUIVALENTS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9.1      </w:t>
      </w:r>
      <w:r>
        <w:rPr>
          <w:rFonts w:ascii="Tahoma;Geneva;sans-serif" w:hAnsi="Tahoma;Geneva;sans-serif"/>
          <w:b w:val="false"/>
          <w:i w:val="false"/>
          <w:caps w:val="false"/>
          <w:smallCaps w:val="false"/>
          <w:color w:val="000000"/>
          <w:spacing w:val="2"/>
          <w:sz w:val="20"/>
          <w:u w:val="single"/>
        </w:rPr>
        <w:t>Other Stock or Cash Based Awards</w:t>
      </w:r>
      <w:r>
        <w:rPr>
          <w:rFonts w:ascii="Tahoma;Geneva;sans-serif" w:hAnsi="Tahoma;Geneva;sans-serif"/>
          <w:b w:val="false"/>
          <w:i w:val="false"/>
          <w:caps w:val="false"/>
          <w:smallCaps w:val="false"/>
          <w:color w:val="000000"/>
          <w:spacing w:val="2"/>
          <w:sz w:val="20"/>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but, except in the event of a Holder’s Termination of Service due to death, disability or retirement or as otherwise set forth in Section 12.2, the vesting period shall in all cases be a period of at least 12 months from the Grant Date;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Other Stock or Cash Based Awards may be paid in cash, Shares, or a combination of cash and Shares, as determined by the Administrator, and may be available as a form of payment in the settlement of other Awards granted under the Plan, as stand-alone payments, as a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A-14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81"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266" descr=""/>
                          <pic:cNvPicPr>
                            <a:picLocks noChangeAspect="1" noChangeArrowheads="1"/>
                          </pic:cNvPicPr>
                        </pic:nvPicPr>
                        <pic:blipFill>
                          <a:blip r:embed="rId26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82"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267" descr=""/>
                    <pic:cNvPicPr>
                      <a:picLocks noChangeAspect="1" noChangeArrowheads="1"/>
                    </pic:cNvPicPr>
                  </pic:nvPicPr>
                  <pic:blipFill>
                    <a:blip r:embed="rId26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part of a bonus, deferred bonus, deferred compensation or other arrangement, and/or as payment in lieu of compensation to which an Eligible Individual is otherwise entitled.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9.2      </w:t>
      </w:r>
      <w:r>
        <w:rPr>
          <w:rFonts w:ascii="Tahoma;Geneva;sans-serif" w:hAnsi="Tahoma;Geneva;sans-serif"/>
          <w:b w:val="false"/>
          <w:i w:val="false"/>
          <w:caps w:val="false"/>
          <w:smallCaps w:val="false"/>
          <w:color w:val="000000"/>
          <w:spacing w:val="2"/>
          <w:sz w:val="20"/>
          <w:u w:val="single"/>
        </w:rPr>
        <w:t>Dividend Equivalents</w:t>
      </w:r>
      <w:r>
        <w:rPr>
          <w:rFonts w:ascii="Tahoma;Geneva;sans-serif" w:hAnsi="Tahoma;Geneva;sans-serif"/>
          <w:b w:val="false"/>
          <w:i w:val="false"/>
          <w:caps w:val="false"/>
          <w:smallCaps w:val="false"/>
          <w:color w:val="000000"/>
          <w:spacing w:val="2"/>
          <w:sz w:val="20"/>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10.</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ADDITIONAL TERMS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10.1      </w:t>
      </w:r>
      <w:r>
        <w:rPr>
          <w:rFonts w:ascii="Tahoma;Geneva;sans-serif" w:hAnsi="Tahoma;Geneva;sans-serif"/>
          <w:b w:val="false"/>
          <w:i w:val="false"/>
          <w:caps w:val="false"/>
          <w:smallCaps w:val="false"/>
          <w:color w:val="000000"/>
          <w:spacing w:val="2"/>
          <w:sz w:val="20"/>
          <w:u w:val="single"/>
        </w:rPr>
        <w:t>Payment</w:t>
      </w:r>
      <w:r>
        <w:rPr>
          <w:rFonts w:ascii="Tahoma;Geneva;sans-serif" w:hAnsi="Tahoma;Geneva;sans-serif"/>
          <w:b w:val="false"/>
          <w:i w:val="false"/>
          <w:caps w:val="false"/>
          <w:smallCaps w:val="false"/>
          <w:color w:val="000000"/>
          <w:spacing w:val="2"/>
          <w:sz w:val="20"/>
        </w:rPr>
        <w:t>. The Administrator shall determine the method or methods by which payments by any Holder with respect to any Awards granted under the Plan shall be made, including, without limitation: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cash or check;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payment of such proceeds is then made to the Company upon settlement of such sale;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other form of legal consideration acceptable to the Administrator in its sole discretion;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any combination of the above permitted forms of payment.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10.2      </w:t>
      </w:r>
      <w:r>
        <w:rPr>
          <w:rFonts w:ascii="Tahoma;Geneva;sans-serif" w:hAnsi="Tahoma;Geneva;sans-serif"/>
          <w:b w:val="false"/>
          <w:i w:val="false"/>
          <w:caps w:val="false"/>
          <w:smallCaps w:val="false"/>
          <w:color w:val="000000"/>
          <w:spacing w:val="2"/>
          <w:sz w:val="20"/>
          <w:u w:val="single"/>
        </w:rPr>
        <w:t>Responsibility for Taxes and Tax Withholding</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or (if different) the Holder’s employer (the “</w:t>
      </w:r>
      <w:r>
        <w:rPr>
          <w:rFonts w:ascii="Tahoma;Geneva;sans-serif" w:hAnsi="Tahoma;Geneva;sans-serif"/>
          <w:b w:val="false"/>
          <w:i w:val="false"/>
          <w:caps w:val="false"/>
          <w:smallCaps w:val="false"/>
          <w:color w:val="000000"/>
          <w:spacing w:val="2"/>
          <w:sz w:val="20"/>
          <w:u w:val="single"/>
        </w:rPr>
        <w:t>Employer</w:t>
      </w:r>
      <w:r>
        <w:rPr>
          <w:rFonts w:ascii="Tahoma;Geneva;sans-serif" w:hAnsi="Tahoma;Geneva;sans-serif"/>
          <w:b w:val="false"/>
          <w:i w:val="false"/>
          <w:caps w:val="false"/>
          <w:smallCaps w:val="false"/>
          <w:color w:val="000000"/>
          <w:spacing w:val="2"/>
          <w:sz w:val="20"/>
        </w:rPr>
        <w:t xml:space="preserve">”)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83"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268" descr=""/>
                          <pic:cNvPicPr>
                            <a:picLocks noChangeAspect="1" noChangeArrowheads="1"/>
                          </pic:cNvPicPr>
                        </pic:nvPicPr>
                        <pic:blipFill>
                          <a:blip r:embed="rId26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84"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269" descr=""/>
                    <pic:cNvPicPr>
                      <a:picLocks noChangeAspect="1" noChangeArrowheads="1"/>
                    </pic:cNvPicPr>
                  </pic:nvPicPr>
                  <pic:blipFill>
                    <a:blip r:embed="rId27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deductions, withholdings or payments legally applicable to the relevant Holder related to: (i) 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Tahoma;Geneva;sans-serif" w:hAnsi="Tahoma;Geneva;sans-serif"/>
          <w:b w:val="false"/>
          <w:i w:val="false"/>
          <w:caps w:val="false"/>
          <w:smallCaps w:val="false"/>
          <w:color w:val="000000"/>
          <w:spacing w:val="2"/>
          <w:sz w:val="20"/>
          <w:u w:val="single"/>
        </w:rPr>
        <w:t>Tax Liability</w:t>
      </w:r>
      <w:r>
        <w:rPr>
          <w:rFonts w:ascii="Tahoma;Geneva;sans-serif" w:hAnsi="Tahoma;Geneva;sans-serif"/>
          <w:b w:val="false"/>
          <w:i w:val="false"/>
          <w:caps w:val="false"/>
          <w:smallCaps w:val="false"/>
          <w:color w:val="000000"/>
          <w:spacing w:val="2"/>
          <w:sz w:val="20"/>
        </w:rPr>
        <w:t>”) is and remains the responsibility of the relevant Holder and may exceed the amount actually withheld by the Company or (if different) the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Company or any Subsidiary (including the Employer, if applicable)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Holder irrevocably agrees to pay to the Company or (if different) the Employer the amount of any Tax Liability or enter into arrangements to the satisfaction of the Company or the Employer (as appropriate) for payment of any Tax Liability that the Company, Subsidiary or the Employer is required or authorized, or reasonably believes it is required or authorized, to withhold, pay, or account for, including (but not limited) by way of (i) cash of or check for the relevant amount paid or made payable, as applicable, to the Company or the Employer (or other relevant Subsidiary) with respect to which the relevant Tax Liability arises; (ii) withholding from the Holder’s wages or other compensation paid to the Holder by the Company or the Employer (or any other relevant Subsidiary), including (for the avoidance of doubt) any payment due to the Holder pursuant to the relevant Award, (iii) 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Award or (v) in any combination of the foregoing or such other method as determined by the Company or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The Holder will indemnify and keep indemnified the Company and any relevant Subsidiary (including the Employer, if applicable) from and against any liability for or obligation to pay any Tax Liability, regardless of any action taken by the Company or any Subsidiary (including the Employer, if applicable). Neither the Company nor any Subsidiary (including the Employer, if applicable) makes any representation or undertaking regarding the treatment of any Tax Liability in connection with the grant, vesting, exercise or payment of any Award (or any Substitute Award), any subsequent disposal of Shares or the receipt of any dividend. Neither the Company nor any Subsidiary (including the Employer, if applicable) commits to or is under any obligation to structure any Award (or any Substitute Award) to reduce or eliminate any Tax Liability or to achieve any particular tax result.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10.3      </w:t>
      </w:r>
      <w:r>
        <w:rPr>
          <w:rFonts w:ascii="Tahoma;Geneva;sans-serif" w:hAnsi="Tahoma;Geneva;sans-serif"/>
          <w:b w:val="false"/>
          <w:i w:val="false"/>
          <w:caps w:val="false"/>
          <w:smallCaps w:val="false"/>
          <w:color w:val="000000"/>
          <w:spacing w:val="2"/>
          <w:sz w:val="20"/>
          <w:u w:val="single"/>
        </w:rPr>
        <w:t>Transferability of Awards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Except as otherwise provided in Sections 10.3(b) and 10.3(c):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No Award under the Plan may be sold, pledged, assigned or transferred in any manner other than (A) by will or the laws of descent and distribution or (B) other than in respect of an Incentive Stock Option, subject to the consent of the Administrator, pursuant to a DRO, unless and until such Award has been exercised or the Shares underlying such Award have been issued, and all restrictions applicable to such Shares have lapsed;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333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A-16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85"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270" descr=""/>
                          <pic:cNvPicPr>
                            <a:picLocks noChangeAspect="1" noChangeArrowheads="1"/>
                          </pic:cNvPicPr>
                        </pic:nvPicPr>
                        <pic:blipFill>
                          <a:blip r:embed="rId27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86"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271" descr=""/>
                    <pic:cNvPicPr>
                      <a:picLocks noChangeAspect="1" noChangeArrowheads="1"/>
                    </pic:cNvPicPr>
                  </pic:nvPicPr>
                  <pic:blipFill>
                    <a:blip r:embed="rId27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(iii)    During the lifetime of the Holder, only the Holder may exercise any exercisable portion of an Award granted to such Holder under the Plan, unless (other than in respect of an Incentive Stock Option)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change or revocation is delivered in writing to the Administrator prior to the Holder’s death.</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10.4      </w:t>
      </w:r>
      <w:r>
        <w:rPr>
          <w:rFonts w:ascii="Tahoma;Geneva;sans-serif" w:hAnsi="Tahoma;Geneva;sans-serif"/>
          <w:b w:val="false"/>
          <w:i w:val="false"/>
          <w:caps w:val="false"/>
          <w:smallCaps w:val="false"/>
          <w:color w:val="000000"/>
          <w:spacing w:val="2"/>
          <w:sz w:val="20"/>
          <w:u w:val="single"/>
        </w:rPr>
        <w:t>Conditions to Issuance of Shares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2" w:after="283"/>
        <w:ind w:left="26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      The Administrator shall determine the methods by which Shares shall be delivered or deemed to be delivered to Holders. Notwithstanding anything herein to the contrary,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87"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272" descr=""/>
                          <pic:cNvPicPr>
                            <a:picLocks noChangeAspect="1" noChangeArrowheads="1"/>
                          </pic:cNvPicPr>
                        </pic:nvPicPr>
                        <pic:blipFill>
                          <a:blip r:embed="rId27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88"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273" descr=""/>
                    <pic:cNvPicPr>
                      <a:picLocks noChangeAspect="1" noChangeArrowheads="1"/>
                    </pic:cNvPicPr>
                  </pic:nvPicPr>
                  <pic:blipFill>
                    <a:blip r:embed="rId27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No fractional Shares shall be issued and the Administrator, in its sole discretion, shall determine whether cash shall be given in lieu of fractional Shares or whether such fractional Shares shall be eliminated by rounding down.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10.5      </w:t>
      </w:r>
      <w:r>
        <w:rPr>
          <w:rFonts w:ascii="Tahoma;Geneva;sans-serif" w:hAnsi="Tahoma;Geneva;sans-serif"/>
          <w:b w:val="false"/>
          <w:i w:val="false"/>
          <w:caps w:val="false"/>
          <w:smallCaps w:val="false"/>
          <w:color w:val="000000"/>
          <w:spacing w:val="2"/>
          <w:sz w:val="20"/>
          <w:u w:val="single"/>
        </w:rPr>
        <w:t>Malus and Claw-Back Provisions</w:t>
      </w:r>
      <w:r>
        <w:rPr>
          <w:rFonts w:ascii="Tahoma;Geneva;sans-serif" w:hAnsi="Tahoma;Geneva;sans-serif"/>
          <w:b w:val="false"/>
          <w:i w:val="false"/>
          <w:caps w:val="false"/>
          <w:smallCaps w:val="false"/>
          <w:color w:val="000000"/>
          <w:spacing w:val="2"/>
          <w:sz w:val="20"/>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claw-back policy implemented by the Company, including, without limitation, the LivaNova Compensation Recoupment Policy, the LivaNova Incentive Compensation Clawback Policy and any other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10.6      </w:t>
      </w:r>
      <w:r>
        <w:rPr>
          <w:rFonts w:ascii="Tahoma;Geneva;sans-serif" w:hAnsi="Tahoma;Geneva;sans-serif"/>
          <w:b w:val="false"/>
          <w:i w:val="false"/>
          <w:caps w:val="false"/>
          <w:smallCaps w:val="false"/>
          <w:color w:val="000000"/>
          <w:spacing w:val="2"/>
          <w:sz w:val="20"/>
          <w:u w:val="single"/>
        </w:rPr>
        <w:t>Prohibition on Repricing</w:t>
      </w:r>
      <w:r>
        <w:rPr>
          <w:rFonts w:ascii="Tahoma;Geneva;sans-serif" w:hAnsi="Tahoma;Geneva;sans-serif"/>
          <w:b w:val="false"/>
          <w:i w:val="false"/>
          <w:caps w:val="false"/>
          <w:smallCaps w:val="false"/>
          <w:color w:val="000000"/>
          <w:spacing w:val="2"/>
          <w:sz w:val="20"/>
        </w:rPr>
        <w:t xml:space="preserve">. Subject to Section 12.2, the Administrator shall not, without the approval of the shareholders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A-18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89"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274" descr=""/>
                          <pic:cNvPicPr>
                            <a:picLocks noChangeAspect="1" noChangeArrowheads="1"/>
                          </pic:cNvPicPr>
                        </pic:nvPicPr>
                        <pic:blipFill>
                          <a:blip r:embed="rId27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90"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275" descr=""/>
                    <pic:cNvPicPr>
                      <a:picLocks noChangeAspect="1" noChangeArrowheads="1"/>
                    </pic:cNvPicPr>
                  </pic:nvPicPr>
                  <pic:blipFill>
                    <a:blip r:embed="rId27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Appreciation Rights in exchange for cash or other Awards with an exercise price per Share that is less than the exercise price per Share of the original Options or Stock Appreciation Rights without the approval of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10.7      </w:t>
      </w:r>
      <w:r>
        <w:rPr>
          <w:rFonts w:ascii="Tahoma;Geneva;sans-serif" w:hAnsi="Tahoma;Geneva;sans-serif"/>
          <w:b w:val="false"/>
          <w:i w:val="false"/>
          <w:caps w:val="false"/>
          <w:smallCaps w:val="false"/>
          <w:color w:val="000000"/>
          <w:spacing w:val="2"/>
          <w:sz w:val="20"/>
          <w:u w:val="single"/>
        </w:rPr>
        <w:t>Amendment of Awards</w:t>
      </w:r>
      <w:r>
        <w:rPr>
          <w:rFonts w:ascii="Tahoma;Geneva;sans-serif" w:hAnsi="Tahoma;Geneva;sans-serif"/>
          <w:b w:val="false"/>
          <w:i w:val="false"/>
          <w:caps w:val="false"/>
          <w:smallCaps w:val="false"/>
          <w:color w:val="000000"/>
          <w:spacing w:val="2"/>
          <w:sz w:val="20"/>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12.9).</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10.8      </w:t>
      </w:r>
      <w:r>
        <w:rPr>
          <w:rFonts w:ascii="Tahoma;Geneva;sans-serif" w:hAnsi="Tahoma;Geneva;sans-serif"/>
          <w:b w:val="false"/>
          <w:i w:val="false"/>
          <w:caps w:val="false"/>
          <w:smallCaps w:val="false"/>
          <w:color w:val="000000"/>
          <w:spacing w:val="2"/>
          <w:sz w:val="20"/>
          <w:u w:val="single"/>
        </w:rPr>
        <w:t>Data Protection</w:t>
      </w:r>
      <w:r>
        <w:rPr>
          <w:rFonts w:ascii="Tahoma;Geneva;sans-serif" w:hAnsi="Tahoma;Geneva;sans-serif"/>
          <w:b w:val="false"/>
          <w:i w:val="false"/>
          <w:caps w:val="false"/>
          <w:smallCaps w:val="false"/>
          <w:color w:val="000000"/>
          <w:spacing w:val="2"/>
          <w:sz w:val="20"/>
        </w:rPr>
        <w:t>. The Holder acknowledges and understands that the Company or a Subsidiary (including the Holder’s employer), as applicable, shall process personal information about the Holder for the purpose of managing and administering the Plan and the Awards, as described in the relevant Award Agreement and subject to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11.</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ADMINISTRATION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11.1      </w:t>
      </w:r>
      <w:r>
        <w:rPr>
          <w:rFonts w:ascii="Tahoma;Geneva;sans-serif" w:hAnsi="Tahoma;Geneva;sans-serif"/>
          <w:b w:val="false"/>
          <w:i w:val="false"/>
          <w:caps w:val="false"/>
          <w:smallCaps w:val="false"/>
          <w:color w:val="000000"/>
          <w:spacing w:val="2"/>
          <w:sz w:val="20"/>
          <w:u w:val="single"/>
        </w:rPr>
        <w:t>Administrator</w:t>
      </w:r>
      <w:r>
        <w:rPr>
          <w:rFonts w:ascii="Tahoma;Geneva;sans-serif" w:hAnsi="Tahoma;Geneva;sans-serif"/>
          <w:b w:val="false"/>
          <w:i w:val="false"/>
          <w:caps w:val="false"/>
          <w:smallCaps w:val="false"/>
          <w:color w:val="000000"/>
          <w:spacing w:val="2"/>
          <w:sz w:val="20"/>
        </w:rPr>
        <w:t>. The Committee shall administer the Plan (except as otherwise permitted herein). To the extent necessary to comply with Rule 16b-3 of the Exchange Act, the Committee shall take all action with respect to such Awards, and the individuals taking such action shall consist solely of two or more Non-Executive Directors, each of whom is intended to qualify as a “non-executive director” as defined by Rule 16b-3 of the Exchange Act or any successor rule. Additionally, to the extent required by Applicable Law, each of the individuals constituting the Committee shall be an “independent director” under Nasdaq Rule 5605(d)(2) or any successor rule.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appointment of Committee members shall be effective upon acceptance of appointment,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Committee members may resign at any time by delivering written or electronic notice to the Board and (c) vacancies in the Committee may only be filled by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11.2      </w:t>
      </w:r>
      <w:r>
        <w:rPr>
          <w:rFonts w:ascii="Tahoma;Geneva;sans-serif" w:hAnsi="Tahoma;Geneva;sans-serif"/>
          <w:b w:val="false"/>
          <w:i w:val="false"/>
          <w:caps w:val="false"/>
          <w:smallCaps w:val="false"/>
          <w:color w:val="000000"/>
          <w:spacing w:val="2"/>
          <w:sz w:val="20"/>
          <w:u w:val="single"/>
        </w:rPr>
        <w:t>Duties and Powers of Administrator</w:t>
      </w:r>
      <w:r>
        <w:rPr>
          <w:rFonts w:ascii="Tahoma;Geneva;sans-serif" w:hAnsi="Tahoma;Geneva;sans-serif"/>
          <w:b w:val="false"/>
          <w:i w:val="false"/>
          <w:caps w:val="false"/>
          <w:smallCaps w:val="false"/>
          <w:color w:val="000000"/>
          <w:spacing w:val="2"/>
          <w:sz w:val="20"/>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Sections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11.3      </w:t>
      </w:r>
      <w:r>
        <w:rPr>
          <w:rFonts w:ascii="Tahoma;Geneva;sans-serif" w:hAnsi="Tahoma;Geneva;sans-serif"/>
          <w:b w:val="false"/>
          <w:i w:val="false"/>
          <w:caps w:val="false"/>
          <w:smallCaps w:val="false"/>
          <w:color w:val="000000"/>
          <w:spacing w:val="2"/>
          <w:sz w:val="20"/>
          <w:u w:val="single"/>
        </w:rPr>
        <w:t>Action by the Administrator</w:t>
      </w:r>
      <w:r>
        <w:rPr>
          <w:rFonts w:ascii="Tahoma;Geneva;sans-serif" w:hAnsi="Tahoma;Geneva;sans-serif"/>
          <w:b w:val="false"/>
          <w:i w:val="false"/>
          <w:caps w:val="false"/>
          <w:smallCaps w:val="false"/>
          <w:color w:val="000000"/>
          <w:spacing w:val="2"/>
          <w:sz w:val="20"/>
        </w:rPr>
        <w:t xml:space="preserve">.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91"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276" descr=""/>
                          <pic:cNvPicPr>
                            <a:picLocks noChangeAspect="1" noChangeArrowheads="1"/>
                          </pic:cNvPicPr>
                        </pic:nvPicPr>
                        <pic:blipFill>
                          <a:blip r:embed="rId27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A-19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92"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277" descr=""/>
                    <pic:cNvPicPr>
                      <a:picLocks noChangeAspect="1" noChangeArrowheads="1"/>
                    </pic:cNvPicPr>
                  </pic:nvPicPr>
                  <pic:blipFill>
                    <a:blip r:embed="rId27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in good faith, rely or act upon any report or other information furnished to that member by any director, officer or employee of the Company or any Subsidiary, the Company’s independent certified public accountants, or any executive compensation consultant or other professional retained by the Company to assist in the administration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11.4      </w:t>
      </w:r>
      <w:r>
        <w:rPr>
          <w:rFonts w:ascii="Tahoma;Geneva;sans-serif" w:hAnsi="Tahoma;Geneva;sans-serif"/>
          <w:b w:val="false"/>
          <w:i w:val="false"/>
          <w:caps w:val="false"/>
          <w:smallCaps w:val="false"/>
          <w:color w:val="000000"/>
          <w:spacing w:val="2"/>
          <w:sz w:val="20"/>
          <w:u w:val="single"/>
        </w:rPr>
        <w:t>Authority of Administrator</w:t>
      </w:r>
      <w:r>
        <w:rPr>
          <w:rFonts w:ascii="Tahoma;Geneva;sans-serif" w:hAnsi="Tahoma;Geneva;sans-serif"/>
          <w:b w:val="false"/>
          <w:i w:val="false"/>
          <w:caps w:val="false"/>
          <w:smallCaps w:val="false"/>
          <w:color w:val="000000"/>
          <w:spacing w:val="2"/>
          <w:sz w:val="20"/>
        </w:rPr>
        <w:t>. Subject to the Organizational Documents, any specific designation in the Plan and Applicable Law, the Administrator has the exclusive power, authority and sole discretion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Designate Eligible Individuals to receive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Determine the type or types of Awards to be granted to each Eligible Individual (including, without limitation, any Awards granted in tandem with another Award granted pursuant to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Determine the number of Awards to be granted and the number of Shares to which an Award will relate;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Determine whether, to what extent, and under what circumstances an Award may be settled in, or the exercise price of an Award may be paid in cash, Shares, other Awards, or other property, or an Award may be canceled, forfeited, or surrendered;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Prescribe the form of each Award Agreement, which need not be identical for each Holder;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      Decide all other matters that must be determined in connection with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      Establish, adopt, or revise any Programs, rules and regulations as it may deem necessary or advisable to administer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Interpret the terms of, and any matter arising pursuant to, the Plan, any Program or any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(j)      Make all other decisions and determinations that may be required pursuant to the Plan or as the Administrator deems necessary or advisable to administer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(k)      Permit any Award or portion thereof to continue to vest on the date(s) set out in the applicable Program or Award Agreement in the event of a Holder’s Termination of Service due to retirement, subject to whatever terms and conditions it selects;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      Accelerate wholly or partially the vesting or lapse of restrictions of any Award or portion thereof in the event of a Holder’s Termination of Service due to death or disability, subject to whatever terms and conditions it selects and Section 12.2.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11.5      </w:t>
      </w:r>
      <w:r>
        <w:rPr>
          <w:rFonts w:ascii="Tahoma;Geneva;sans-serif" w:hAnsi="Tahoma;Geneva;sans-serif"/>
          <w:b w:val="false"/>
          <w:i w:val="false"/>
          <w:caps w:val="false"/>
          <w:smallCaps w:val="false"/>
          <w:color w:val="000000"/>
          <w:spacing w:val="2"/>
          <w:sz w:val="20"/>
          <w:u w:val="single"/>
        </w:rPr>
        <w:t>Decisions Binding</w:t>
      </w:r>
      <w:r>
        <w:rPr>
          <w:rFonts w:ascii="Tahoma;Geneva;sans-serif" w:hAnsi="Tahoma;Geneva;sans-serif"/>
          <w:b w:val="false"/>
          <w:i w:val="false"/>
          <w:caps w:val="false"/>
          <w:smallCaps w:val="false"/>
          <w:color w:val="000000"/>
          <w:spacing w:val="2"/>
          <w:sz w:val="20"/>
        </w:rPr>
        <w:t>. The Administrator’s interpretation of the Plan, any Awards granted pursuant to the Plan, any Program or any Award Agreement and all decisions and determinations by the Administrator with respect to the Plan are final, binding and conclusive on all Persons.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11.6      </w:t>
      </w:r>
      <w:r>
        <w:rPr>
          <w:rFonts w:ascii="Tahoma;Geneva;sans-serif" w:hAnsi="Tahoma;Geneva;sans-serif"/>
          <w:b w:val="false"/>
          <w:i w:val="false"/>
          <w:caps w:val="false"/>
          <w:smallCaps w:val="false"/>
          <w:color w:val="000000"/>
          <w:spacing w:val="2"/>
          <w:sz w:val="20"/>
          <w:u w:val="single"/>
        </w:rPr>
        <w:t>Delegation of Authority</w:t>
      </w:r>
      <w:r>
        <w:rPr>
          <w:rFonts w:ascii="Tahoma;Geneva;sans-serif" w:hAnsi="Tahoma;Geneva;sans-serif"/>
          <w:b w:val="false"/>
          <w:i w:val="false"/>
          <w:caps w:val="false"/>
          <w:smallCaps w:val="false"/>
          <w:color w:val="000000"/>
          <w:spacing w:val="2"/>
          <w:sz w:val="20"/>
        </w:rPr>
        <w:t xml:space="preserve">.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xml:space="preserve">, that in no event shall a member of the Board or an officer of the Company be delegated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9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278" descr=""/>
                          <pic:cNvPicPr>
                            <a:picLocks noChangeAspect="1" noChangeArrowheads="1"/>
                          </pic:cNvPicPr>
                        </pic:nvPicPr>
                        <pic:blipFill>
                          <a:blip r:embed="rId27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94"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279" descr=""/>
                    <pic:cNvPicPr>
                      <a:picLocks noChangeAspect="1" noChangeArrowheads="1"/>
                    </pic:cNvPicPr>
                  </pic:nvPicPr>
                  <pic:blipFill>
                    <a:blip r:embed="rId28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authority to grant Awards to, or amend Awards held by: (a) such individual; (b) any other individual to whom authority to grant or amend Awards has been delegated hereunder; or (c) any individual who is subject to Section 16 of the Exchange Act;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further</w:t>
      </w:r>
      <w:r>
        <w:rPr>
          <w:rFonts w:ascii="Tahoma;Geneva;sans-serif" w:hAnsi="Tahoma;Geneva;sans-serif"/>
          <w:b w:val="false"/>
          <w:i w:val="false"/>
          <w:caps w:val="false"/>
          <w:smallCaps w:val="false"/>
          <w:color w:val="000000"/>
          <w:spacing w:val="2"/>
          <w:sz w:val="20"/>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12.</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MISCELLANEOUS PROVISIONS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12.1      </w:t>
      </w:r>
      <w:r>
        <w:rPr>
          <w:rFonts w:ascii="Tahoma;Geneva;sans-serif" w:hAnsi="Tahoma;Geneva;sans-serif"/>
          <w:b w:val="false"/>
          <w:i w:val="false"/>
          <w:caps w:val="false"/>
          <w:smallCaps w:val="false"/>
          <w:color w:val="000000"/>
          <w:spacing w:val="2"/>
          <w:sz w:val="20"/>
          <w:u w:val="single"/>
        </w:rPr>
        <w:t>Amendment, Suspension or Termination of the Plan</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      Except as otherwise provided in Section 12.1(b), the Plan may be wholly or partially amended or otherwise modified, suspended or terminated at any time or from time to time by the Board;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except as provided in Sections 10.5, 10.7 or 12.9, no amendment, suspension or termination of the Plan shall, without the consent of the Holder, materially and adversely affect any rights or obligations under any Award theretofore granted or awarded, unless the Award itself otherwise expressly so provides.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Notwithstanding Section 12.1(a), the Board may not, except as provided in Section 12.2, take any of the following actions without approval of the Company’s shareholders: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No Awards may be granted or awarded during any period of suspension or after termination of the Plan, and notwithstanding anything herein to the contrary, in no event may any Award be granted under the Plan after April 20, 2032 (the “</w:t>
      </w:r>
      <w:r>
        <w:rPr>
          <w:rFonts w:ascii="Tahoma;Geneva;sans-serif" w:hAnsi="Tahoma;Geneva;sans-serif"/>
          <w:b w:val="false"/>
          <w:i w:val="false"/>
          <w:caps w:val="false"/>
          <w:smallCaps w:val="false"/>
          <w:color w:val="000000"/>
          <w:spacing w:val="2"/>
          <w:sz w:val="20"/>
          <w:u w:val="single"/>
        </w:rPr>
        <w:t>Expiration Date</w:t>
      </w:r>
      <w:r>
        <w:rPr>
          <w:rFonts w:ascii="Tahoma;Geneva;sans-serif" w:hAnsi="Tahoma;Geneva;sans-serif"/>
          <w:b w:val="false"/>
          <w:i w:val="false"/>
          <w:caps w:val="false"/>
          <w:smallCaps w:val="false"/>
          <w:color w:val="000000"/>
          <w:spacing w:val="2"/>
          <w:sz w:val="20"/>
        </w:rPr>
        <w:t>”). Any Awards that are outstanding on the Expiration Date shall remain in force according to the terms of the Plan, the applicable Program and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12.2      </w:t>
      </w:r>
      <w:r>
        <w:rPr>
          <w:rFonts w:ascii="Tahoma;Geneva;sans-serif" w:hAnsi="Tahoma;Geneva;sans-serif"/>
          <w:b w:val="false"/>
          <w:i w:val="false"/>
          <w:caps w:val="false"/>
          <w:smallCaps w:val="false"/>
          <w:color w:val="000000"/>
          <w:spacing w:val="2"/>
          <w:sz w:val="20"/>
          <w:u w:val="single"/>
        </w:rPr>
        <w:t>Changes in Shares or Assets of the Company, Acquisition or Liquidation of the Company and Other Corporate Events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95"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280" descr=""/>
                          <pic:cNvPicPr>
                            <a:picLocks noChangeAspect="1" noChangeArrowheads="1"/>
                          </pic:cNvPicPr>
                        </pic:nvPicPr>
                        <pic:blipFill>
                          <a:blip r:embed="rId28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A-21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96"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281" descr=""/>
                    <pic:cNvPicPr>
                      <a:picLocks noChangeAspect="1" noChangeArrowheads="1"/>
                    </pic:cNvPicPr>
                  </pic:nvPicPr>
                  <pic:blipFill>
                    <a:blip r:embed="rId28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(iii)    To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(iv)      To provide that such Award shall be exercisable or payable or fully vested with respect to all Shares covered thereby, notwithstanding anything to the contrary in the Plan or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      To replace such Award with other rights or property selected by the Administrator; and/or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(vi)      To provide that the Award cannot vest, be exercised or become payable after such event.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In connection with the occurrence of any Equity Restructuring, and notwithstanding anything to the contrary in Sections 12.2(a) and 12.2(b):</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33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697"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282" descr=""/>
                          <pic:cNvPicPr>
                            <a:picLocks noChangeAspect="1" noChangeArrowheads="1"/>
                          </pic:cNvPicPr>
                        </pic:nvPicPr>
                        <pic:blipFill>
                          <a:blip r:embed="rId28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69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283" descr=""/>
                    <pic:cNvPicPr>
                      <a:picLocks noChangeAspect="1" noChangeArrowheads="1"/>
                    </pic:cNvPicPr>
                  </pic:nvPicPr>
                  <pic:blipFill>
                    <a:blip r:embed="rId28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this Section 12.2,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xml:space="preserve">,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 and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further</w:t>
      </w:r>
      <w:r>
        <w:rPr>
          <w:rFonts w:ascii="Tahoma;Geneva;sans-serif" w:hAnsi="Tahoma;Geneva;sans-serif"/>
          <w:b w:val="false"/>
          <w:i w:val="false"/>
          <w:caps w:val="false"/>
          <w:smallCaps w:val="false"/>
          <w:color w:val="000000"/>
          <w:spacing w:val="2"/>
          <w:sz w:val="20"/>
        </w:rPr>
        <w:t>, an Award that vests, is earned or paid-out based upon achievement of Performance Goals will not be considered assumed if such Performance Goals are modified without the Holder’s consent in a manner that could reasonably be expected to have a material adverse impact on the Holder, although a modification to such Performance Goals only to reflect the successor corporation’s post-Change in Control corporate structure will not be deemed to invalidate an otherwise valid Award assumption.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      The Administrator, in its sole discretion, may include such further provisions and limitations in any Award, agreement or certificate, as it may deem equitable and in the best interests of the Company that are not inconsistent with the provisions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      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26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      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699"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284" descr=""/>
                          <pic:cNvPicPr>
                            <a:picLocks noChangeAspect="1" noChangeArrowheads="1"/>
                          </pic:cNvPicPr>
                        </pic:nvPicPr>
                        <pic:blipFill>
                          <a:blip r:embed="rId28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A-23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00"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285" descr=""/>
                    <pic:cNvPicPr>
                      <a:picLocks noChangeAspect="1" noChangeArrowheads="1"/>
                    </pic:cNvPicPr>
                  </pic:nvPicPr>
                  <pic:blipFill>
                    <a:blip r:embed="rId28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(j)      In the event of any pending dividend in specie, sub-division of shares, combination or exchange of shares, merger, consolidation of shares, or other distribution (other than normal cash dividends) of Company assets to shareholders,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12.3      </w:t>
      </w:r>
      <w:r>
        <w:rPr>
          <w:rFonts w:ascii="Tahoma;Geneva;sans-serif" w:hAnsi="Tahoma;Geneva;sans-serif"/>
          <w:b w:val="false"/>
          <w:i w:val="false"/>
          <w:caps w:val="false"/>
          <w:smallCaps w:val="false"/>
          <w:color w:val="000000"/>
          <w:spacing w:val="2"/>
          <w:sz w:val="20"/>
          <w:u w:val="single"/>
        </w:rPr>
        <w:t>No Shareholders Rights</w:t>
      </w:r>
      <w:r>
        <w:rPr>
          <w:rFonts w:ascii="Tahoma;Geneva;sans-serif" w:hAnsi="Tahoma;Geneva;sans-serif"/>
          <w:b w:val="false"/>
          <w:i w:val="false"/>
          <w:caps w:val="false"/>
          <w:smallCaps w:val="false"/>
          <w:color w:val="000000"/>
          <w:spacing w:val="2"/>
          <w:sz w:val="20"/>
        </w:rPr>
        <w:t>. Except as otherwise provided herein or in an applicable Program or Award Agreement, a Holder shall have none of the rights of a shareholder with respect to Shares covered by any Award until the Holder becomes the record owner of such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12.4      </w:t>
      </w:r>
      <w:r>
        <w:rPr>
          <w:rFonts w:ascii="Tahoma;Geneva;sans-serif" w:hAnsi="Tahoma;Geneva;sans-serif"/>
          <w:b w:val="false"/>
          <w:i w:val="false"/>
          <w:caps w:val="false"/>
          <w:smallCaps w:val="false"/>
          <w:color w:val="000000"/>
          <w:spacing w:val="2"/>
          <w:sz w:val="20"/>
          <w:u w:val="single"/>
        </w:rPr>
        <w:t>Paperless Administration</w:t>
      </w:r>
      <w:r>
        <w:rPr>
          <w:rFonts w:ascii="Tahoma;Geneva;sans-serif" w:hAnsi="Tahoma;Geneva;sans-serif"/>
          <w:b w:val="false"/>
          <w:i w:val="false"/>
          <w:caps w:val="false"/>
          <w:smallCaps w:val="false"/>
          <w:color w:val="000000"/>
          <w:spacing w:val="2"/>
          <w:sz w:val="20"/>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12.5      </w:t>
      </w:r>
      <w:r>
        <w:rPr>
          <w:rFonts w:ascii="Tahoma;Geneva;sans-serif" w:hAnsi="Tahoma;Geneva;sans-serif"/>
          <w:b w:val="false"/>
          <w:i w:val="false"/>
          <w:caps w:val="false"/>
          <w:smallCaps w:val="false"/>
          <w:color w:val="000000"/>
          <w:spacing w:val="2"/>
          <w:sz w:val="20"/>
          <w:u w:val="single"/>
        </w:rPr>
        <w:t>Effect of Plan upon Other Compensation Plans</w:t>
      </w:r>
      <w:r>
        <w:rPr>
          <w:rFonts w:ascii="Tahoma;Geneva;sans-serif" w:hAnsi="Tahoma;Geneva;sans-serif"/>
          <w:b w:val="false"/>
          <w:i w:val="false"/>
          <w:caps w:val="false"/>
          <w:smallCaps w:val="false"/>
          <w:color w:val="000000"/>
          <w:spacing w:val="2"/>
          <w:sz w:val="20"/>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Non-Executive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shares or assets of any corporation, partnership, limited liability company, firm or association.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12.6      </w:t>
      </w:r>
      <w:r>
        <w:rPr>
          <w:rFonts w:ascii="Tahoma;Geneva;sans-serif" w:hAnsi="Tahoma;Geneva;sans-serif"/>
          <w:b w:val="false"/>
          <w:i w:val="false"/>
          <w:caps w:val="false"/>
          <w:smallCaps w:val="false"/>
          <w:color w:val="000000"/>
          <w:spacing w:val="2"/>
          <w:sz w:val="20"/>
          <w:u w:val="single"/>
        </w:rPr>
        <w:t>Compliance with Laws</w:t>
      </w:r>
      <w:r>
        <w:rPr>
          <w:rFonts w:ascii="Tahoma;Geneva;sans-serif" w:hAnsi="Tahoma;Geneva;sans-serif"/>
          <w:b w:val="false"/>
          <w:i w:val="false"/>
          <w:caps w:val="false"/>
          <w:smallCaps w:val="false"/>
          <w:color w:val="000000"/>
          <w:spacing w:val="2"/>
          <w:sz w:val="20"/>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12.7      </w:t>
      </w:r>
      <w:r>
        <w:rPr>
          <w:rFonts w:ascii="Tahoma;Geneva;sans-serif" w:hAnsi="Tahoma;Geneva;sans-serif"/>
          <w:b w:val="false"/>
          <w:i w:val="false"/>
          <w:caps w:val="false"/>
          <w:smallCaps w:val="false"/>
          <w:color w:val="000000"/>
          <w:spacing w:val="2"/>
          <w:sz w:val="20"/>
          <w:u w:val="single"/>
        </w:rPr>
        <w:t>Titles and Headings, References to Sections of Applicable Law</w:t>
      </w:r>
      <w:r>
        <w:rPr>
          <w:rFonts w:ascii="Tahoma;Geneva;sans-serif" w:hAnsi="Tahoma;Geneva;sans-serif"/>
          <w:b w:val="false"/>
          <w:i w:val="false"/>
          <w:caps w:val="false"/>
          <w:smallCaps w:val="false"/>
          <w:color w:val="000000"/>
          <w:spacing w:val="2"/>
          <w:sz w:val="20"/>
        </w:rPr>
        <w:t>.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12.8      </w:t>
      </w:r>
      <w:r>
        <w:rPr>
          <w:rFonts w:ascii="Tahoma;Geneva;sans-serif" w:hAnsi="Tahoma;Geneva;sans-serif"/>
          <w:b w:val="false"/>
          <w:i w:val="false"/>
          <w:caps w:val="false"/>
          <w:smallCaps w:val="false"/>
          <w:color w:val="000000"/>
          <w:spacing w:val="2"/>
          <w:sz w:val="20"/>
          <w:u w:val="single"/>
        </w:rPr>
        <w:t>Governing Law</w:t>
      </w:r>
      <w:r>
        <w:rPr>
          <w:rFonts w:ascii="Tahoma;Geneva;sans-serif" w:hAnsi="Tahoma;Geneva;sans-serif"/>
          <w:b w:val="false"/>
          <w:i w:val="false"/>
          <w:caps w:val="false"/>
          <w:smallCaps w:val="false"/>
          <w:color w:val="000000"/>
          <w:spacing w:val="2"/>
          <w:sz w:val="20"/>
        </w:rPr>
        <w:t>. The Plan and any Programs and Award Agreements hereunder shall be administered, interpreted and enforced under the internal laws of the State of Delaware without regard to conflicts of laws thereof or of any other jurisdiction.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0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286" descr=""/>
                          <pic:cNvPicPr>
                            <a:picLocks noChangeAspect="1" noChangeArrowheads="1"/>
                          </pic:cNvPicPr>
                        </pic:nvPicPr>
                        <pic:blipFill>
                          <a:blip r:embed="rId28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0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287" descr=""/>
                    <pic:cNvPicPr>
                      <a:picLocks noChangeAspect="1" noChangeArrowheads="1"/>
                    </pic:cNvPicPr>
                  </pic:nvPicPr>
                  <pic:blipFill>
                    <a:blip r:embed="rId28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184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12.9      </w:t>
      </w:r>
      <w:r>
        <w:rPr>
          <w:rFonts w:ascii="Tahoma;Geneva;sans-serif" w:hAnsi="Tahoma;Geneva;sans-serif"/>
          <w:b w:val="false"/>
          <w:i w:val="false"/>
          <w:caps w:val="false"/>
          <w:smallCaps w:val="false"/>
          <w:color w:val="000000"/>
          <w:spacing w:val="2"/>
          <w:sz w:val="20"/>
          <w:u w:val="single"/>
        </w:rPr>
        <w:t>Section 409A</w:t>
      </w:r>
      <w:r>
        <w:rPr>
          <w:rFonts w:ascii="Tahoma;Geneva;sans-serif" w:hAnsi="Tahoma;Geneva;sans-serif"/>
          <w:b w:val="false"/>
          <w:i w:val="false"/>
          <w:caps w:val="false"/>
          <w:smallCaps w:val="false"/>
          <w:color w:val="000000"/>
          <w:spacing w:val="2"/>
          <w:sz w:val="20"/>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12.10      </w:t>
      </w:r>
      <w:r>
        <w:rPr>
          <w:rFonts w:ascii="Tahoma;Geneva;sans-serif" w:hAnsi="Tahoma;Geneva;sans-serif"/>
          <w:b w:val="false"/>
          <w:i w:val="false"/>
          <w:caps w:val="false"/>
          <w:smallCaps w:val="false"/>
          <w:color w:val="000000"/>
          <w:spacing w:val="2"/>
          <w:sz w:val="20"/>
          <w:u w:val="single"/>
        </w:rPr>
        <w:t>Unfunded Status of Awards</w:t>
      </w:r>
      <w:r>
        <w:rPr>
          <w:rFonts w:ascii="Tahoma;Geneva;sans-serif" w:hAnsi="Tahoma;Geneva;sans-serif"/>
          <w:b w:val="false"/>
          <w:i w:val="false"/>
          <w:caps w:val="false"/>
          <w:smallCaps w:val="false"/>
          <w:color w:val="000000"/>
          <w:spacing w:val="2"/>
          <w:sz w:val="20"/>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12.11      </w:t>
      </w:r>
      <w:r>
        <w:rPr>
          <w:rFonts w:ascii="Tahoma;Geneva;sans-serif" w:hAnsi="Tahoma;Geneva;sans-serif"/>
          <w:b w:val="false"/>
          <w:i w:val="false"/>
          <w:caps w:val="false"/>
          <w:smallCaps w:val="false"/>
          <w:color w:val="000000"/>
          <w:spacing w:val="2"/>
          <w:sz w:val="20"/>
          <w:u w:val="single"/>
        </w:rPr>
        <w:t>Indemnification</w:t>
      </w:r>
      <w:r>
        <w:rPr>
          <w:rFonts w:ascii="Tahoma;Geneva;sans-serif" w:hAnsi="Tahoma;Geneva;sans-serif"/>
          <w:b w:val="false"/>
          <w:i w:val="false"/>
          <w:caps w:val="false"/>
          <w:smallCaps w:val="false"/>
          <w:color w:val="000000"/>
          <w:spacing w:val="2"/>
          <w:sz w:val="20"/>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12.12      </w:t>
      </w:r>
      <w:r>
        <w:rPr>
          <w:rFonts w:ascii="Tahoma;Geneva;sans-serif" w:hAnsi="Tahoma;Geneva;sans-serif"/>
          <w:b w:val="false"/>
          <w:i w:val="false"/>
          <w:caps w:val="false"/>
          <w:smallCaps w:val="false"/>
          <w:color w:val="000000"/>
          <w:spacing w:val="2"/>
          <w:sz w:val="20"/>
          <w:u w:val="single"/>
        </w:rPr>
        <w:t>Relationship to other Benefits</w:t>
      </w:r>
      <w:r>
        <w:rPr>
          <w:rFonts w:ascii="Tahoma;Geneva;sans-serif" w:hAnsi="Tahoma;Geneva;sans-serif"/>
          <w:b w:val="false"/>
          <w:i w:val="false"/>
          <w:caps w:val="false"/>
          <w:smallCaps w:val="false"/>
          <w:color w:val="000000"/>
          <w:spacing w:val="2"/>
          <w:sz w:val="20"/>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12.13      </w:t>
      </w:r>
      <w:r>
        <w:rPr>
          <w:rFonts w:ascii="Tahoma;Geneva;sans-serif" w:hAnsi="Tahoma;Geneva;sans-serif"/>
          <w:b w:val="false"/>
          <w:i w:val="false"/>
          <w:caps w:val="false"/>
          <w:smallCaps w:val="false"/>
          <w:color w:val="000000"/>
          <w:spacing w:val="2"/>
          <w:sz w:val="20"/>
          <w:u w:val="single"/>
        </w:rPr>
        <w:t>Expenses</w:t>
      </w:r>
      <w:r>
        <w:rPr>
          <w:rFonts w:ascii="Tahoma;Geneva;sans-serif" w:hAnsi="Tahoma;Geneva;sans-serif"/>
          <w:b w:val="false"/>
          <w:i w:val="false"/>
          <w:caps w:val="false"/>
          <w:smallCaps w:val="false"/>
          <w:color w:val="000000"/>
          <w:spacing w:val="2"/>
          <w:sz w:val="20"/>
        </w:rPr>
        <w:t xml:space="preserve">. The expenses of administering the Plan shall be borne by the Company and its Subsidiaries.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03"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288" descr=""/>
                          <pic:cNvPicPr>
                            <a:picLocks noChangeAspect="1" noChangeArrowheads="1"/>
                          </pic:cNvPicPr>
                        </pic:nvPicPr>
                        <pic:blipFill>
                          <a:blip r:embed="rId28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A-25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0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89" descr=""/>
                    <pic:cNvPicPr>
                      <a:picLocks noChangeAspect="1" noChangeArrowheads="1"/>
                    </pic:cNvPicPr>
                  </pic:nvPicPr>
                  <pic:blipFill>
                    <a:blip r:embed="rId29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A</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Appendix of Additional Terms and Conditions for Holders </w:t>
        <w:br/>
        <w:t>who are Canadian Holders (as defined below)</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 AND APPLICATION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Appendix (“</w:t>
      </w:r>
      <w:r>
        <w:rPr>
          <w:rFonts w:ascii="Tahoma;Geneva;sans-serif" w:hAnsi="Tahoma;Geneva;sans-serif"/>
          <w:b w:val="false"/>
          <w:i w:val="false"/>
          <w:caps w:val="false"/>
          <w:smallCaps w:val="false"/>
          <w:color w:val="000000"/>
          <w:spacing w:val="2"/>
          <w:sz w:val="20"/>
          <w:u w:val="single"/>
        </w:rPr>
        <w:t>Appendix A</w:t>
      </w:r>
      <w:r>
        <w:rPr>
          <w:rFonts w:ascii="Tahoma;Geneva;sans-serif" w:hAnsi="Tahoma;Geneva;sans-serif"/>
          <w:b w:val="false"/>
          <w:i w:val="false"/>
          <w:caps w:val="false"/>
          <w:smallCaps w:val="false"/>
          <w:color w:val="000000"/>
          <w:spacing w:val="2"/>
          <w:sz w:val="20"/>
        </w:rPr>
        <w:t>”), which is part of the Plan, contains the additional “terms and conditions” of the Plan, any Program, and the Award Agreements that will apply to a Holder if: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at the time the Holder receives a grant of an Award under the Plan, such Holder performs some or all of the duties of the Holder’s engagement with the Company (or any Subsidiary) in Canada (other than where such performance in Canada is not significant in scope and is incidental to duties performed by the relevant Holder outside Canada);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after the receipt by the Holder of a grant of an Award under the Plan, such Holder commences performing some or all of the duties of the Holder’s engagement with the Company (or any Subsidiary) in Canada (other than where such performance in Canada is not significant in scope and is incidental to duties performed by the relevant Holder outside Canada, in which case the additional terms and conditions of this Appendix A shall be deemed to apply from the date on which the relevant Award was granted), in each case such a Holder being a “</w:t>
      </w:r>
      <w:r>
        <w:rPr>
          <w:rFonts w:ascii="Tahoma;Geneva;sans-serif" w:hAnsi="Tahoma;Geneva;sans-serif"/>
          <w:b w:val="false"/>
          <w:i w:val="false"/>
          <w:caps w:val="false"/>
          <w:smallCaps w:val="false"/>
          <w:color w:val="000000"/>
          <w:spacing w:val="2"/>
          <w:sz w:val="20"/>
          <w:u w:val="single"/>
        </w:rPr>
        <w:t>Canadian Holder</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conflict between the terms of the Plan, any applicable Program or an Award Agreement and the terms of this Appendix A with respect to a Canadian Holder, the terms of this Appendix A shall govern. Capitalized terms used but not defined herein shall have the same meanings assigned to them in the Plan, any applicable Program or the Award Agreements.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ADDITIONAL TERMS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1.      </w:t>
      </w:r>
      <w:r>
        <w:rPr>
          <w:rFonts w:ascii="Tahoma;Geneva;sans-serif" w:hAnsi="Tahoma;Geneva;sans-serif"/>
          <w:b w:val="false"/>
          <w:i w:val="false"/>
          <w:caps w:val="false"/>
          <w:smallCaps w:val="false"/>
          <w:color w:val="000000"/>
          <w:spacing w:val="2"/>
          <w:sz w:val="20"/>
          <w:u w:val="single"/>
        </w:rPr>
        <w:t>Transferability of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Section 10.3(c) of the Plan, all references to a Holder being “married” and/or the Holder’s “spouse” shall be read as including references to a Holder being in a common law or civil partnership and/or being a spouse, and all references to a Holder’s “spouse” shall be read as including references to a Holder’s civil or common law partner as well as being married.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w:t>
      </w:r>
      <w:r>
        <w:rPr>
          <w:rFonts w:ascii="Tahoma;Geneva;sans-serif" w:hAnsi="Tahoma;Geneva;sans-serif"/>
          <w:b w:val="false"/>
          <w:i w:val="false"/>
          <w:caps w:val="false"/>
          <w:smallCaps w:val="false"/>
          <w:color w:val="000000"/>
          <w:spacing w:val="2"/>
          <w:sz w:val="20"/>
          <w:u w:val="single"/>
        </w:rPr>
        <w:t>Relationship to other Benefits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supplements Section 12.12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Plan shall not form part of any contract of employment between any Canadian Holder and his or her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No Canadian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Canadian Holder’s employment by, or (ii) notice to terminate such Canadian Holder’s employment given by or to, the Company or any Subsidiary, subject only to the minimum entitlements under the Applicable Laws, including the applicable employment standards legislation.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3.      </w:t>
      </w:r>
      <w:r>
        <w:rPr>
          <w:rFonts w:ascii="Tahoma;Geneva;sans-serif" w:hAnsi="Tahoma;Geneva;sans-serif"/>
          <w:b w:val="false"/>
          <w:i w:val="false"/>
          <w:caps w:val="false"/>
          <w:smallCaps w:val="false"/>
          <w:color w:val="000000"/>
          <w:spacing w:val="2"/>
          <w:sz w:val="20"/>
          <w:u w:val="single"/>
        </w:rPr>
        <w:t>Miscellaneous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Arial;Tahoma;Geneva;sans-serif" w:hAnsi="Arial;Tahoma;Geneva;sans-serif"/>
          <w:b/>
          <w:i/>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The parties acknowledge having requested that the present Agreement and all related documents be drafted in English only. </w:t>
      </w:r>
      <w:r>
        <w:rPr>
          <w:rFonts w:ascii="Arial;Tahoma;Geneva;sans-serif" w:hAnsi="Arial;Tahoma;Geneva;sans-serif"/>
          <w:b/>
          <w:i/>
          <w:caps w:val="false"/>
          <w:smallCaps w:val="false"/>
          <w:color w:val="000000"/>
          <w:spacing w:val="-5"/>
          <w:sz w:val="20"/>
        </w:rPr>
        <w:t>Les parties reconnaissent avoir demandé que le présent contrat et les documents joints soient rédigés en anglais seulement</w:t>
      </w:r>
      <w:r>
        <w:rPr>
          <w:rFonts w:ascii="Tahoma;Geneva;sans-serif" w:hAnsi="Tahoma;Geneva;sans-serif"/>
          <w:b w:val="false"/>
          <w:i w:val="false"/>
          <w:caps w:val="false"/>
          <w:smallCaps w:val="false"/>
          <w:color w:val="000000"/>
          <w:spacing w:val="2"/>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05"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290" descr=""/>
                          <pic:cNvPicPr>
                            <a:picLocks noChangeAspect="1" noChangeArrowheads="1"/>
                          </pic:cNvPicPr>
                        </pic:nvPicPr>
                        <pic:blipFill>
                          <a:blip r:embed="rId29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06"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291" descr=""/>
                    <pic:cNvPicPr>
                      <a:picLocks noChangeAspect="1" noChangeArrowheads="1"/>
                    </pic:cNvPicPr>
                  </pic:nvPicPr>
                  <pic:blipFill>
                    <a:blip r:embed="rId29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B</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5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Appendix of Additional Terms and Conditions for Holders </w:t>
        <w:br/>
        <w:t>who are French Holders (as defined below)</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Administrator has adopted this French sub-plan (the “</w:t>
      </w:r>
      <w:r>
        <w:rPr>
          <w:rFonts w:ascii="Tahoma;Geneva;sans-serif" w:hAnsi="Tahoma;Geneva;sans-serif"/>
          <w:b w:val="false"/>
          <w:i w:val="false"/>
          <w:caps w:val="false"/>
          <w:smallCaps w:val="false"/>
          <w:color w:val="000000"/>
          <w:spacing w:val="2"/>
          <w:sz w:val="20"/>
          <w:u w:val="single"/>
        </w:rPr>
        <w:t>French Sub-Plan</w:t>
      </w:r>
      <w:r>
        <w:rPr>
          <w:rFonts w:ascii="Tahoma;Geneva;sans-serif" w:hAnsi="Tahoma;Geneva;sans-serif"/>
          <w:b w:val="false"/>
          <w:i w:val="false"/>
          <w:caps w:val="false"/>
          <w:smallCaps w:val="false"/>
          <w:color w:val="000000"/>
          <w:spacing w:val="2"/>
          <w:sz w:val="20"/>
        </w:rPr>
        <w:t>”) pursuant to the powers granted to the Administrator in Section 4.5 of the Plan (as it may be amended or restated from time to time), subject to the approval of the shareholders of the Company which was received on June 13, 2022. This French Sub-Plan provides additional definitions and conditions that will apply to the operation of the Plan with respect to Restricted Stock Units granted to a French Holder in the employ of a French Subsidiary (as defined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primary purpose of the French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in order to allow the French Holder to benefit from the related favorable tax and social regime as set out in particular in 80 </w:t>
      </w:r>
      <w:r>
        <w:rPr>
          <w:rFonts w:ascii="Tahoma;Geneva;sans-serif" w:hAnsi="Tahoma;Geneva;sans-serif"/>
          <w:b w:val="false"/>
          <w:i/>
          <w:caps w:val="false"/>
          <w:smallCaps w:val="false"/>
          <w:color w:val="000000"/>
          <w:sz w:val="20"/>
        </w:rPr>
        <w:t>quaterdecies</w:t>
      </w:r>
      <w:r>
        <w:rPr>
          <w:rFonts w:ascii="Tahoma;Geneva;sans-serif" w:hAnsi="Tahoma;Geneva;sans-serif"/>
          <w:b w:val="false"/>
          <w:i w:val="false"/>
          <w:caps w:val="false"/>
          <w:smallCaps w:val="false"/>
          <w:color w:val="000000"/>
          <w:spacing w:val="2"/>
          <w:sz w:val="20"/>
        </w:rPr>
        <w:t xml:space="preserve"> of the French Tax Code and L. 242 1 of the French Social Security Code; provided, however, that, nothing in the French Sub-Plan shall be construed as a guarantee or an undertaking by the Company, or any of its French Subsidiaries that such regime will effectively apply. In particular, the Company reserves the right to take actions that may subsequently result in the disqualification of the Restricted Stock Units granted under the French Sub-Plan for French tax and/or social security purposes.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additional terms and conditions provided for by the French Sub-Plan are specific to the French Holders in the employ of a French Subsidiary only and do not affect the rights afforded to any other individual granted Restricted Stock Units or any other award under the Plan. The additional terms and conditions provided for by the French Sub-Plan also do not affect the terms of the Plan for purposes of compliance with U.S. laws (including, without limitation, tax and securities laws).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Capitalized terms not specifically defined herein shall have the meanings specified in the Plan. In addition, the following terms shall have the meanings set forth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u w:val="single"/>
        </w:rPr>
        <w:t>Fair Market Value</w:t>
      </w:r>
      <w:r>
        <w:rPr>
          <w:rFonts w:ascii="Tahoma;Geneva;sans-serif" w:hAnsi="Tahoma;Geneva;sans-serif"/>
          <w:b w:val="false"/>
          <w:i w:val="false"/>
          <w:caps w:val="false"/>
          <w:smallCaps w:val="false"/>
          <w:color w:val="000000"/>
          <w:spacing w:val="2"/>
          <w:sz w:val="20"/>
        </w:rPr>
        <w:t>” shall mean, as of any given date, the opening sales price for a Share as quoted on the Nasdaq Global Select Market for such date or, if there is no opening sales price for a Share on the date in question, the closing sales price for a Share on the last preceding date for which such quotation exists, as reported in The Wall Street Journal or such other source as the Administrator deems reliable.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u w:val="single"/>
        </w:rPr>
        <w:t>French Holder</w:t>
      </w:r>
      <w:r>
        <w:rPr>
          <w:rFonts w:ascii="Tahoma;Geneva;sans-serif" w:hAnsi="Tahoma;Geneva;sans-serif"/>
          <w:b w:val="false"/>
          <w:i w:val="false"/>
          <w:caps w:val="false"/>
          <w:smallCaps w:val="false"/>
          <w:color w:val="000000"/>
          <w:spacing w:val="2"/>
          <w:sz w:val="20"/>
        </w:rPr>
        <w:t>” shall mean an Eligible Individual who has been granted Restricted Stock Units pursuant to the Plan as amended by the French Sub-Plan.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u w:val="single"/>
        </w:rPr>
        <w:t>French Subsidiary</w:t>
      </w:r>
      <w:r>
        <w:rPr>
          <w:rFonts w:ascii="Tahoma;Geneva;sans-serif" w:hAnsi="Tahoma;Geneva;sans-serif"/>
          <w:b w:val="false"/>
          <w:i w:val="false"/>
          <w:caps w:val="false"/>
          <w:smallCaps w:val="false"/>
          <w:color w:val="000000"/>
          <w:spacing w:val="2"/>
          <w:sz w:val="20"/>
        </w:rPr>
        <w:t>” shall mean a company incorporated according to the laws of France in which the Company holds, directly or indirectly, at least 10% of the share capital or the voting rights.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u w:val="single"/>
        </w:rPr>
        <w:t>Grant Date</w:t>
      </w:r>
      <w:r>
        <w:rPr>
          <w:rFonts w:ascii="Tahoma;Geneva;sans-serif" w:hAnsi="Tahoma;Geneva;sans-serif"/>
          <w:b w:val="false"/>
          <w:i w:val="false"/>
          <w:caps w:val="false"/>
          <w:smallCaps w:val="false"/>
          <w:color w:val="000000"/>
          <w:spacing w:val="2"/>
          <w:sz w:val="20"/>
        </w:rPr>
        <w:t>” shall mean the date on which the Administrator (i) makes the determination granting the Restricted Stock Units to an Eligible Individual, and (ii) determines the number of Restricted Stock Units granted to such Eligible Individual and (iii) determines the consideration to be paid, if 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The provisions of this French Sub-Plan form an integral part of the Plan and each Restricted Stock Unit granted to an Eligible Individual in the employ of a French Subsidiary shall be governed by the provisions of this French Sub-Plan (unless provided otherwise in the Award Agreement). In the event of any inconsistency between the Plan and the French Sub-Plan, the terms of the French Sub-Plan shall control;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French Holders may not obtain rights or benefits under the French Sub-Plan if not entitled to such rights or benefits pursuant to the provisions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 other provisions of the Plan, only Restricted Stock Units as provided under article 8 of the Plan may be granted under the French Sub-Plan to Eligible Individuals resident in France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1.      </w:t>
      </w:r>
      <w:r>
        <w:rPr>
          <w:rFonts w:ascii="Tahoma;Geneva;sans-serif" w:hAnsi="Tahoma;Geneva;sans-serif"/>
          <w:b w:val="false"/>
          <w:i w:val="false"/>
          <w:caps w:val="false"/>
          <w:smallCaps w:val="false"/>
          <w:color w:val="000000"/>
          <w:spacing w:val="2"/>
          <w:sz w:val="20"/>
          <w:u w:val="single"/>
        </w:rPr>
        <w:t>Eligible Individual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Any person employed by a French Subsidiary under the terms of a written or oral employment agreement, resident and providing services in France who might be granted Restricted Stock Units under French law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0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292" descr=""/>
                          <pic:cNvPicPr>
                            <a:picLocks noChangeAspect="1" noChangeArrowheads="1"/>
                          </pic:cNvPicPr>
                        </pic:nvPicPr>
                        <pic:blipFill>
                          <a:blip r:embed="rId29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A-27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08"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293" descr=""/>
                    <pic:cNvPicPr>
                      <a:picLocks noChangeAspect="1" noChangeArrowheads="1"/>
                    </pic:cNvPicPr>
                  </pic:nvPicPr>
                  <pic:blipFill>
                    <a:blip r:embed="rId29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who would be subject to taxation in France with respect to income derived from such grants is an Eligible Individual for the purpose of this French Sub-Plan, provided that this person does not own, on the Grant Date and/or will not own as a result of the delivery of the Shares derived from the Restricted Stock Units, shares representing more than 10% of the issued share capital of the Company. Compliance with this 10% threshold will be analyzed on the Grant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w:t>
      </w:r>
      <w:r>
        <w:rPr>
          <w:rFonts w:ascii="Tahoma;Geneva;sans-serif" w:hAnsi="Tahoma;Geneva;sans-serif"/>
          <w:b w:val="false"/>
          <w:i w:val="false"/>
          <w:caps w:val="false"/>
          <w:smallCaps w:val="false"/>
          <w:color w:val="000000"/>
          <w:spacing w:val="2"/>
          <w:sz w:val="20"/>
          <w:u w:val="single"/>
        </w:rPr>
        <w:t>Number of Restricted Stock Units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total number of Restricted Stock Units granted under the French Sub-Plan is subject to the Plan limits and, in no event, may exceed 15% of the Company’s stock upon the Grant Date (when added together with other Restricted Stock Units granted by the Company under the Plan, but excluding Restricted Stock Units which have not vested at the end of the Acquisition Period and Shares underlying the Restricted Stock Units which are no longer subject to a Holding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3.      </w:t>
      </w:r>
      <w:r>
        <w:rPr>
          <w:rFonts w:ascii="Tahoma;Geneva;sans-serif" w:hAnsi="Tahoma;Geneva;sans-serif"/>
          <w:b w:val="false"/>
          <w:i w:val="false"/>
          <w:caps w:val="false"/>
          <w:smallCaps w:val="false"/>
          <w:color w:val="000000"/>
          <w:spacing w:val="2"/>
          <w:sz w:val="20"/>
          <w:u w:val="single"/>
        </w:rPr>
        <w:t>Nature of grant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grant of Restricted Stock Units under this French Sub-Plan is an irrevocable commitment of the Company for the benefit of the French Holder, subject to such French Holder’s compliance with the provisions of the Plan, the French Sub-Plan and any applicable vesting conditions.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4.      </w:t>
      </w:r>
      <w:r>
        <w:rPr>
          <w:rFonts w:ascii="Tahoma;Geneva;sans-serif" w:hAnsi="Tahoma;Geneva;sans-serif"/>
          <w:b w:val="false"/>
          <w:i w:val="false"/>
          <w:caps w:val="false"/>
          <w:smallCaps w:val="false"/>
          <w:color w:val="000000"/>
          <w:spacing w:val="2"/>
          <w:sz w:val="20"/>
          <w:u w:val="single"/>
        </w:rPr>
        <w:t>Consideration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grant of Restricted Stock Units and the related delivery of Shares to a French Holder will be made for no consideration or, if consideration is required by the law governing the Plan or the company law to which the Company is subject, for a consideration that will not exceed 5% of the Fair Market Value of the Shares on the Grant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5.      </w:t>
      </w:r>
      <w:r>
        <w:rPr>
          <w:rFonts w:ascii="Tahoma;Geneva;sans-serif" w:hAnsi="Tahoma;Geneva;sans-serif"/>
          <w:b w:val="false"/>
          <w:i w:val="false"/>
          <w:caps w:val="false"/>
          <w:smallCaps w:val="false"/>
          <w:color w:val="000000"/>
          <w:spacing w:val="2"/>
          <w:sz w:val="20"/>
          <w:u w:val="single"/>
        </w:rPr>
        <w:t>Vesting / Delivery of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Restricted Stock Units may only be settled in Shares. Without prejudice to any additional vesting and/or delivery conditions that may be set by the Administrator and included in the Award Agreement, Shares delivered in settlement of the Restricted Stock Units cannot be delivered (the “</w:t>
      </w:r>
      <w:r>
        <w:rPr>
          <w:rFonts w:ascii="Tahoma;Geneva;sans-serif" w:hAnsi="Tahoma;Geneva;sans-serif"/>
          <w:b w:val="false"/>
          <w:i w:val="false"/>
          <w:caps w:val="false"/>
          <w:smallCaps w:val="false"/>
          <w:color w:val="000000"/>
          <w:spacing w:val="2"/>
          <w:sz w:val="20"/>
          <w:u w:val="single"/>
        </w:rPr>
        <w:t>Delivery Date</w:t>
      </w:r>
      <w:r>
        <w:rPr>
          <w:rFonts w:ascii="Tahoma;Geneva;sans-serif" w:hAnsi="Tahoma;Geneva;sans-serif"/>
          <w:b w:val="false"/>
          <w:i w:val="false"/>
          <w:caps w:val="false"/>
          <w:smallCaps w:val="false"/>
          <w:color w:val="000000"/>
          <w:spacing w:val="2"/>
          <w:sz w:val="20"/>
        </w:rPr>
        <w:t>”) to a French Holder prior to the expiration of a one year period (the “</w:t>
      </w:r>
      <w:r>
        <w:rPr>
          <w:rFonts w:ascii="Tahoma;Geneva;sans-serif" w:hAnsi="Tahoma;Geneva;sans-serif"/>
          <w:b w:val="false"/>
          <w:i w:val="false"/>
          <w:caps w:val="false"/>
          <w:smallCaps w:val="false"/>
          <w:color w:val="000000"/>
          <w:spacing w:val="2"/>
          <w:sz w:val="20"/>
          <w:u w:val="single"/>
        </w:rPr>
        <w:t>Acquisition Period</w:t>
      </w:r>
      <w:r>
        <w:rPr>
          <w:rFonts w:ascii="Tahoma;Geneva;sans-serif" w:hAnsi="Tahoma;Geneva;sans-serif"/>
          <w:b w:val="false"/>
          <w:i w:val="false"/>
          <w:caps w:val="false"/>
          <w:smallCaps w:val="false"/>
          <w:color w:val="000000"/>
          <w:spacing w:val="2"/>
          <w:sz w:val="20"/>
        </w:rPr>
        <w:t>”) from the Grant Date. The Shares shall be definitely vested at the end of the Acquisition Period or any longer vesting period provided in the Award Agreement and shall be delivered shortly thereafter. No forfeiture of the Shares can happen between the term of the Acquisition Period, or such longer vesting period provided in the Award Agreement, and the delivery (or the maturity or payment date) of the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the French Holder’s disability of the second or third category (as determined in accordance with Article L 341-4 of the French Social Security Code), the Restricted Stock Units shall immediately vest and the Administrator shall cause the accelerated delivery of the Shares promptly after such event. In addition, in the event of the French Holder’s death, the heirs may request in writing the delivery of the Shares within a six-month period following the French Holder’s death, and the Administrator shall cause such accelerated vesting and delivery promptly after the receipt of such request. Finally, the Administrator may substitute for any outstanding Restricted Stock Units an alternative award, upon the occurrence of the corporate transactions and under the conditions referred to under Article L 225-197-1, III of the French Commercial Code. Otherwise, the Restricted Stock Units may neither be assigned nor transferred in any way during the Acquisition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Shares delivered in settlement of the Restricted Stock Units will be kept in book-entry registration.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6.      </w:t>
      </w:r>
      <w:r>
        <w:rPr>
          <w:rFonts w:ascii="Tahoma;Geneva;sans-serif" w:hAnsi="Tahoma;Geneva;sans-serif"/>
          <w:b w:val="false"/>
          <w:i w:val="false"/>
          <w:caps w:val="false"/>
          <w:smallCaps w:val="false"/>
          <w:color w:val="000000"/>
          <w:spacing w:val="2"/>
          <w:sz w:val="20"/>
          <w:u w:val="single"/>
        </w:rPr>
        <w:t>Transferability of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Shares delivered to the French Holder prior to the end of the second anniversary of the Grant Date cannot be transferred in any manner whatsoever by the French Holder for the period of time from the Delivery Date until after the expiry of the second anniversary of the Grant Date (the “</w:t>
      </w:r>
      <w:r>
        <w:rPr>
          <w:rFonts w:ascii="Tahoma;Geneva;sans-serif" w:hAnsi="Tahoma;Geneva;sans-serif"/>
          <w:b w:val="false"/>
          <w:i w:val="false"/>
          <w:caps w:val="false"/>
          <w:smallCaps w:val="false"/>
          <w:color w:val="000000"/>
          <w:spacing w:val="2"/>
          <w:sz w:val="20"/>
          <w:u w:val="single"/>
        </w:rPr>
        <w:t>Holding Period</w:t>
      </w:r>
      <w:r>
        <w:rPr>
          <w:rFonts w:ascii="Tahoma;Geneva;sans-serif" w:hAnsi="Tahoma;Geneva;sans-serif"/>
          <w:b w:val="false"/>
          <w:i w:val="false"/>
          <w:caps w:val="false"/>
          <w:smallCaps w:val="false"/>
          <w:color w:val="000000"/>
          <w:spacing w:val="2"/>
          <w:sz w:val="20"/>
        </w:rPr>
        <w:t>”), except: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in the case of death of the French Holder or in the event of the French Holder’s disability of the second or third category (as determined in accordance with Article L 341-4 of the French Social Security Code),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A-28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09"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294" descr=""/>
                          <pic:cNvPicPr>
                            <a:picLocks noChangeAspect="1" noChangeArrowheads="1"/>
                          </pic:cNvPicPr>
                        </pic:nvPicPr>
                        <pic:blipFill>
                          <a:blip r:embed="rId29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10"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295" descr=""/>
                    <pic:cNvPicPr>
                      <a:picLocks noChangeAspect="1" noChangeArrowheads="1"/>
                    </pic:cNvPicPr>
                  </pic:nvPicPr>
                  <pic:blipFill>
                    <a:blip r:embed="rId29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in the event of the corporate transactions and under the conditions referred to under Article L 225- 197-1, III of the French Commercial Code (</w:t>
      </w:r>
      <w:r>
        <w:rPr>
          <w:rFonts w:ascii="Tahoma;Geneva;sans-serif" w:hAnsi="Tahoma;Geneva;sans-serif"/>
          <w:b w:val="false"/>
          <w:i/>
          <w:caps w:val="false"/>
          <w:smallCaps w:val="false"/>
          <w:color w:val="000000"/>
          <w:sz w:val="20"/>
        </w:rPr>
        <w:t>Code de commerce</w:t>
      </w:r>
      <w:r>
        <w:rPr>
          <w:rFonts w:ascii="Tahoma;Geneva;sans-serif" w:hAnsi="Tahoma;Geneva;sans-serif"/>
          <w:b w:val="false"/>
          <w:i w:val="false"/>
          <w:caps w:val="false"/>
          <w:smallCaps w:val="false"/>
          <w:color w:val="000000"/>
          <w:spacing w:val="2"/>
          <w:sz w:val="20"/>
        </w:rPr>
        <w:t>), subject to complying with the rollover mechanisms set forth therein.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duration of the Holding Period, if any, shall be determined in the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Even when transferability restrictions have lapsed, the Shares cannot be sold (i) during the thirty calendar day period preceding the announcement of an annual or intermediary financial report that the Company is required to publish and (iii) during the black-out periods provided under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that a French Holder does not comply with these requirements, such French Holder shall be liable for all consequences that the French Subsidiary may suffer as a result of such breach and undertakes to indemnify the French Subsidiary in respect of any amounts that may become payable by the French Subsidiary as a result of such breach.</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Beneficiaries will not benefit from the payment in cash provided for by Section 8.5 of the Plan nor from the payment of Dividend Equivalents provided for by Section 9.2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7.      </w:t>
      </w:r>
      <w:r>
        <w:rPr>
          <w:rFonts w:ascii="Tahoma;Geneva;sans-serif" w:hAnsi="Tahoma;Geneva;sans-serif"/>
          <w:b w:val="false"/>
          <w:i w:val="false"/>
          <w:caps w:val="false"/>
          <w:smallCaps w:val="false"/>
          <w:color w:val="000000"/>
          <w:spacing w:val="2"/>
          <w:sz w:val="20"/>
          <w:u w:val="single"/>
        </w:rPr>
        <w:t>Tax Withholding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Section 10.2 of the Plan will apply to Awards of Restricted stock Units;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French Holders will not satisfy their obligations by having the Company withhold from the number of Shares distributable, if any, a number of Shares having an aggregate value equal to the amount of the required withholding tax. For the avoidance of doubt, any sale of Shares to satisfy the payment of any Tax Liability shall occur only after the expiration of the Holding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8.      </w:t>
      </w:r>
      <w:r>
        <w:rPr>
          <w:rFonts w:ascii="Tahoma;Geneva;sans-serif" w:hAnsi="Tahoma;Geneva;sans-serif"/>
          <w:b w:val="false"/>
          <w:i w:val="false"/>
          <w:caps w:val="false"/>
          <w:smallCaps w:val="false"/>
          <w:color w:val="000000"/>
          <w:spacing w:val="2"/>
          <w:sz w:val="20"/>
          <w:u w:val="single"/>
        </w:rPr>
        <w:t>Adjustments provisions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The provisions of Section 12.2 of the Plan will apply to the Restricted Stock Units granted under this French Sub-Plan;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xml:space="preserve">, that the Administrator may in its sole discretion decide not to apply all or part of the provisions of Section 12.2 of the Plan to such Restricted Stock Units or to apply to such Restricted Stock Units different measures than those applied to other Restricted Stock Units granted pursuant to the Plan, in each case, in order to comply with French law requirements;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further, that, for the avoidance of doubt, the provisions of this Section 9 shall not be construed as an undertaking of the Company or the Administrator to apply the provisions of Section 12.2 in a way that would preserve the favorable tax and social regime as set out in particular in Articles 80 </w:t>
      </w:r>
      <w:r>
        <w:rPr>
          <w:rFonts w:ascii="Tahoma;Geneva;sans-serif" w:hAnsi="Tahoma;Geneva;sans-serif"/>
          <w:b w:val="false"/>
          <w:i/>
          <w:caps w:val="false"/>
          <w:smallCaps w:val="false"/>
          <w:color w:val="000000"/>
          <w:sz w:val="20"/>
        </w:rPr>
        <w:t>quaterdecies</w:t>
      </w:r>
      <w:r>
        <w:rPr>
          <w:rFonts w:ascii="Tahoma;Geneva;sans-serif" w:hAnsi="Tahoma;Geneva;sans-serif"/>
          <w:b w:val="false"/>
          <w:i w:val="false"/>
          <w:caps w:val="false"/>
          <w:smallCaps w:val="false"/>
          <w:color w:val="000000"/>
          <w:spacing w:val="2"/>
          <w:sz w:val="20"/>
        </w:rPr>
        <w:t xml:space="preserve"> of the French Tax Code and L. 242 1 of the French Social Security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9.      </w:t>
      </w:r>
      <w:r>
        <w:rPr>
          <w:rFonts w:ascii="Tahoma;Geneva;sans-serif" w:hAnsi="Tahoma;Geneva;sans-serif"/>
          <w:b w:val="false"/>
          <w:i w:val="false"/>
          <w:caps w:val="false"/>
          <w:smallCaps w:val="false"/>
          <w:color w:val="000000"/>
          <w:spacing w:val="2"/>
          <w:sz w:val="20"/>
          <w:u w:val="single"/>
        </w:rPr>
        <w:t>Amendment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Subject to the terms of the Plan, the Administrator reserves the right to amend or terminate this French Sub-Plan at any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10.      </w:t>
      </w:r>
      <w:r>
        <w:rPr>
          <w:rFonts w:ascii="Tahoma;Geneva;sans-serif" w:hAnsi="Tahoma;Geneva;sans-serif"/>
          <w:b w:val="false"/>
          <w:i w:val="false"/>
          <w:caps w:val="false"/>
          <w:smallCaps w:val="false"/>
          <w:color w:val="000000"/>
          <w:spacing w:val="2"/>
          <w:sz w:val="20"/>
          <w:u w:val="single"/>
        </w:rPr>
        <w:t>Other Terms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Without prejudice to the provisions of the Plan expressly or impliedly set aside or modified by this French Sub-Plan, Article 5, Article 6, Article 7 and Article 9 of the Plan and Sections 10.3(a)(iii), 10.6, 11.6 of the Plan will not apply to French Holders. Unless provided otherwise in this French Sub-Plan, the terms and conditions of the Plan shall remain unchanged.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11.      </w:t>
      </w:r>
      <w:r>
        <w:rPr>
          <w:rFonts w:ascii="Tahoma;Geneva;sans-serif" w:hAnsi="Tahoma;Geneva;sans-serif"/>
          <w:b w:val="false"/>
          <w:i w:val="false"/>
          <w:caps w:val="false"/>
          <w:smallCaps w:val="false"/>
          <w:color w:val="000000"/>
          <w:spacing w:val="2"/>
          <w:sz w:val="20"/>
          <w:u w:val="single"/>
        </w:rPr>
        <w:t>Language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Arial;Tahoma;Geneva;sans-serif" w:hAnsi="Arial;Tahoma;Geneva;sans-serif"/>
          <w:b/>
          <w:i/>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Any Eligible Individual accepting an Award of Restricted Stock Units under this French Sub-Plan acknowledges in doing so that he or she is proficient in English and that he or she fully understands the terms and conditions thereof, as well as those of the Plan. </w:t>
      </w:r>
      <w:r>
        <w:rPr>
          <w:rFonts w:ascii="Arial;Tahoma;Geneva;sans-serif" w:hAnsi="Arial;Tahoma;Geneva;sans-serif"/>
          <w:b/>
          <w:i/>
          <w:caps w:val="false"/>
          <w:smallCaps w:val="false"/>
          <w:color w:val="000000"/>
          <w:spacing w:val="-5"/>
          <w:sz w:val="20"/>
        </w:rPr>
        <w:t>L’Individu Eligible qui accepte une attribution gratuite d’actions reconnait qu’il ou elle maitrise l’anglais et qu’il ou elle comprend entièrement les termes et conditions du Sous Plan ainsi que ceux du Plan</w:t>
      </w:r>
      <w:r>
        <w:rPr>
          <w:rFonts w:ascii="Tahoma;Geneva;sans-serif" w:hAnsi="Tahoma;Geneva;sans-serif"/>
          <w:b w:val="false"/>
          <w:i w:val="false"/>
          <w:caps w:val="false"/>
          <w:smallCaps w:val="false"/>
          <w:color w:val="000000"/>
          <w:spacing w:val="2"/>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11"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296" descr=""/>
                          <pic:cNvPicPr>
                            <a:picLocks noChangeAspect="1" noChangeArrowheads="1"/>
                          </pic:cNvPicPr>
                        </pic:nvPicPr>
                        <pic:blipFill>
                          <a:blip r:embed="rId29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A-29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12"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297" descr=""/>
                    <pic:cNvPicPr>
                      <a:picLocks noChangeAspect="1" noChangeArrowheads="1"/>
                    </pic:cNvPicPr>
                  </pic:nvPicPr>
                  <pic:blipFill>
                    <a:blip r:embed="rId29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C</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5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Appendix of Additional Terms and Conditions for Holders </w:t>
        <w:br/>
        <w:t>who are German Holders (as defined below)</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5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 AND APPLICATION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Appendix (“</w:t>
      </w:r>
      <w:r>
        <w:rPr>
          <w:rFonts w:ascii="Tahoma;Geneva;sans-serif" w:hAnsi="Tahoma;Geneva;sans-serif"/>
          <w:b w:val="false"/>
          <w:i w:val="false"/>
          <w:caps w:val="false"/>
          <w:smallCaps w:val="false"/>
          <w:color w:val="000000"/>
          <w:spacing w:val="2"/>
          <w:sz w:val="20"/>
          <w:u w:val="single"/>
        </w:rPr>
        <w:t>Appendix D</w:t>
      </w:r>
      <w:r>
        <w:rPr>
          <w:rFonts w:ascii="Tahoma;Geneva;sans-serif" w:hAnsi="Tahoma;Geneva;sans-serif"/>
          <w:b w:val="false"/>
          <w:i w:val="false"/>
          <w:caps w:val="false"/>
          <w:smallCaps w:val="false"/>
          <w:color w:val="000000"/>
          <w:spacing w:val="2"/>
          <w:sz w:val="20"/>
        </w:rPr>
        <w:t>”), which is part of the Plan, contains the additional “terms and conditions” of the Plan, any Program, and the Award Agreements that will apply to a Holder if: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at the time the Holder receives a grant of an Award under the Plan, such Holder is resident in Germany for tax purposes or performs some or all of the duties of the Holder’s engagement with the Company (or any Subsidiary) in Germany (other where such performance in Germany is not significant in scope and is incidental to duties performed by the relevant Holder outside Germany);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after the receipt by the Holder of a grant of an Award under the Plan, such Holder becomes resident in Germany for tax purposes, or commences performing some or all of the duties of the Holder’s engagement with a Subsidiary in Germany (other than where such performance in Germany is not significant in scope and is incidental to duties performed by the relevant Holder outside Germany), in which case the additional terms and conditions of this Appendix D shall be deemed to apply from the date on which the relevant Award was granted);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in all other cases if a Holder is subject to tax in Germany with respect to any Award or grant, vesting, exercise or event or payment or otherwise in connection therewith, in each case such a Holder being a “</w:t>
      </w:r>
      <w:r>
        <w:rPr>
          <w:rFonts w:ascii="Tahoma;Geneva;sans-serif" w:hAnsi="Tahoma;Geneva;sans-serif"/>
          <w:b w:val="false"/>
          <w:i w:val="false"/>
          <w:caps w:val="false"/>
          <w:smallCaps w:val="false"/>
          <w:color w:val="000000"/>
          <w:spacing w:val="2"/>
          <w:sz w:val="20"/>
          <w:u w:val="single"/>
        </w:rPr>
        <w:t>German Holder</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conflict between the terms of the Plan, any applicable Program or an Award Agreement and the terms of this Appendix D with respect to a German Holder, the terms of this Appendix D shall govern. Capitalized terms used but not defined herein shall have the same meanings assigned to them in the Plan, any applicable Program or the Award Agreements.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5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ADDITIONAL TERMS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1.      </w:t>
      </w:r>
      <w:r>
        <w:rPr>
          <w:rFonts w:ascii="Tahoma;Geneva;sans-serif" w:hAnsi="Tahoma;Geneva;sans-serif"/>
          <w:b w:val="false"/>
          <w:i w:val="false"/>
          <w:caps w:val="false"/>
          <w:smallCaps w:val="false"/>
          <w:color w:val="000000"/>
          <w:spacing w:val="2"/>
          <w:sz w:val="20"/>
          <w:u w:val="single"/>
        </w:rPr>
        <w:t>Taxation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supplements, but does not limit, Section 10.2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Holder irrevocably agrees to pay to the Company or (if different) the Employer the amount of any Tax Liability or enter into arrangements to the satisfaction of the Company or the Employer (as appropriate) for payment of any Tax Liability.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Holder further irrevocably agrees to fully indemnify the Company and (if different) the Employer against any and all liabilities vis-à-vis the German tax authorities in connection with the grant, vesting, exercise of or otherwise in connection with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including any secondary liability (</w:t>
      </w:r>
      <w:r>
        <w:rPr>
          <w:rFonts w:ascii="Tahoma;Geneva;sans-serif" w:hAnsi="Tahoma;Geneva;sans-serif"/>
          <w:b w:val="false"/>
          <w:i/>
          <w:caps w:val="false"/>
          <w:smallCaps w:val="false"/>
          <w:color w:val="000000"/>
          <w:sz w:val="20"/>
        </w:rPr>
        <w:t>Haftung</w:t>
      </w:r>
      <w:r>
        <w:rPr>
          <w:rFonts w:ascii="Tahoma;Geneva;sans-serif" w:hAnsi="Tahoma;Geneva;sans-serif"/>
          <w:b w:val="false"/>
          <w:i w:val="false"/>
          <w:caps w:val="false"/>
          <w:smallCaps w:val="false"/>
          <w:color w:val="000000"/>
          <w:spacing w:val="2"/>
          <w:sz w:val="20"/>
        </w:rPr>
        <w:t>) for taxes by the Employer or the Company and including any interest and penalties as well as reasonable costs and fees thereon, if 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8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Holder hereby undertakes and shall be responsible for notifying and reporting to the Company or (if different) the Employer any taxable benefits, payments or other taxable events for German tax purposes without undue delay upon the Holder becoming aware thereof, and in any event at the latest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A-30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1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298" descr=""/>
                          <pic:cNvPicPr>
                            <a:picLocks noChangeAspect="1" noChangeArrowheads="1"/>
                          </pic:cNvPicPr>
                        </pic:nvPicPr>
                        <pic:blipFill>
                          <a:blip r:embed="rId29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14"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299" descr=""/>
                    <pic:cNvPicPr>
                      <a:picLocks noChangeAspect="1" noChangeArrowheads="1"/>
                    </pic:cNvPicPr>
                  </pic:nvPicPr>
                  <pic:blipFill>
                    <a:blip r:embed="rId30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six weeks before accrual (</w:t>
      </w:r>
      <w:r>
        <w:rPr>
          <w:rFonts w:ascii="Tahoma;Geneva;sans-serif" w:hAnsi="Tahoma;Geneva;sans-serif"/>
          <w:b w:val="false"/>
          <w:i/>
          <w:caps w:val="false"/>
          <w:smallCaps w:val="false"/>
          <w:color w:val="000000"/>
          <w:sz w:val="20"/>
        </w:rPr>
        <w:t>Zufluss</w:t>
      </w:r>
      <w:r>
        <w:rPr>
          <w:rFonts w:ascii="Tahoma;Geneva;sans-serif" w:hAnsi="Tahoma;Geneva;sans-serif"/>
          <w:b w:val="false"/>
          <w:i w:val="false"/>
          <w:caps w:val="false"/>
          <w:smallCaps w:val="false"/>
          <w:color w:val="000000"/>
          <w:spacing w:val="2"/>
          <w:sz w:val="20"/>
        </w:rPr>
        <w:t>) to the Holder and moreover in any event in compliance with all applicable German tax provisions, rules, regulations and guidance issued by the German tax authorities. The Holder will obtain tax advice by own individual qualified German tax counsel to ensure compliance in connection with this undertaking also will also comply with any other reporting, notification and German tax filing obligation vis-à-vis the German tax authorities.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w:t>
      </w:r>
      <w:r>
        <w:rPr>
          <w:rFonts w:ascii="Tahoma;Geneva;sans-serif" w:hAnsi="Tahoma;Geneva;sans-serif"/>
          <w:b w:val="false"/>
          <w:i w:val="false"/>
          <w:caps w:val="false"/>
          <w:smallCaps w:val="false"/>
          <w:color w:val="000000"/>
          <w:spacing w:val="2"/>
          <w:sz w:val="20"/>
          <w:u w:val="single"/>
        </w:rPr>
        <w:t>Transferability of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Section 10.3(c) of the Plan, all references to a Holder being “married” shall be read as including references to a Holder being in a civil partnership, and all references to a Holder’s “spouse” shall be read as including references to a Holder’s civil partner.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3.      </w:t>
      </w:r>
      <w:r>
        <w:rPr>
          <w:rFonts w:ascii="Tahoma;Geneva;sans-serif" w:hAnsi="Tahoma;Geneva;sans-serif"/>
          <w:b w:val="false"/>
          <w:i w:val="false"/>
          <w:caps w:val="false"/>
          <w:smallCaps w:val="false"/>
          <w:color w:val="000000"/>
          <w:spacing w:val="2"/>
          <w:sz w:val="20"/>
          <w:u w:val="single"/>
        </w:rPr>
        <w:t>Grant by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Awards are granted to German Holders by the Administrator on behalf of the Company as part of a group-wide program and not on behalf of his or her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Plan shall not form part of the employment relationship between any German Holder and his or her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Awards granted to German Holders shall not form a part of the remuneration under the German Holder’s employment relationship with his or her Employer (including, without limitation, normal or expected wages, salary or any kind of fixed or variable components of remuneration).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As regards Other Stock or Cash Based Awards granted to a German Holder, the last sentence of Section 9.2 shall be deleted in its entirety and replaced with the following: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2613" w:right="0" w:hanging="0"/>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rPr>
        <w:t>Other Stock or Cash Based Awards may be paid in cash, Shares, or a combination of cash and Shares, as determined by the Administrator, and may be available as a form of payment in the settlement of other Awards granted under the Plan, as stand-alone payments, but not as part of the remuneration under the German Holder’s employment relationship with his or her Employer (in particular, not as: (i) a part of any kind of fixed or variable components of remuneration, any bonus, deferred bonus, deferred compensation or other arrangement; or (ii) a payment in lieu of compensation to which an German Holder is otherwise entitled under the German Holder’s employment relationship).”</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In addition to Section 12.12, any income recognized by the German Holder as a result of any Award will not be included in the formula for calculating benefits under the German Holder’s employment relationship or any retirement, disability or any other benefit plan or any other plan (including, but not limited to, any social plan, as well as any severance, resignation, termination, redundancy, dismissal, end of service payments, bonuses, holiday pay, long-service awards, pension or retirement benefits or similar payments, or any post-contractual non-compete compensation, if any) provided by, or otherwise applicable under the German Holder’s employment relationship with, his or her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No German Holder shall have any right to compensation or damages from the Company, any Subsidiary (including his or her Employer) or the Administrator or any of their respective affiliates on account of any loss of any right to vest or the lapsing, cancellation or forfeiture of any Award under the Plan, where such loss arises (or is claimed to arise) in whole or in part from: (i) the termination of such German Holder’s employment by; or (ii) notice to terminate such German Holder’s employment given by or to, his or her Employer. For the avoidance of doubt, any rights of a German Holder against his or her Employer under German law in connection with an unfair dismissal remain unaffected.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4.      </w:t>
      </w:r>
      <w:r>
        <w:rPr>
          <w:rFonts w:ascii="Tahoma;Geneva;sans-serif" w:hAnsi="Tahoma;Geneva;sans-serif"/>
          <w:b w:val="false"/>
          <w:i w:val="false"/>
          <w:caps w:val="false"/>
          <w:smallCaps w:val="false"/>
          <w:color w:val="000000"/>
          <w:spacing w:val="2"/>
          <w:sz w:val="20"/>
          <w:u w:val="single"/>
        </w:rPr>
        <w:t>Language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Before any Award is granted to any German Holder, the relevant German Holder, when accepting the Award, shall acknowledge in doing so that he or she is proficient in English (or thought appropriate advice) and that he or she fully understands the terms and conditions thereof, as well as those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15"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300" descr=""/>
                          <pic:cNvPicPr>
                            <a:picLocks noChangeAspect="1" noChangeArrowheads="1"/>
                          </pic:cNvPicPr>
                        </pic:nvPicPr>
                        <pic:blipFill>
                          <a:blip r:embed="rId30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A-31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16"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301" descr=""/>
                    <pic:cNvPicPr>
                      <a:picLocks noChangeAspect="1" noChangeArrowheads="1"/>
                    </pic:cNvPicPr>
                  </pic:nvPicPr>
                  <pic:blipFill>
                    <a:blip r:embed="rId30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1048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The German Holder shall not have any entitlement against the Company, any Subsidiary (including his or her Employer) or the Administrator or any of their respective affiliates to be provided with a version of the Award, the Plan or any other documents related thereto in the German language. </w:t>
      </w:r>
    </w:p>
    <w:p>
      <w:pPr>
        <w:pStyle w:val="TextBody"/>
        <w:bidi w:val="0"/>
        <w:spacing w:lineRule="atLeast" w:line="240" w:before="20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Any costs, fees or expenses incurred by a German Holder in connection with the delivery of any Award, the Plan and any other documents related thereto in the English language shall be solely borne by the German Holder. For the avoidance of doubt, any such costs, fees or expenses shall not be considered as expenses of administering the Plan; Section 12.13 shall be interpreted and construed accordingly.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A-32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17"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302" descr=""/>
                          <pic:cNvPicPr>
                            <a:picLocks noChangeAspect="1" noChangeArrowheads="1"/>
                          </pic:cNvPicPr>
                        </pic:nvPicPr>
                        <pic:blipFill>
                          <a:blip r:embed="rId30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18"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303" descr=""/>
                    <pic:cNvPicPr>
                      <a:picLocks noChangeAspect="1" noChangeArrowheads="1"/>
                    </pic:cNvPicPr>
                  </pic:nvPicPr>
                  <pic:blipFill>
                    <a:blip r:embed="rId30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40"/>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D</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Appendix of Additional Terms and Conditions for Holders </w:t>
        <w:br/>
        <w:t>who are Singapore Holders (as defined below)</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 AND APPLICATION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Appendix (“</w:t>
      </w:r>
      <w:r>
        <w:rPr>
          <w:rFonts w:ascii="Tahoma;Geneva;sans-serif" w:hAnsi="Tahoma;Geneva;sans-serif"/>
          <w:b w:val="false"/>
          <w:i w:val="false"/>
          <w:caps w:val="false"/>
          <w:smallCaps w:val="false"/>
          <w:color w:val="000000"/>
          <w:spacing w:val="2"/>
          <w:sz w:val="20"/>
          <w:u w:val="single"/>
        </w:rPr>
        <w:t>Appendix E</w:t>
      </w:r>
      <w:r>
        <w:rPr>
          <w:rFonts w:ascii="Tahoma;Geneva;sans-serif" w:hAnsi="Tahoma;Geneva;sans-serif"/>
          <w:b w:val="false"/>
          <w:i w:val="false"/>
          <w:caps w:val="false"/>
          <w:smallCaps w:val="false"/>
          <w:color w:val="000000"/>
          <w:spacing w:val="2"/>
          <w:sz w:val="20"/>
        </w:rPr>
        <w:t>”), which is part of the Plan, contains the additional “terms and conditions” of the Plan, any Program, and the Award Agreements that will apply to a Holder who is resident in the Republic of Singapore, and an Employees of a company incorporated according to Singapore law, which is controlled by the Company either directly or indirectly (a “</w:t>
      </w:r>
      <w:r>
        <w:rPr>
          <w:rFonts w:ascii="Tahoma;Geneva;sans-serif" w:hAnsi="Tahoma;Geneva;sans-serif"/>
          <w:b w:val="false"/>
          <w:i w:val="false"/>
          <w:caps w:val="false"/>
          <w:smallCaps w:val="false"/>
          <w:color w:val="000000"/>
          <w:spacing w:val="2"/>
          <w:sz w:val="20"/>
          <w:u w:val="single"/>
        </w:rPr>
        <w:t>Singapore Subsidiary</w:t>
      </w:r>
      <w:r>
        <w:rPr>
          <w:rFonts w:ascii="Tahoma;Geneva;sans-serif" w:hAnsi="Tahoma;Geneva;sans-serif"/>
          <w:b w:val="false"/>
          <w:i w:val="false"/>
          <w:caps w:val="false"/>
          <w:smallCaps w:val="false"/>
          <w:color w:val="000000"/>
          <w:spacing w:val="2"/>
          <w:sz w:val="20"/>
        </w:rPr>
        <w:t>”) (a “</w:t>
      </w:r>
      <w:r>
        <w:rPr>
          <w:rFonts w:ascii="Tahoma;Geneva;sans-serif" w:hAnsi="Tahoma;Geneva;sans-serif"/>
          <w:b w:val="false"/>
          <w:i w:val="false"/>
          <w:caps w:val="false"/>
          <w:smallCaps w:val="false"/>
          <w:color w:val="000000"/>
          <w:spacing w:val="2"/>
          <w:sz w:val="20"/>
          <w:u w:val="single"/>
        </w:rPr>
        <w:t>Singapore Holder</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purpose of this Appendix is to establish certain rules and limitations applicable to the allotment, acceptance and exercise and settlement of Awards and to any Shares that may be allotted in connection with Awards under the Plan from time to time, in compliance with securities and other applicable laws currently in force. Except as otherwise provided by this Appendix, and/or by any Singaporean mandatory provision regarding employment, central provident fund matters, personal capacity/disability, succession (inheritance) applicable to the Singapore Holders, all Awards granted pursuant to this Appendix and the relevant Shares shall be governed by the terms of the Plan, save as otherwise set out in this Appendix.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Plan and this Appendix shall be read together. In any case of any inconsistency between the provisions of this Appendix and the Plan, the provisions of the Plan shall govern unless expressly stated otherwise in this Appendix.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capitalized term not specifically defined in this Appendix shall be construed according to the definition or interpretation given to it in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1.      </w:t>
      </w:r>
      <w:r>
        <w:rPr>
          <w:rFonts w:ascii="Tahoma;Geneva;sans-serif" w:hAnsi="Tahoma;Geneva;sans-serif"/>
          <w:b w:val="false"/>
          <w:i w:val="false"/>
          <w:caps w:val="false"/>
          <w:smallCaps w:val="false"/>
          <w:color w:val="000000"/>
          <w:spacing w:val="2"/>
          <w:sz w:val="20"/>
          <w:u w:val="single"/>
        </w:rPr>
        <w:t>Eligibility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Singapore Holders are eligible to be awarded Awards under the Plan, if they are employed by a Singapore Subsidiary and meet the conditions set out in the Plan. The personal capacity to be an Eligible Employee shall be constructed and determined in accordance with Singapore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Eligible Employee resident in the Republic of Singapore must qualify as a “Qualifying Person” in accordance with Section 273(1)(i) and 273(4) of the Securities and Futures Act 2001 of Singapore.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w:t>
      </w:r>
      <w:r>
        <w:rPr>
          <w:rFonts w:ascii="Tahoma;Geneva;sans-serif" w:hAnsi="Tahoma;Geneva;sans-serif"/>
          <w:b w:val="false"/>
          <w:i w:val="false"/>
          <w:caps w:val="false"/>
          <w:smallCaps w:val="false"/>
          <w:color w:val="000000"/>
          <w:spacing w:val="2"/>
          <w:sz w:val="20"/>
          <w:u w:val="single"/>
        </w:rPr>
        <w:t>Events related to the Employment Relationship</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provisions applicable in case of Termination of Service, disability, inability to work and inheritance rights shall be constructed and regulated in accordance with Singapore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3.      </w:t>
      </w:r>
      <w:r>
        <w:rPr>
          <w:rFonts w:ascii="Tahoma;Geneva;sans-serif" w:hAnsi="Tahoma;Geneva;sans-serif"/>
          <w:b w:val="false"/>
          <w:i w:val="false"/>
          <w:caps w:val="false"/>
          <w:smallCaps w:val="false"/>
          <w:color w:val="000000"/>
          <w:spacing w:val="2"/>
          <w:sz w:val="20"/>
          <w:u w:val="single"/>
        </w:rPr>
        <w:t>Restrictions on Transfer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Eligible Employees resident in the Republic of Singapore are not permitted to transfer: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any Awards until a period of at least 6 months has elapsed from the Grant Date;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any Shares received upon the exercise or settlement of any Award until a period of at least 6 months has elapsed from the date the Shares are issued or transferred to them.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19"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304" descr=""/>
                          <pic:cNvPicPr>
                            <a:picLocks noChangeAspect="1" noChangeArrowheads="1"/>
                          </pic:cNvPicPr>
                        </pic:nvPicPr>
                        <pic:blipFill>
                          <a:blip r:embed="rId30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A-33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20"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305" descr=""/>
                    <pic:cNvPicPr>
                      <a:picLocks noChangeAspect="1" noChangeArrowheads="1"/>
                    </pic:cNvPicPr>
                  </pic:nvPicPr>
                  <pic:blipFill>
                    <a:blip r:embed="rId30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Appendix of Additional Terms and Conditions for Holders </w:t>
        <w:br/>
        <w:t>who are United Kingdom Holders (as defined below)</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 AND APPLICATION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Appendix (“</w:t>
      </w:r>
      <w:r>
        <w:rPr>
          <w:rFonts w:ascii="Tahoma;Geneva;sans-serif" w:hAnsi="Tahoma;Geneva;sans-serif"/>
          <w:b w:val="false"/>
          <w:i w:val="false"/>
          <w:caps w:val="false"/>
          <w:smallCaps w:val="false"/>
          <w:color w:val="000000"/>
          <w:spacing w:val="2"/>
          <w:sz w:val="20"/>
          <w:u w:val="single"/>
        </w:rPr>
        <w:t>Appendix E</w:t>
      </w:r>
      <w:r>
        <w:rPr>
          <w:rFonts w:ascii="Tahoma;Geneva;sans-serif" w:hAnsi="Tahoma;Geneva;sans-serif"/>
          <w:b w:val="false"/>
          <w:i w:val="false"/>
          <w:caps w:val="false"/>
          <w:smallCaps w:val="false"/>
          <w:color w:val="000000"/>
          <w:spacing w:val="2"/>
          <w:sz w:val="20"/>
        </w:rPr>
        <w:t>”), which is part of the Plan, contains the additional “terms and conditions” of the Plan, any Program, and the Award Agreements that will apply to a Holder if: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at the time the Holder receives a grant of an Award under the Plan, such Holder is resident in the United Kingdom for tax purposes or performs some or all of the duties of the Holder’s engagement with the Company (or any Subsidiary) in the United Kingdom (other where such performance in the United Kingdom is not significant in scope and is incidental to duties performed by the relevant Holder outside the United Kingdom);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after the receipt by the Holder of a grant of an Award under the Plan, such Holder becomes resident in the United Kingdom for tax purposes, or commences performing some or all of the duties of the Holder’s engagement with the Company (or any Subsidiary) in the United Kingdom (other than where such performance in the United Kingdom is not significant in scope and is incidental to duties performed by the relevant Holder outside the United Kingdom), in which case the additional terms and conditions of this Appendix E shall be deemed to apply from the date on which the relevant Award was granted),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each case such a Holder being a “</w:t>
      </w:r>
      <w:r>
        <w:rPr>
          <w:rFonts w:ascii="Tahoma;Geneva;sans-serif" w:hAnsi="Tahoma;Geneva;sans-serif"/>
          <w:b w:val="false"/>
          <w:i w:val="false"/>
          <w:caps w:val="false"/>
          <w:smallCaps w:val="false"/>
          <w:color w:val="000000"/>
          <w:spacing w:val="2"/>
          <w:sz w:val="20"/>
          <w:u w:val="single"/>
        </w:rPr>
        <w:t>United Kingdom Holder</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event of a conflict between the terms of the Plan, any applicable Program or an Award Agreement and the terms of this Appendix E with respect to a United Kingdom Holder, the terms of this Appendix E shall govern. Capitalized terms used but not defined herein shall have the same meanings assigned to them in the Plan, any applicable Program or the Award Agreements.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ADDITIONAL TERMS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1.      </w:t>
      </w:r>
      <w:r>
        <w:rPr>
          <w:rFonts w:ascii="Tahoma;Geneva;sans-serif" w:hAnsi="Tahoma;Geneva;sans-serif"/>
          <w:b w:val="false"/>
          <w:i w:val="false"/>
          <w:caps w:val="false"/>
          <w:smallCaps w:val="false"/>
          <w:color w:val="000000"/>
          <w:spacing w:val="2"/>
          <w:sz w:val="20"/>
          <w:u w:val="single"/>
        </w:rPr>
        <w:t>Taxation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supplements Section 10.2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Holder irrevocably agrees to pay to the Company or (if different) the Employer the amount of any Tax Liability or enter into arrangements to the satisfaction of the Company or the Employer (as appropriate) for payment of any Tax Liability. This paragraph and the following paragraphs (b) and (c) shall apply to any Tax Liability to the extent that the Company, any Subsidiary or the Employer is required or authorized, or reasonably believes it is required or authorized, to withhold, pay or account for such Tax Liability, and paragraphs (b) and (c) shall be read accordingly.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Holder further irrevocably agrees that if the Holder does not pay or the Employer or the Company does not withhold from the Holder the full amount of any Tax Liability that the Holder owes in connection with the grant or exercise of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(the “</w:t>
      </w:r>
      <w:r>
        <w:rPr>
          <w:rFonts w:ascii="Tahoma;Geneva;sans-serif" w:hAnsi="Tahoma;Geneva;sans-serif"/>
          <w:b w:val="false"/>
          <w:i w:val="false"/>
          <w:caps w:val="false"/>
          <w:smallCaps w:val="false"/>
          <w:color w:val="000000"/>
          <w:spacing w:val="2"/>
          <w:sz w:val="20"/>
          <w:u w:val="single"/>
        </w:rPr>
        <w:t>Taxable Event</w:t>
      </w:r>
      <w:r>
        <w:rPr>
          <w:rFonts w:ascii="Tahoma;Geneva;sans-serif" w:hAnsi="Tahoma;Geneva;sans-serif"/>
          <w:b w:val="false"/>
          <w:i w:val="false"/>
          <w:caps w:val="false"/>
          <w:smallCaps w:val="false"/>
          <w:color w:val="000000"/>
          <w:spacing w:val="2"/>
          <w:sz w:val="20"/>
        </w:rPr>
        <w:t>”) within ninety (90) days of the end of the UK tax year in which the Taxable Event occurs, or such other period specified in Section 222(1)(c) of the UK Income Tax (Earnings and Pensions) Act 2003 (“</w:t>
      </w:r>
      <w:r>
        <w:rPr>
          <w:rFonts w:ascii="Tahoma;Geneva;sans-serif" w:hAnsi="Tahoma;Geneva;sans-serif"/>
          <w:b w:val="false"/>
          <w:i w:val="false"/>
          <w:caps w:val="false"/>
          <w:smallCaps w:val="false"/>
          <w:color w:val="000000"/>
          <w:spacing w:val="2"/>
          <w:sz w:val="20"/>
          <w:u w:val="single"/>
        </w:rPr>
        <w:t>ITEPA 2003</w:t>
      </w:r>
      <w:r>
        <w:rPr>
          <w:rFonts w:ascii="Tahoma;Geneva;sans-serif" w:hAnsi="Tahoma;Geneva;sans-serif"/>
          <w:b w:val="false"/>
          <w:i w:val="false"/>
          <w:caps w:val="false"/>
          <w:smallCaps w:val="false"/>
          <w:color w:val="000000"/>
          <w:spacing w:val="2"/>
          <w:sz w:val="20"/>
        </w:rPr>
        <w:t>”) (the “</w:t>
      </w:r>
      <w:r>
        <w:rPr>
          <w:rFonts w:ascii="Tahoma;Geneva;sans-serif" w:hAnsi="Tahoma;Geneva;sans-serif"/>
          <w:b w:val="false"/>
          <w:i w:val="false"/>
          <w:caps w:val="false"/>
          <w:smallCaps w:val="false"/>
          <w:color w:val="000000"/>
          <w:spacing w:val="2"/>
          <w:sz w:val="20"/>
          <w:u w:val="single"/>
        </w:rPr>
        <w:t xml:space="preserve">Due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A-34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21"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306" descr=""/>
                          <pic:cNvPicPr>
                            <a:picLocks noChangeAspect="1" noChangeArrowheads="1"/>
                          </pic:cNvPicPr>
                        </pic:nvPicPr>
                        <pic:blipFill>
                          <a:blip r:embed="rId30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22"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307" descr=""/>
                    <pic:cNvPicPr>
                      <a:picLocks noChangeAspect="1" noChangeArrowheads="1"/>
                    </pic:cNvPicPr>
                  </pic:nvPicPr>
                  <pic:blipFill>
                    <a:blip r:embed="rId30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u w:val="single"/>
        </w:rPr>
        <w:t>Date</w:t>
      </w:r>
      <w:r>
        <w:rPr>
          <w:rFonts w:ascii="Tahoma;Geneva;sans-serif" w:hAnsi="Tahoma;Geneva;sans-serif"/>
          <w:b w:val="false"/>
          <w:i w:val="false"/>
          <w:caps w:val="false"/>
          <w:smallCaps w:val="false"/>
          <w:color w:val="000000"/>
          <w:spacing w:val="2"/>
          <w:sz w:val="20"/>
        </w:rPr>
        <w:t>”), then the amount of any uncollected Tax Liability shall (unless the Company or (if different) the Employer determines otherwise at its discretion) constitute a loan owed by the Holder to the Company or (if different) the Employer, effective on the Due Date. The Holder agrees that the loan will bear interest at the then-current official rate of Her Majesty’s Revenue and Customs (“</w:t>
      </w:r>
      <w:r>
        <w:rPr>
          <w:rFonts w:ascii="Tahoma;Geneva;sans-serif" w:hAnsi="Tahoma;Geneva;sans-serif"/>
          <w:b w:val="false"/>
          <w:i w:val="false"/>
          <w:caps w:val="false"/>
          <w:smallCaps w:val="false"/>
          <w:color w:val="000000"/>
          <w:spacing w:val="2"/>
          <w:sz w:val="20"/>
          <w:u w:val="single"/>
        </w:rPr>
        <w:t>HMRC</w:t>
      </w:r>
      <w:r>
        <w:rPr>
          <w:rFonts w:ascii="Tahoma;Geneva;sans-serif" w:hAnsi="Tahoma;Geneva;sans-serif"/>
          <w:b w:val="false"/>
          <w:i w:val="false"/>
          <w:caps w:val="false"/>
          <w:smallCaps w:val="false"/>
          <w:color w:val="000000"/>
          <w:spacing w:val="2"/>
          <w:sz w:val="20"/>
        </w:rPr>
        <w:t>”) and will be immediately due and repayable by the Holder, and the Company or the Employer (as appropriate) may recover it at any time thereafter by any of the means referred to in Section 10.2(c) of the Plan. The Holder also authorizes the Company to withhold the transfer of any Shares unless and until the loan is repaid in full.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Notwithstanding the foregoing, if the Holder is a director or other officer of the Company or the Employer (including an executive officer of the Company), the Holder will not be eligible for such a loan to cover any relevant uncollected Tax Liability. In that case, or in any other case where the Company or the Employer determines not to treat the amount of any uncollected Tax Liability as a loan in </w:t>
      </w:r>
      <w:r>
        <w:rPr>
          <w:rFonts w:ascii="Tahoma;Geneva;sans-serif" w:hAnsi="Tahoma;Geneva;sans-serif"/>
          <w:b w:val="false"/>
          <w:i w:val="false"/>
          <w:caps w:val="false"/>
          <w:smallCaps w:val="false"/>
          <w:color w:val="000000"/>
          <w:spacing w:val="2"/>
          <w:sz w:val="20"/>
          <w:u w:val="single"/>
        </w:rPr>
        <w:t>accordance</w:t>
      </w:r>
      <w:r>
        <w:rPr>
          <w:rFonts w:ascii="Tahoma;Geneva;sans-serif" w:hAnsi="Tahoma;Geneva;sans-serif"/>
          <w:b w:val="false"/>
          <w:i w:val="false"/>
          <w:caps w:val="false"/>
          <w:smallCaps w:val="false"/>
          <w:color w:val="000000"/>
          <w:spacing w:val="2"/>
          <w:sz w:val="20"/>
        </w:rPr>
        <w:t xml:space="preserve"> with the preceding paragraph, the amount of any uncollected Tax Liability that are not collected from or paid by the Holder by the Due Date will constitute a benefit to the Holder on which additional income tax and National Insurance contributions (“</w:t>
      </w:r>
      <w:r>
        <w:rPr>
          <w:rFonts w:ascii="Tahoma;Geneva;sans-serif" w:hAnsi="Tahoma;Geneva;sans-serif"/>
          <w:b w:val="false"/>
          <w:i w:val="false"/>
          <w:caps w:val="false"/>
          <w:smallCaps w:val="false"/>
          <w:color w:val="000000"/>
          <w:spacing w:val="2"/>
          <w:sz w:val="20"/>
          <w:u w:val="single"/>
        </w:rPr>
        <w:t>NICs</w:t>
      </w:r>
      <w:r>
        <w:rPr>
          <w:rFonts w:ascii="Tahoma;Geneva;sans-serif" w:hAnsi="Tahoma;Geneva;sans-serif"/>
          <w:b w:val="false"/>
          <w:i w:val="false"/>
          <w:caps w:val="false"/>
          <w:smallCaps w:val="false"/>
          <w:color w:val="000000"/>
          <w:spacing w:val="2"/>
          <w:sz w:val="20"/>
        </w:rPr>
        <w:t>”) will be payable. The Holder shall be responsible for reporting and paying any income tax due on this additional benefit directly to HMRC under the self-assessment regime (unless the Company or the Employer has confirmed that such income tax has been accounted for through payroll) and for reimbursing the Company or the Employer (as applicable) for the value of any employee NICs due on this additional benefit which the Company and/or the Employer may recover from the Holder at any time thereafter by any of the means referred to in Section 10.2(c)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(d)      To the extent required by the Administrator or the Company (or, if different, the Employer), and subject to this </w:t>
      </w:r>
      <w:r>
        <w:rPr>
          <w:rFonts w:ascii="Tahoma;Geneva;sans-serif" w:hAnsi="Tahoma;Geneva;sans-serif"/>
          <w:b w:val="false"/>
          <w:i w:val="false"/>
          <w:caps w:val="false"/>
          <w:smallCaps w:val="false"/>
          <w:color w:val="000000"/>
          <w:spacing w:val="2"/>
          <w:sz w:val="20"/>
          <w:u w:val="single"/>
        </w:rPr>
        <w:t>being</w:t>
      </w:r>
      <w:r>
        <w:rPr>
          <w:rFonts w:ascii="Tahoma;Geneva;sans-serif" w:hAnsi="Tahoma;Geneva;sans-serif"/>
          <w:b w:val="false"/>
          <w:i w:val="false"/>
          <w:caps w:val="false"/>
          <w:smallCaps w:val="false"/>
          <w:color w:val="000000"/>
          <w:spacing w:val="2"/>
          <w:sz w:val="20"/>
        </w:rPr>
        <w:t xml:space="preserve"> permitted by Applicable Law, the grant, vesting and/or exercise of an Award granted to any Holder shall be conditional 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the Holder entering into a joint election with the Company or (if different) the Employer (as appropriate) pursuant to section 431(1) or 431(2) of ITEPA 2003 (or such other election as the Company or (if different) the Employer may direct for the same purpose) in respect of any Shares acquired (or to be acquired) on the grant, vesting or exercise of the relevant Award;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the Holder entering into a joint election with the Company or (if different) the Employer (as appropriate), made in accordance with paragraph 3B(1) of Schedule 1 of the UK Social Security Contributions and Benefits Act 1992, to transfer to Holder the liability for and secondary Class 1 (employer) NICs arising in respect of “relevant employment income” as defined in paragraph 3B(1A) of Schedule 1 of the Social Security Contributions and Benefits Act 1992.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2.      </w:t>
      </w:r>
      <w:r>
        <w:rPr>
          <w:rFonts w:ascii="Tahoma;Geneva;sans-serif" w:hAnsi="Tahoma;Geneva;sans-serif"/>
          <w:b w:val="false"/>
          <w:i w:val="false"/>
          <w:caps w:val="false"/>
          <w:smallCaps w:val="false"/>
          <w:color w:val="000000"/>
          <w:spacing w:val="2"/>
          <w:sz w:val="20"/>
          <w:u w:val="single"/>
        </w:rPr>
        <w:t>Transferability of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Section 10.3(c) of the Plan, all references to a Holder being “married” shall be read as including references to a Holder being in a civil partnership, and all references to a Holder’s “spouse” shall be read as including references to a Holder’s civil partner.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3.      </w:t>
      </w:r>
      <w:r>
        <w:rPr>
          <w:rFonts w:ascii="Tahoma;Geneva;sans-serif" w:hAnsi="Tahoma;Geneva;sans-serif"/>
          <w:b w:val="false"/>
          <w:i w:val="false"/>
          <w:caps w:val="false"/>
          <w:smallCaps w:val="false"/>
          <w:color w:val="000000"/>
          <w:spacing w:val="2"/>
          <w:sz w:val="20"/>
          <w:u w:val="single"/>
        </w:rPr>
        <w:t>Relationship to other Benefits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supplements Section 12.12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Plan shall not form part of any contract of employment between any United Kingdom Holder and his or her Employer.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      No United Kingdom Holder shall have any right to compensation or damages from the Company, any Subsidiary or the Administrator or any of their respective affiliates on account of any loss of any right to vest or the lapsing, cancellation or forfeiture of any Award under the </w:t>
      </w:r>
      <w:r>
        <w:rPr>
          <w:rFonts w:ascii="Tahoma;Geneva;sans-serif" w:hAnsi="Tahoma;Geneva;sans-serif"/>
          <w:b w:val="false"/>
          <w:i w:val="false"/>
          <w:caps w:val="false"/>
          <w:smallCaps w:val="false"/>
          <w:color w:val="000000"/>
          <w:spacing w:val="2"/>
          <w:sz w:val="20"/>
          <w:u w:val="single"/>
        </w:rPr>
        <w:t>Plan</w:t>
      </w:r>
      <w:r>
        <w:rPr>
          <w:rFonts w:ascii="Tahoma;Geneva;sans-serif" w:hAnsi="Tahoma;Geneva;sans-serif"/>
          <w:b w:val="false"/>
          <w:i w:val="false"/>
          <w:caps w:val="false"/>
          <w:smallCaps w:val="false"/>
          <w:color w:val="000000"/>
          <w:spacing w:val="2"/>
          <w:sz w:val="20"/>
        </w:rPr>
        <w:t>, where such loss arises (or is claimed to arise) in whole or in part from: (i) the termination of such United Kingdom Holder’s employment by; or (ii) notice to terminate such United Kingdom Holder’s employment given by or to, the Company or any Subsidiary. This exclusion of liability shall apply however the termination of employment, or the giving of notice, is caused, and however compensation or damages may be claimed.</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23"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308" descr=""/>
                          <pic:cNvPicPr>
                            <a:picLocks noChangeAspect="1" noChangeArrowheads="1"/>
                          </pic:cNvPicPr>
                        </pic:nvPicPr>
                        <pic:blipFill>
                          <a:blip r:embed="rId30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A-35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PB"/>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24"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309" descr=""/>
                    <pic:cNvPicPr>
                      <a:picLocks noChangeAspect="1" noChangeArrowheads="1"/>
                    </pic:cNvPicPr>
                  </pic:nvPicPr>
                  <pic:blipFill>
                    <a:blip r:embed="rId31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5500"/>
        <w:ind w:left="1173" w:right="0" w:hanging="0"/>
        <w:jc w:val="left"/>
        <w:rPr>
          <w:caps w:val="false"/>
          <w:smallCaps w:val="false"/>
          <w:color w:val="000000"/>
        </w:rPr>
      </w:pPr>
      <w:r>
        <w:rPr>
          <w:caps w:val="false"/>
          <w:smallCaps w:val="false"/>
          <w:color w:val="000000"/>
          <w:spacing w:val="2"/>
        </w:rPr>
        <w:t> </w:t>
      </w:r>
      <w:r>
        <w:rPr>
          <w:caps w:val="false"/>
          <w:smallCaps w:val="false"/>
          <w:color w:val="000000"/>
          <w:spacing w:val="4"/>
        </w:rPr>
        <w:t xml:space="preserve"> </w:t>
      </w:r>
    </w:p>
    <w:p>
      <w:pPr>
        <w:pStyle w:val="TextBody"/>
        <w:bidi w:val="0"/>
        <w:spacing w:lineRule="atLeast" w:line="240" w:before="134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B</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center"/>
        <w:rPr>
          <w:rFonts w:ascii="Arial Narrow;Arial;Tahoma;Geneva;sans-serif" w:hAnsi="Arial Narrow;Arial;Tahoma;Geneva;sans-serif"/>
          <w:b/>
          <w:i w:val="false"/>
          <w:caps w:val="false"/>
          <w:smallCaps w:val="false"/>
          <w:color w:val="000000"/>
          <w:spacing w:val="11"/>
          <w:sz w:val="20"/>
        </w:rPr>
      </w:pPr>
      <w:r>
        <w:rPr>
          <w:rFonts w:ascii="Arial Narrow;Arial;Tahoma;Geneva;sans-serif" w:hAnsi="Arial Narrow;Arial;Tahoma;Geneva;sans-serif"/>
          <w:b/>
          <w:i w:val="false"/>
          <w:caps w:val="false"/>
          <w:smallCaps w:val="false"/>
          <w:color w:val="000000"/>
          <w:spacing w:val="11"/>
          <w:sz w:val="20"/>
        </w:rPr>
        <w:t xml:space="preserve">LIVANOVA PLC </w:t>
        <w:br/>
        <w:t xml:space="preserve">2025 DIRECTOR INCENTIVE AWARD PLAN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25"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310" descr=""/>
                          <pic:cNvPicPr>
                            <a:picLocks noChangeAspect="1" noChangeArrowheads="1"/>
                          </pic:cNvPicPr>
                        </pic:nvPicPr>
                        <pic:blipFill>
                          <a:blip r:embed="rId31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26"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311" descr=""/>
                    <pic:cNvPicPr>
                      <a:picLocks noChangeAspect="1" noChangeArrowheads="1"/>
                    </pic:cNvPicPr>
                  </pic:nvPicPr>
                  <pic:blipFill>
                    <a:blip r:embed="rId31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LIVANOVA PLC </w:t>
        <w:br/>
        <w:t>2025 DIRECTOR INCENTIVE AWARD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4" w:after="283"/>
        <w:jc w:val="center"/>
        <w:rPr>
          <w:rFonts w:ascii="Tahoma;Geneva;sans-serif" w:hAnsi="Tahoma;Geneva;sans-serif"/>
          <w:b w:val="false"/>
          <w:i/>
          <w:caps w:val="false"/>
          <w:smallCaps w:val="false"/>
          <w:color w:val="000000"/>
          <w:sz w:val="20"/>
        </w:rPr>
      </w:pP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caps w:val="false"/>
          <w:smallCaps w:val="false"/>
          <w:color w:val="000000"/>
          <w:sz w:val="20"/>
        </w:rPr>
        <w:t>Adopted by the Board of Directors of LivaNova PLC on April 23, 2025, conditional on shareholder approval.) (Approved by the shareholders of LivaNova PLC on [June 11, 2025].</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purpose of the LivaNova PLC 2025 Director Incentive Award Plan (as it may be amended or restated from time to time, the “</w:t>
      </w:r>
      <w:r>
        <w:rPr>
          <w:rFonts w:ascii="Tahoma;Geneva;sans-serif" w:hAnsi="Tahoma;Geneva;sans-serif"/>
          <w:b w:val="false"/>
          <w:i w:val="false"/>
          <w:caps w:val="false"/>
          <w:smallCaps w:val="false"/>
          <w:color w:val="000000"/>
          <w:spacing w:val="2"/>
          <w:sz w:val="20"/>
          <w:u w:val="single"/>
        </w:rPr>
        <w:t>Plan</w:t>
      </w:r>
      <w:r>
        <w:rPr>
          <w:rFonts w:ascii="Tahoma;Geneva;sans-serif" w:hAnsi="Tahoma;Geneva;sans-serif"/>
          <w:b w:val="false"/>
          <w:i w:val="false"/>
          <w:caps w:val="false"/>
          <w:smallCaps w:val="false"/>
          <w:color w:val="000000"/>
          <w:spacing w:val="2"/>
          <w:sz w:val="20"/>
        </w:rPr>
        <w:t>”) is to promote the success and enhance the value of LivaNova PLC, a public limited company incorporated under the laws of England and Wales (the “</w:t>
      </w:r>
      <w:r>
        <w:rPr>
          <w:rFonts w:ascii="Tahoma;Geneva;sans-serif" w:hAnsi="Tahoma;Geneva;sans-serif"/>
          <w:b w:val="false"/>
          <w:i w:val="false"/>
          <w:caps w:val="false"/>
          <w:smallCaps w:val="false"/>
          <w:color w:val="000000"/>
          <w:spacing w:val="2"/>
          <w:sz w:val="20"/>
          <w:u w:val="single"/>
        </w:rPr>
        <w:t>Company</w:t>
      </w:r>
      <w:r>
        <w:rPr>
          <w:rFonts w:ascii="Tahoma;Geneva;sans-serif" w:hAnsi="Tahoma;Geneva;sans-serif"/>
          <w:b w:val="false"/>
          <w:i w:val="false"/>
          <w:caps w:val="false"/>
          <w:smallCaps w:val="false"/>
          <w:color w:val="000000"/>
          <w:spacing w:val="2"/>
          <w:sz w:val="20"/>
        </w:rPr>
        <w:t>”), by linking the individual interests of the non-Executive members of the Board to those of Company shareholders and by providing such individuals with an incentive to drive value creation for the Company shareholders. The Plan is further intended to provide flexibility to the Company in its ability to motivate, attract, and retain the services of non-Executive members of the Board upon whose judgment, interest, and special effort the successful conduct of the Company’s operation is largely dependent.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2</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2"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DEFINITIONS AND CONSTRUCTION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Wherever the following terms are used in the Plan they shall have the meanings specified below, unless the context clearly indicates otherwise. The singular pronoun shall include the plural where the context so indicates.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      “</w:t>
      </w:r>
      <w:r>
        <w:rPr>
          <w:rFonts w:ascii="Tahoma;Geneva;sans-serif" w:hAnsi="Tahoma;Geneva;sans-serif"/>
          <w:b w:val="false"/>
          <w:i w:val="false"/>
          <w:caps w:val="false"/>
          <w:smallCaps w:val="false"/>
          <w:color w:val="000000"/>
          <w:spacing w:val="2"/>
          <w:sz w:val="20"/>
          <w:u w:val="single"/>
        </w:rPr>
        <w:t>Administrator</w:t>
      </w:r>
      <w:r>
        <w:rPr>
          <w:rFonts w:ascii="Tahoma;Geneva;sans-serif" w:hAnsi="Tahoma;Geneva;sans-serif"/>
          <w:b w:val="false"/>
          <w:i w:val="false"/>
          <w:caps w:val="false"/>
          <w:smallCaps w:val="false"/>
          <w:color w:val="000000"/>
          <w:spacing w:val="2"/>
          <w:sz w:val="20"/>
        </w:rPr>
        <w:t>” shall mean the entity that conducts the general administration of the Plan as provided in ARTICLE 11. With reference to the duties of the Board under the Plan which have been delegated to one or more persons pursuant to Section 11.6, the term “Administrator” shall refer to such person(s) unless the Board has revoked such delegation.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      “</w:t>
      </w:r>
      <w:r>
        <w:rPr>
          <w:rFonts w:ascii="Tahoma;Geneva;sans-serif" w:hAnsi="Tahoma;Geneva;sans-serif"/>
          <w:b w:val="false"/>
          <w:i w:val="false"/>
          <w:caps w:val="false"/>
          <w:smallCaps w:val="false"/>
          <w:color w:val="000000"/>
          <w:spacing w:val="2"/>
          <w:sz w:val="20"/>
          <w:u w:val="single"/>
        </w:rPr>
        <w:t>Applicable Accounting Standards</w:t>
      </w:r>
      <w:r>
        <w:rPr>
          <w:rFonts w:ascii="Tahoma;Geneva;sans-serif" w:hAnsi="Tahoma;Geneva;sans-serif"/>
          <w:b w:val="false"/>
          <w:i w:val="false"/>
          <w:caps w:val="false"/>
          <w:smallCaps w:val="false"/>
          <w:color w:val="000000"/>
          <w:spacing w:val="2"/>
          <w:sz w:val="20"/>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      “</w:t>
      </w:r>
      <w:r>
        <w:rPr>
          <w:rFonts w:ascii="Tahoma;Geneva;sans-serif" w:hAnsi="Tahoma;Geneva;sans-serif"/>
          <w:b w:val="false"/>
          <w:i w:val="false"/>
          <w:caps w:val="false"/>
          <w:smallCaps w:val="false"/>
          <w:color w:val="000000"/>
          <w:spacing w:val="2"/>
          <w:sz w:val="20"/>
          <w:u w:val="single"/>
        </w:rPr>
        <w:t>Applicable Law</w:t>
      </w:r>
      <w:r>
        <w:rPr>
          <w:rFonts w:ascii="Tahoma;Geneva;sans-serif" w:hAnsi="Tahoma;Geneva;sans-serif"/>
          <w:b w:val="false"/>
          <w:i w:val="false"/>
          <w:caps w:val="false"/>
          <w:smallCaps w:val="false"/>
          <w:color w:val="000000"/>
          <w:spacing w:val="2"/>
          <w:sz w:val="20"/>
        </w:rPr>
        <w:t>”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the United Kingdom, United States or any other jurisdiction; and (c) rules of any securities exchange or automated quotation system on which the Shares are listed, quoted or traded.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      “</w:t>
      </w:r>
      <w:r>
        <w:rPr>
          <w:rFonts w:ascii="Tahoma;Geneva;sans-serif" w:hAnsi="Tahoma;Geneva;sans-serif"/>
          <w:b w:val="false"/>
          <w:i w:val="false"/>
          <w:caps w:val="false"/>
          <w:smallCaps w:val="false"/>
          <w:color w:val="000000"/>
          <w:spacing w:val="2"/>
          <w:sz w:val="20"/>
          <w:u w:val="single"/>
        </w:rPr>
        <w:t>Automatic Exercise Date</w:t>
      </w:r>
      <w:r>
        <w:rPr>
          <w:rFonts w:ascii="Tahoma;Geneva;sans-serif" w:hAnsi="Tahoma;Geneva;sans-serif"/>
          <w:b w:val="false"/>
          <w:i w:val="false"/>
          <w:caps w:val="false"/>
          <w:smallCaps w:val="false"/>
          <w:color w:val="000000"/>
          <w:spacing w:val="2"/>
          <w:sz w:val="20"/>
        </w:rPr>
        <w:t>” shall mean, with respect to an Option or a Stock Appreciation Right, the last business day of the applicable Option Term or SAR Term that was initially established by the Administrator for such Option or Stock Appreciation Right (</w:t>
      </w:r>
      <w:r>
        <w:rPr>
          <w:rFonts w:ascii="Tahoma;Geneva;sans-serif" w:hAnsi="Tahoma;Geneva;sans-serif"/>
          <w:b w:val="false"/>
          <w:i/>
          <w:caps w:val="false"/>
          <w:smallCaps w:val="false"/>
          <w:color w:val="000000"/>
          <w:sz w:val="20"/>
        </w:rPr>
        <w:t>e.g.</w:t>
      </w:r>
      <w:r>
        <w:rPr>
          <w:rFonts w:ascii="Tahoma;Geneva;sans-serif" w:hAnsi="Tahoma;Geneva;sans-serif"/>
          <w:b w:val="false"/>
          <w:i w:val="false"/>
          <w:caps w:val="false"/>
          <w:smallCaps w:val="false"/>
          <w:color w:val="000000"/>
          <w:spacing w:val="2"/>
          <w:sz w:val="20"/>
        </w:rPr>
        <w:t>, the last business day prior to the tenth anniversary of the date of grant of such Option or Stock Appreciation Right if the Option or Stock Appreciation Right initially had a ten-year Option Term or SAR Term, as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2.5.      “</w:t>
      </w:r>
      <w:r>
        <w:rPr>
          <w:rFonts w:ascii="Tahoma;Geneva;sans-serif" w:hAnsi="Tahoma;Geneva;sans-serif"/>
          <w:b w:val="false"/>
          <w:i w:val="false"/>
          <w:caps w:val="false"/>
          <w:smallCaps w:val="false"/>
          <w:color w:val="000000"/>
          <w:spacing w:val="2"/>
          <w:sz w:val="20"/>
          <w:u w:val="single"/>
        </w:rPr>
        <w:t>Award</w:t>
      </w:r>
      <w:r>
        <w:rPr>
          <w:rFonts w:ascii="Tahoma;Geneva;sans-serif" w:hAnsi="Tahoma;Geneva;sans-serif"/>
          <w:b w:val="false"/>
          <w:i w:val="false"/>
          <w:caps w:val="false"/>
          <w:smallCaps w:val="false"/>
          <w:color w:val="000000"/>
          <w:spacing w:val="2"/>
          <w:sz w:val="20"/>
        </w:rPr>
        <w:t>” shall mean an Option, Stock Appreciation Right, Restricted Stock, Restricted Stock Unit, Other Stock or Cash Based Award or a Dividend Equivalent award, which may be awarded or granted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2.6.      “</w:t>
      </w:r>
      <w:r>
        <w:rPr>
          <w:rFonts w:ascii="Tahoma;Geneva;sans-serif" w:hAnsi="Tahoma;Geneva;sans-serif"/>
          <w:b w:val="false"/>
          <w:i w:val="false"/>
          <w:caps w:val="false"/>
          <w:smallCaps w:val="false"/>
          <w:color w:val="000000"/>
          <w:spacing w:val="2"/>
          <w:sz w:val="20"/>
          <w:u w:val="single"/>
        </w:rPr>
        <w:t>Award Agreement</w:t>
      </w:r>
      <w:r>
        <w:rPr>
          <w:rFonts w:ascii="Tahoma;Geneva;sans-serif" w:hAnsi="Tahoma;Geneva;sans-serif"/>
          <w:b w:val="false"/>
          <w:i w:val="false"/>
          <w:caps w:val="false"/>
          <w:smallCaps w:val="false"/>
          <w:color w:val="000000"/>
          <w:spacing w:val="2"/>
          <w:sz w:val="20"/>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27"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312" descr=""/>
                          <pic:cNvPicPr>
                            <a:picLocks noChangeAspect="1" noChangeArrowheads="1"/>
                          </pic:cNvPicPr>
                        </pic:nvPicPr>
                        <pic:blipFill>
                          <a:blip r:embed="rId31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28"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313" descr=""/>
                    <pic:cNvPicPr>
                      <a:picLocks noChangeAspect="1" noChangeArrowheads="1"/>
                    </pic:cNvPicPr>
                  </pic:nvPicPr>
                  <pic:blipFill>
                    <a:blip r:embed="rId31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2.7.      “</w:t>
      </w:r>
      <w:r>
        <w:rPr>
          <w:rFonts w:ascii="Tahoma;Geneva;sans-serif" w:hAnsi="Tahoma;Geneva;sans-serif"/>
          <w:b w:val="false"/>
          <w:i w:val="false"/>
          <w:caps w:val="false"/>
          <w:smallCaps w:val="false"/>
          <w:color w:val="000000"/>
          <w:spacing w:val="2"/>
          <w:sz w:val="20"/>
          <w:u w:val="single"/>
        </w:rPr>
        <w:t>Board</w:t>
      </w:r>
      <w:r>
        <w:rPr>
          <w:rFonts w:ascii="Tahoma;Geneva;sans-serif" w:hAnsi="Tahoma;Geneva;sans-serif"/>
          <w:b w:val="false"/>
          <w:i w:val="false"/>
          <w:caps w:val="false"/>
          <w:smallCaps w:val="false"/>
          <w:color w:val="000000"/>
          <w:spacing w:val="2"/>
          <w:sz w:val="20"/>
        </w:rPr>
        <w:t>” shall mean the Board of Directors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2.8.      “</w:t>
      </w:r>
      <w:r>
        <w:rPr>
          <w:rFonts w:ascii="Tahoma;Geneva;sans-serif" w:hAnsi="Tahoma;Geneva;sans-serif"/>
          <w:b w:val="false"/>
          <w:i w:val="false"/>
          <w:caps w:val="false"/>
          <w:smallCaps w:val="false"/>
          <w:color w:val="000000"/>
          <w:spacing w:val="2"/>
          <w:sz w:val="20"/>
          <w:u w:val="single"/>
        </w:rPr>
        <w:t>Change in Control</w:t>
      </w:r>
      <w:r>
        <w:rPr>
          <w:rFonts w:ascii="Tahoma;Geneva;sans-serif" w:hAnsi="Tahoma;Geneva;sans-serif"/>
          <w:b w:val="false"/>
          <w:i w:val="false"/>
          <w:caps w:val="false"/>
          <w:smallCaps w:val="false"/>
          <w:color w:val="000000"/>
          <w:spacing w:val="2"/>
          <w:sz w:val="20"/>
        </w:rPr>
        <w:t>” shall mean: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 Sale;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 Takeover.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Administrator shall have full and final authority, which shall be exercised in its sole discretion, to determine conclusively whether a Change in Control has occurred, the date of the occurrence of such Change in Control and any incidental matters relating thereto.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Holder who is subject to Section 409A by reason of such Change in Control unless the circumstances giving rise to such Change in Control constitutes a “change in control event” as defined in Treasury Regulation Section 1.409A-3(i)(5). If this provision prevents the payment or distribution of any amount, such payment or distribution shall be made on the next earliest payment or distribution date or event specified in the Plan that is permissible under Section 409A.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2.9.      “</w:t>
      </w:r>
      <w:r>
        <w:rPr>
          <w:rFonts w:ascii="Tahoma;Geneva;sans-serif" w:hAnsi="Tahoma;Geneva;sans-serif"/>
          <w:b w:val="false"/>
          <w:i w:val="false"/>
          <w:caps w:val="false"/>
          <w:smallCaps w:val="false"/>
          <w:color w:val="000000"/>
          <w:spacing w:val="2"/>
          <w:sz w:val="20"/>
          <w:u w:val="single"/>
        </w:rPr>
        <w:t>Code</w:t>
      </w:r>
      <w:r>
        <w:rPr>
          <w:rFonts w:ascii="Tahoma;Geneva;sans-serif" w:hAnsi="Tahoma;Geneva;sans-serif"/>
          <w:b w:val="false"/>
          <w:i w:val="false"/>
          <w:caps w:val="false"/>
          <w:smallCaps w:val="false"/>
          <w:color w:val="000000"/>
          <w:spacing w:val="2"/>
          <w:sz w:val="20"/>
        </w:rPr>
        <w:t>” shall mean the Internal Revenue Code of 1986, as amended from time to time, together with the regulations and official guidance promulgated thereunder, whether issued prior or subsequent to the grant of any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2.10.      “</w:t>
      </w:r>
      <w:r>
        <w:rPr>
          <w:rFonts w:ascii="Tahoma;Geneva;sans-serif" w:hAnsi="Tahoma;Geneva;sans-serif"/>
          <w:b w:val="false"/>
          <w:i w:val="false"/>
          <w:caps w:val="false"/>
          <w:smallCaps w:val="false"/>
          <w:color w:val="000000"/>
          <w:spacing w:val="2"/>
          <w:sz w:val="20"/>
          <w:u w:val="single"/>
        </w:rPr>
        <w:t>Committee</w:t>
      </w:r>
      <w:r>
        <w:rPr>
          <w:rFonts w:ascii="Tahoma;Geneva;sans-serif" w:hAnsi="Tahoma;Geneva;sans-serif"/>
          <w:b w:val="false"/>
          <w:i w:val="false"/>
          <w:caps w:val="false"/>
          <w:smallCaps w:val="false"/>
          <w:color w:val="000000"/>
          <w:spacing w:val="2"/>
          <w:sz w:val="20"/>
        </w:rPr>
        <w:t>” shall mean the Compensation Committee of the Board, or another committee or subcommittee of the Board or the Compensation Committee of the Board described in ARTICLE 11 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2.11.      “</w:t>
      </w:r>
      <w:r>
        <w:rPr>
          <w:rFonts w:ascii="Tahoma;Geneva;sans-serif" w:hAnsi="Tahoma;Geneva;sans-serif"/>
          <w:b w:val="false"/>
          <w:i w:val="false"/>
          <w:caps w:val="false"/>
          <w:smallCaps w:val="false"/>
          <w:color w:val="000000"/>
          <w:spacing w:val="2"/>
          <w:sz w:val="20"/>
          <w:u w:val="single"/>
        </w:rPr>
        <w:t>Company</w:t>
      </w:r>
      <w:r>
        <w:rPr>
          <w:rFonts w:ascii="Tahoma;Geneva;sans-serif" w:hAnsi="Tahoma;Geneva;sans-serif"/>
          <w:b w:val="false"/>
          <w:i w:val="false"/>
          <w:caps w:val="false"/>
          <w:smallCaps w:val="false"/>
          <w:color w:val="000000"/>
          <w:spacing w:val="2"/>
          <w:sz w:val="20"/>
        </w:rPr>
        <w:t>” shall have the meaning set forth in ARTICLE 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2.12.      “</w:t>
      </w:r>
      <w:r>
        <w:rPr>
          <w:rFonts w:ascii="Tahoma;Geneva;sans-serif" w:hAnsi="Tahoma;Geneva;sans-serif"/>
          <w:b w:val="false"/>
          <w:i w:val="false"/>
          <w:caps w:val="false"/>
          <w:smallCaps w:val="false"/>
          <w:color w:val="000000"/>
          <w:spacing w:val="2"/>
          <w:sz w:val="20"/>
          <w:u w:val="single"/>
        </w:rPr>
        <w:t>Control</w:t>
      </w:r>
      <w:r>
        <w:rPr>
          <w:rFonts w:ascii="Tahoma;Geneva;sans-serif" w:hAnsi="Tahoma;Geneva;sans-serif"/>
          <w:b w:val="false"/>
          <w:i w:val="false"/>
          <w:caps w:val="false"/>
          <w:smallCaps w:val="false"/>
          <w:color w:val="000000"/>
          <w:spacing w:val="2"/>
          <w:sz w:val="20"/>
        </w:rPr>
        <w:t>” shall have the meaning given in Section 995(2) of the Income Tax Act 2007, unless otherwise specified;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2.13.      “</w:t>
      </w:r>
      <w:r>
        <w:rPr>
          <w:rFonts w:ascii="Tahoma;Geneva;sans-serif" w:hAnsi="Tahoma;Geneva;sans-serif"/>
          <w:b w:val="false"/>
          <w:i w:val="false"/>
          <w:caps w:val="false"/>
          <w:smallCaps w:val="false"/>
          <w:color w:val="000000"/>
          <w:spacing w:val="2"/>
          <w:sz w:val="20"/>
          <w:u w:val="single"/>
        </w:rPr>
        <w:t>Director</w:t>
      </w:r>
      <w:r>
        <w:rPr>
          <w:rFonts w:ascii="Tahoma;Geneva;sans-serif" w:hAnsi="Tahoma;Geneva;sans-serif"/>
          <w:b w:val="false"/>
          <w:i w:val="false"/>
          <w:caps w:val="false"/>
          <w:smallCaps w:val="false"/>
          <w:color w:val="000000"/>
          <w:spacing w:val="2"/>
          <w:sz w:val="20"/>
        </w:rPr>
        <w:t>” shall mean a member of the Board, as constituted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2.14.      “</w:t>
      </w:r>
      <w:r>
        <w:rPr>
          <w:rFonts w:ascii="Tahoma;Geneva;sans-serif" w:hAnsi="Tahoma;Geneva;sans-serif"/>
          <w:b w:val="false"/>
          <w:i w:val="false"/>
          <w:caps w:val="false"/>
          <w:smallCaps w:val="false"/>
          <w:color w:val="000000"/>
          <w:spacing w:val="2"/>
          <w:sz w:val="20"/>
          <w:u w:val="single"/>
        </w:rPr>
        <w:t>Director Limit</w:t>
      </w:r>
      <w:r>
        <w:rPr>
          <w:rFonts w:ascii="Tahoma;Geneva;sans-serif" w:hAnsi="Tahoma;Geneva;sans-serif"/>
          <w:b w:val="false"/>
          <w:i w:val="false"/>
          <w:caps w:val="false"/>
          <w:smallCaps w:val="false"/>
          <w:color w:val="000000"/>
          <w:spacing w:val="2"/>
          <w:sz w:val="20"/>
        </w:rPr>
        <w:t>” shall have the meaning set forth in Section 4.6.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2.15.      “</w:t>
      </w:r>
      <w:r>
        <w:rPr>
          <w:rFonts w:ascii="Tahoma;Geneva;sans-serif" w:hAnsi="Tahoma;Geneva;sans-serif"/>
          <w:b w:val="false"/>
          <w:i w:val="false"/>
          <w:caps w:val="false"/>
          <w:smallCaps w:val="false"/>
          <w:color w:val="000000"/>
          <w:spacing w:val="2"/>
          <w:sz w:val="20"/>
          <w:u w:val="single"/>
        </w:rPr>
        <w:t>Dividend Equivalent</w:t>
      </w:r>
      <w:r>
        <w:rPr>
          <w:rFonts w:ascii="Tahoma;Geneva;sans-serif" w:hAnsi="Tahoma;Geneva;sans-serif"/>
          <w:b w:val="false"/>
          <w:i w:val="false"/>
          <w:caps w:val="false"/>
          <w:smallCaps w:val="false"/>
          <w:color w:val="000000"/>
          <w:spacing w:val="2"/>
          <w:sz w:val="20"/>
        </w:rPr>
        <w:t>” shall mean a right to receive the equivalent value (in cash or Shares) of dividends paid on Shares, awarded under Section 9.2.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2.16.      “</w:t>
      </w:r>
      <w:r>
        <w:rPr>
          <w:rFonts w:ascii="Tahoma;Geneva;sans-serif" w:hAnsi="Tahoma;Geneva;sans-serif"/>
          <w:b w:val="false"/>
          <w:i w:val="false"/>
          <w:caps w:val="false"/>
          <w:smallCaps w:val="false"/>
          <w:color w:val="000000"/>
          <w:spacing w:val="2"/>
          <w:sz w:val="20"/>
          <w:u w:val="single"/>
        </w:rPr>
        <w:t>DRO</w:t>
      </w:r>
      <w:r>
        <w:rPr>
          <w:rFonts w:ascii="Tahoma;Geneva;sans-serif" w:hAnsi="Tahoma;Geneva;sans-serif"/>
          <w:b w:val="false"/>
          <w:i w:val="false"/>
          <w:caps w:val="false"/>
          <w:smallCaps w:val="false"/>
          <w:color w:val="000000"/>
          <w:spacing w:val="2"/>
          <w:sz w:val="20"/>
        </w:rPr>
        <w:t>” shall mean a “domestic relations order” as defined by the Code or Title I of the Employee Retirement Income Security Act of 1974, as amended from time to time, or the rules thereunder.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2.17.      “</w:t>
      </w:r>
      <w:r>
        <w:rPr>
          <w:rFonts w:ascii="Tahoma;Geneva;sans-serif" w:hAnsi="Tahoma;Geneva;sans-serif"/>
          <w:b w:val="false"/>
          <w:i w:val="false"/>
          <w:caps w:val="false"/>
          <w:smallCaps w:val="false"/>
          <w:color w:val="000000"/>
          <w:spacing w:val="2"/>
          <w:sz w:val="20"/>
          <w:u w:val="single"/>
        </w:rPr>
        <w:t>Effective Date</w:t>
      </w:r>
      <w:r>
        <w:rPr>
          <w:rFonts w:ascii="Tahoma;Geneva;sans-serif" w:hAnsi="Tahoma;Geneva;sans-serif"/>
          <w:b w:val="false"/>
          <w:i w:val="false"/>
          <w:caps w:val="false"/>
          <w:smallCaps w:val="false"/>
          <w:color w:val="000000"/>
          <w:spacing w:val="2"/>
          <w:sz w:val="20"/>
        </w:rPr>
        <w:t>” shall mean June 11, 2025, corresponding to the date on which the Plan was approved by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2.18.      “</w:t>
      </w:r>
      <w:r>
        <w:rPr>
          <w:rFonts w:ascii="Tahoma;Geneva;sans-serif" w:hAnsi="Tahoma;Geneva;sans-serif"/>
          <w:b w:val="false"/>
          <w:i w:val="false"/>
          <w:caps w:val="false"/>
          <w:smallCaps w:val="false"/>
          <w:color w:val="000000"/>
          <w:spacing w:val="2"/>
          <w:sz w:val="20"/>
          <w:u w:val="single"/>
        </w:rPr>
        <w:t>Eligible Individual</w:t>
      </w:r>
      <w:r>
        <w:rPr>
          <w:rFonts w:ascii="Tahoma;Geneva;sans-serif" w:hAnsi="Tahoma;Geneva;sans-serif"/>
          <w:b w:val="false"/>
          <w:i w:val="false"/>
          <w:caps w:val="false"/>
          <w:smallCaps w:val="false"/>
          <w:color w:val="000000"/>
          <w:spacing w:val="2"/>
          <w:sz w:val="20"/>
        </w:rPr>
        <w:t>” shall mean any person who is a Non-Executive Director,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2.19.      “</w:t>
      </w:r>
      <w:r>
        <w:rPr>
          <w:rFonts w:ascii="Tahoma;Geneva;sans-serif" w:hAnsi="Tahoma;Geneva;sans-serif"/>
          <w:b w:val="false"/>
          <w:i w:val="false"/>
          <w:caps w:val="false"/>
          <w:smallCaps w:val="false"/>
          <w:color w:val="000000"/>
          <w:spacing w:val="2"/>
          <w:sz w:val="20"/>
          <w:u w:val="single"/>
        </w:rPr>
        <w:t>Employee</w:t>
      </w:r>
      <w:r>
        <w:rPr>
          <w:rFonts w:ascii="Tahoma;Geneva;sans-serif" w:hAnsi="Tahoma;Geneva;sans-serif"/>
          <w:b w:val="false"/>
          <w:i w:val="false"/>
          <w:caps w:val="false"/>
          <w:smallCaps w:val="false"/>
          <w:color w:val="000000"/>
          <w:spacing w:val="2"/>
          <w:sz w:val="20"/>
        </w:rPr>
        <w:t>” shall mean any person who is an employee of the Company or of any Subsidiary, including any employee who is also a director or officeholder of the Company or of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2.20.      “</w:t>
      </w:r>
      <w:r>
        <w:rPr>
          <w:rFonts w:ascii="Tahoma;Geneva;sans-serif" w:hAnsi="Tahoma;Geneva;sans-serif"/>
          <w:b w:val="false"/>
          <w:i w:val="false"/>
          <w:caps w:val="false"/>
          <w:smallCaps w:val="false"/>
          <w:color w:val="000000"/>
          <w:spacing w:val="2"/>
          <w:sz w:val="20"/>
          <w:u w:val="single"/>
        </w:rPr>
        <w:t>Equity Restructuring</w:t>
      </w:r>
      <w:r>
        <w:rPr>
          <w:rFonts w:ascii="Tahoma;Geneva;sans-serif" w:hAnsi="Tahoma;Geneva;sans-serif"/>
          <w:b w:val="false"/>
          <w:i w:val="false"/>
          <w:caps w:val="false"/>
          <w:smallCaps w:val="false"/>
          <w:color w:val="000000"/>
          <w:spacing w:val="2"/>
          <w:sz w:val="20"/>
        </w:rPr>
        <w:t>”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2.21.      “</w:t>
      </w:r>
      <w:r>
        <w:rPr>
          <w:rFonts w:ascii="Tahoma;Geneva;sans-serif" w:hAnsi="Tahoma;Geneva;sans-serif"/>
          <w:b w:val="false"/>
          <w:i w:val="false"/>
          <w:caps w:val="false"/>
          <w:smallCaps w:val="false"/>
          <w:color w:val="000000"/>
          <w:spacing w:val="2"/>
          <w:sz w:val="20"/>
          <w:u w:val="single"/>
        </w:rPr>
        <w:t>Exchange Act</w:t>
      </w:r>
      <w:r>
        <w:rPr>
          <w:rFonts w:ascii="Tahoma;Geneva;sans-serif" w:hAnsi="Tahoma;Geneva;sans-serif"/>
          <w:b w:val="false"/>
          <w:i w:val="false"/>
          <w:caps w:val="false"/>
          <w:smallCaps w:val="false"/>
          <w:color w:val="000000"/>
          <w:spacing w:val="2"/>
          <w:sz w:val="20"/>
        </w:rPr>
        <w:t>” shall mean the Securities Exchange Act of 1934, as amended from time to time.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29"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314" descr=""/>
                          <pic:cNvPicPr>
                            <a:picLocks noChangeAspect="1" noChangeArrowheads="1"/>
                          </pic:cNvPicPr>
                        </pic:nvPicPr>
                        <pic:blipFill>
                          <a:blip r:embed="rId31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30"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315" descr=""/>
                    <pic:cNvPicPr>
                      <a:picLocks noChangeAspect="1" noChangeArrowheads="1"/>
                    </pic:cNvPicPr>
                  </pic:nvPicPr>
                  <pic:blipFill>
                    <a:blip r:embed="rId31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2.22.      “</w:t>
      </w:r>
      <w:r>
        <w:rPr>
          <w:rFonts w:ascii="Tahoma;Geneva;sans-serif" w:hAnsi="Tahoma;Geneva;sans-serif"/>
          <w:b w:val="false"/>
          <w:i w:val="false"/>
          <w:caps w:val="false"/>
          <w:smallCaps w:val="false"/>
          <w:color w:val="000000"/>
          <w:spacing w:val="2"/>
          <w:sz w:val="20"/>
          <w:u w:val="single"/>
        </w:rPr>
        <w:t>Expiration Date</w:t>
      </w:r>
      <w:r>
        <w:rPr>
          <w:rFonts w:ascii="Tahoma;Geneva;sans-serif" w:hAnsi="Tahoma;Geneva;sans-serif"/>
          <w:b w:val="false"/>
          <w:i w:val="false"/>
          <w:caps w:val="false"/>
          <w:smallCaps w:val="false"/>
          <w:color w:val="000000"/>
          <w:spacing w:val="2"/>
          <w:sz w:val="20"/>
        </w:rPr>
        <w:t>” shall have the meaning given to such term in Section 12.1(c).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2.23.      “</w:t>
      </w:r>
      <w:r>
        <w:rPr>
          <w:rFonts w:ascii="Tahoma;Geneva;sans-serif" w:hAnsi="Tahoma;Geneva;sans-serif"/>
          <w:b w:val="false"/>
          <w:i w:val="false"/>
          <w:caps w:val="false"/>
          <w:smallCaps w:val="false"/>
          <w:color w:val="000000"/>
          <w:spacing w:val="2"/>
          <w:sz w:val="20"/>
          <w:u w:val="single"/>
        </w:rPr>
        <w:t>Fair Market Value</w:t>
      </w:r>
      <w:r>
        <w:rPr>
          <w:rFonts w:ascii="Tahoma;Geneva;sans-serif" w:hAnsi="Tahoma;Geneva;sans-serif"/>
          <w:b w:val="false"/>
          <w:i w:val="false"/>
          <w:caps w:val="false"/>
          <w:smallCaps w:val="false"/>
          <w:color w:val="000000"/>
          <w:spacing w:val="2"/>
          <w:sz w:val="20"/>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Tahoma;Geneva;sans-serif" w:hAnsi="Tahoma;Geneva;sans-serif"/>
          <w:b w:val="false"/>
          <w:i/>
          <w:caps w:val="false"/>
          <w:smallCaps w:val="false"/>
          <w:color w:val="000000"/>
          <w:sz w:val="20"/>
        </w:rPr>
        <w:t>The Wall Street Journal</w:t>
      </w:r>
      <w:r>
        <w:rPr>
          <w:rFonts w:ascii="Tahoma;Geneva;sans-serif" w:hAnsi="Tahoma;Geneva;sans-serif"/>
          <w:b w:val="false"/>
          <w:i w:val="false"/>
          <w:caps w:val="false"/>
          <w:smallCaps w:val="false"/>
          <w:color w:val="000000"/>
          <w:spacing w:val="2"/>
          <w:sz w:val="20"/>
        </w:rPr>
        <w:t xml:space="preserve"> or such other source as the Administrator deems reliable.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2.24.      “</w:t>
      </w:r>
      <w:r>
        <w:rPr>
          <w:rFonts w:ascii="Tahoma;Geneva;sans-serif" w:hAnsi="Tahoma;Geneva;sans-serif"/>
          <w:b w:val="false"/>
          <w:i w:val="false"/>
          <w:caps w:val="false"/>
          <w:smallCaps w:val="false"/>
          <w:color w:val="000000"/>
          <w:spacing w:val="2"/>
          <w:sz w:val="20"/>
          <w:u w:val="single"/>
        </w:rPr>
        <w:t>Holder</w:t>
      </w:r>
      <w:r>
        <w:rPr>
          <w:rFonts w:ascii="Tahoma;Geneva;sans-serif" w:hAnsi="Tahoma;Geneva;sans-serif"/>
          <w:b w:val="false"/>
          <w:i w:val="false"/>
          <w:caps w:val="false"/>
          <w:smallCaps w:val="false"/>
          <w:color w:val="000000"/>
          <w:spacing w:val="2"/>
          <w:sz w:val="20"/>
        </w:rPr>
        <w:t>” shall mean a person who has been granted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2.25.      “</w:t>
      </w:r>
      <w:r>
        <w:rPr>
          <w:rFonts w:ascii="Tahoma;Geneva;sans-serif" w:hAnsi="Tahoma;Geneva;sans-serif"/>
          <w:b w:val="false"/>
          <w:i w:val="false"/>
          <w:caps w:val="false"/>
          <w:smallCaps w:val="false"/>
          <w:color w:val="000000"/>
          <w:spacing w:val="2"/>
          <w:sz w:val="20"/>
          <w:u w:val="single"/>
        </w:rPr>
        <w:t>Non-Executive Director</w:t>
      </w:r>
      <w:r>
        <w:rPr>
          <w:rFonts w:ascii="Tahoma;Geneva;sans-serif" w:hAnsi="Tahoma;Geneva;sans-serif"/>
          <w:b w:val="false"/>
          <w:i w:val="false"/>
          <w:caps w:val="false"/>
          <w:smallCaps w:val="false"/>
          <w:color w:val="000000"/>
          <w:spacing w:val="2"/>
          <w:sz w:val="20"/>
        </w:rPr>
        <w:t>” shall mean a Director of the Company who is not an Employee.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2.26.      “</w:t>
      </w:r>
      <w:r>
        <w:rPr>
          <w:rFonts w:ascii="Tahoma;Geneva;sans-serif" w:hAnsi="Tahoma;Geneva;sans-serif"/>
          <w:b w:val="false"/>
          <w:i w:val="false"/>
          <w:caps w:val="false"/>
          <w:smallCaps w:val="false"/>
          <w:color w:val="000000"/>
          <w:spacing w:val="2"/>
          <w:sz w:val="20"/>
          <w:u w:val="single"/>
        </w:rPr>
        <w:t>Option</w:t>
      </w:r>
      <w:r>
        <w:rPr>
          <w:rFonts w:ascii="Tahoma;Geneva;sans-serif" w:hAnsi="Tahoma;Geneva;sans-serif"/>
          <w:b w:val="false"/>
          <w:i w:val="false"/>
          <w:caps w:val="false"/>
          <w:smallCaps w:val="false"/>
          <w:color w:val="000000"/>
          <w:spacing w:val="2"/>
          <w:sz w:val="20"/>
        </w:rPr>
        <w:t>” shall mean a right to purchase Shares at a specified exercise price, granted under ARTICLE 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2.27.      “</w:t>
      </w:r>
      <w:r>
        <w:rPr>
          <w:rFonts w:ascii="Tahoma;Geneva;sans-serif" w:hAnsi="Tahoma;Geneva;sans-serif"/>
          <w:b w:val="false"/>
          <w:i w:val="false"/>
          <w:caps w:val="false"/>
          <w:smallCaps w:val="false"/>
          <w:color w:val="000000"/>
          <w:spacing w:val="2"/>
          <w:sz w:val="20"/>
          <w:u w:val="single"/>
        </w:rPr>
        <w:t>Option Term</w:t>
      </w:r>
      <w:r>
        <w:rPr>
          <w:rFonts w:ascii="Tahoma;Geneva;sans-serif" w:hAnsi="Tahoma;Geneva;sans-serif"/>
          <w:b w:val="false"/>
          <w:i w:val="false"/>
          <w:caps w:val="false"/>
          <w:smallCaps w:val="false"/>
          <w:color w:val="000000"/>
          <w:spacing w:val="2"/>
          <w:sz w:val="20"/>
        </w:rPr>
        <w:t>” shall have the meaning set forth in Section 6.3.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2.28.      “</w:t>
      </w:r>
      <w:r>
        <w:rPr>
          <w:rFonts w:ascii="Tahoma;Geneva;sans-serif" w:hAnsi="Tahoma;Geneva;sans-serif"/>
          <w:b w:val="false"/>
          <w:i w:val="false"/>
          <w:caps w:val="false"/>
          <w:smallCaps w:val="false"/>
          <w:color w:val="000000"/>
          <w:spacing w:val="2"/>
          <w:sz w:val="20"/>
          <w:u w:val="single"/>
        </w:rPr>
        <w:t>Organizational Documents</w:t>
      </w:r>
      <w:r>
        <w:rPr>
          <w:rFonts w:ascii="Tahoma;Geneva;sans-serif" w:hAnsi="Tahoma;Geneva;sans-serif"/>
          <w:b w:val="false"/>
          <w:i w:val="false"/>
          <w:caps w:val="false"/>
          <w:smallCaps w:val="false"/>
          <w:color w:val="000000"/>
          <w:spacing w:val="2"/>
          <w:sz w:val="20"/>
        </w:rPr>
        <w:t>” shall mean, collectively: (a) the Company’s memorandum and articles of association; and (b) the Committee’s charter or other similar organizational documentation relating to the creation and governance of the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2.29.      “</w:t>
      </w:r>
      <w:r>
        <w:rPr>
          <w:rFonts w:ascii="Tahoma;Geneva;sans-serif" w:hAnsi="Tahoma;Geneva;sans-serif"/>
          <w:b w:val="false"/>
          <w:i w:val="false"/>
          <w:caps w:val="false"/>
          <w:smallCaps w:val="false"/>
          <w:color w:val="000000"/>
          <w:spacing w:val="2"/>
          <w:sz w:val="20"/>
          <w:u w:val="single"/>
        </w:rPr>
        <w:t>Other Stock or Cash Based Award</w:t>
      </w:r>
      <w:r>
        <w:rPr>
          <w:rFonts w:ascii="Tahoma;Geneva;sans-serif" w:hAnsi="Tahoma;Geneva;sans-serif"/>
          <w:b w:val="false"/>
          <w:i w:val="false"/>
          <w:caps w:val="false"/>
          <w:smallCaps w:val="false"/>
          <w:color w:val="000000"/>
          <w:spacing w:val="2"/>
          <w:sz w:val="20"/>
        </w:rPr>
        <w:t>” shall mean a cash bonus award, share bonus award, performance award or incentive award that is paid in cash, Shares or a combination of both, awarded under Section 9.1, which may include, without limitation, deferred stock, deferred stock units, stock payments and performance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2.30.      “</w:t>
      </w:r>
      <w:r>
        <w:rPr>
          <w:rFonts w:ascii="Tahoma;Geneva;sans-serif" w:hAnsi="Tahoma;Geneva;sans-serif"/>
          <w:b w:val="false"/>
          <w:i w:val="false"/>
          <w:caps w:val="false"/>
          <w:smallCaps w:val="false"/>
          <w:color w:val="000000"/>
          <w:spacing w:val="2"/>
          <w:sz w:val="20"/>
          <w:u w:val="single"/>
        </w:rPr>
        <w:t>Permitted Transferee</w:t>
      </w:r>
      <w:r>
        <w:rPr>
          <w:rFonts w:ascii="Tahoma;Geneva;sans-serif" w:hAnsi="Tahoma;Geneva;sans-serif"/>
          <w:b w:val="false"/>
          <w:i w:val="false"/>
          <w:caps w:val="false"/>
          <w:smallCaps w:val="false"/>
          <w:color w:val="000000"/>
          <w:spacing w:val="2"/>
          <w:sz w:val="20"/>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2.31.      “</w:t>
      </w:r>
      <w:r>
        <w:rPr>
          <w:rFonts w:ascii="Tahoma;Geneva;sans-serif" w:hAnsi="Tahoma;Geneva;sans-serif"/>
          <w:b w:val="false"/>
          <w:i w:val="false"/>
          <w:caps w:val="false"/>
          <w:smallCaps w:val="false"/>
          <w:color w:val="000000"/>
          <w:spacing w:val="2"/>
          <w:sz w:val="20"/>
          <w:u w:val="single"/>
        </w:rPr>
        <w:t>Plan</w:t>
      </w:r>
      <w:r>
        <w:rPr>
          <w:rFonts w:ascii="Tahoma;Geneva;sans-serif" w:hAnsi="Tahoma;Geneva;sans-serif"/>
          <w:b w:val="false"/>
          <w:i w:val="false"/>
          <w:caps w:val="false"/>
          <w:smallCaps w:val="false"/>
          <w:color w:val="000000"/>
          <w:spacing w:val="2"/>
          <w:sz w:val="20"/>
        </w:rPr>
        <w:t>” shall have the meaning set forth in ARTICLE 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2.32.      “</w:t>
      </w:r>
      <w:r>
        <w:rPr>
          <w:rFonts w:ascii="Tahoma;Geneva;sans-serif" w:hAnsi="Tahoma;Geneva;sans-serif"/>
          <w:b w:val="false"/>
          <w:i w:val="false"/>
          <w:caps w:val="false"/>
          <w:smallCaps w:val="false"/>
          <w:color w:val="000000"/>
          <w:spacing w:val="2"/>
          <w:sz w:val="20"/>
          <w:u w:val="single"/>
        </w:rPr>
        <w:t>Program</w:t>
      </w:r>
      <w:r>
        <w:rPr>
          <w:rFonts w:ascii="Tahoma;Geneva;sans-serif" w:hAnsi="Tahoma;Geneva;sans-serif"/>
          <w:b w:val="false"/>
          <w:i w:val="false"/>
          <w:caps w:val="false"/>
          <w:smallCaps w:val="false"/>
          <w:color w:val="000000"/>
          <w:spacing w:val="2"/>
          <w:sz w:val="20"/>
        </w:rPr>
        <w:t>” shall mean any program adopted by the Administrator pursuant to the Plan containing the terms and conditions intended to govern a specified type of Award granted under the Plan and pursuant to which such type of Award may be granted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2.33.      “</w:t>
      </w:r>
      <w:r>
        <w:rPr>
          <w:rFonts w:ascii="Tahoma;Geneva;sans-serif" w:hAnsi="Tahoma;Geneva;sans-serif"/>
          <w:b w:val="false"/>
          <w:i w:val="false"/>
          <w:caps w:val="false"/>
          <w:smallCaps w:val="false"/>
          <w:color w:val="000000"/>
          <w:spacing w:val="2"/>
          <w:sz w:val="20"/>
          <w:u w:val="single"/>
        </w:rPr>
        <w:t>Restricted Stock</w:t>
      </w:r>
      <w:r>
        <w:rPr>
          <w:rFonts w:ascii="Tahoma;Geneva;sans-serif" w:hAnsi="Tahoma;Geneva;sans-serif"/>
          <w:b w:val="false"/>
          <w:i w:val="false"/>
          <w:caps w:val="false"/>
          <w:smallCaps w:val="false"/>
          <w:color w:val="000000"/>
          <w:spacing w:val="2"/>
          <w:sz w:val="20"/>
        </w:rPr>
        <w:t>” shall mean Shares awarded under ARTICLE 7 that are subject to certain restrictions and may be subject to risk of forfeiture or repurchase.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2.34.      “</w:t>
      </w:r>
      <w:r>
        <w:rPr>
          <w:rFonts w:ascii="Tahoma;Geneva;sans-serif" w:hAnsi="Tahoma;Geneva;sans-serif"/>
          <w:b w:val="false"/>
          <w:i w:val="false"/>
          <w:caps w:val="false"/>
          <w:smallCaps w:val="false"/>
          <w:color w:val="000000"/>
          <w:spacing w:val="2"/>
          <w:sz w:val="20"/>
          <w:u w:val="single"/>
        </w:rPr>
        <w:t>Restricted Stock Units</w:t>
      </w:r>
      <w:r>
        <w:rPr>
          <w:rFonts w:ascii="Tahoma;Geneva;sans-serif" w:hAnsi="Tahoma;Geneva;sans-serif"/>
          <w:b w:val="false"/>
          <w:i w:val="false"/>
          <w:caps w:val="false"/>
          <w:smallCaps w:val="false"/>
          <w:color w:val="000000"/>
          <w:spacing w:val="2"/>
          <w:sz w:val="20"/>
        </w:rPr>
        <w:t>” shall mean the right to receive Shares awarded under ARTICLE 8.</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2.35.      “</w:t>
      </w:r>
      <w:r>
        <w:rPr>
          <w:rFonts w:ascii="Tahoma;Geneva;sans-serif" w:hAnsi="Tahoma;Geneva;sans-serif"/>
          <w:b w:val="false"/>
          <w:i w:val="false"/>
          <w:caps w:val="false"/>
          <w:smallCaps w:val="false"/>
          <w:color w:val="000000"/>
          <w:spacing w:val="2"/>
          <w:sz w:val="20"/>
          <w:u w:val="single"/>
        </w:rPr>
        <w:t>Sale</w:t>
      </w:r>
      <w:r>
        <w:rPr>
          <w:rFonts w:ascii="Tahoma;Geneva;sans-serif" w:hAnsi="Tahoma;Geneva;sans-serif"/>
          <w:b w:val="false"/>
          <w:i w:val="false"/>
          <w:caps w:val="false"/>
          <w:smallCaps w:val="false"/>
          <w:color w:val="000000"/>
          <w:spacing w:val="2"/>
          <w:sz w:val="20"/>
        </w:rPr>
        <w:t>” shall mean the sale of all or substantially all of the assets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2.36.      “</w:t>
      </w:r>
      <w:r>
        <w:rPr>
          <w:rFonts w:ascii="Tahoma;Geneva;sans-serif" w:hAnsi="Tahoma;Geneva;sans-serif"/>
          <w:b w:val="false"/>
          <w:i w:val="false"/>
          <w:caps w:val="false"/>
          <w:smallCaps w:val="false"/>
          <w:color w:val="000000"/>
          <w:spacing w:val="2"/>
          <w:sz w:val="20"/>
          <w:u w:val="single"/>
        </w:rPr>
        <w:t>SAR Term</w:t>
      </w:r>
      <w:r>
        <w:rPr>
          <w:rFonts w:ascii="Tahoma;Geneva;sans-serif" w:hAnsi="Tahoma;Geneva;sans-serif"/>
          <w:b w:val="false"/>
          <w:i w:val="false"/>
          <w:caps w:val="false"/>
          <w:smallCaps w:val="false"/>
          <w:color w:val="000000"/>
          <w:spacing w:val="2"/>
          <w:sz w:val="20"/>
        </w:rPr>
        <w:t>” shall have the meaning set forth in Section 6.3.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2.37.      “</w:t>
      </w:r>
      <w:r>
        <w:rPr>
          <w:rFonts w:ascii="Tahoma;Geneva;sans-serif" w:hAnsi="Tahoma;Geneva;sans-serif"/>
          <w:b w:val="false"/>
          <w:i w:val="false"/>
          <w:caps w:val="false"/>
          <w:smallCaps w:val="false"/>
          <w:color w:val="000000"/>
          <w:spacing w:val="2"/>
          <w:sz w:val="20"/>
          <w:u w:val="single"/>
        </w:rPr>
        <w:t>Section 409A</w:t>
      </w:r>
      <w:r>
        <w:rPr>
          <w:rFonts w:ascii="Tahoma;Geneva;sans-serif" w:hAnsi="Tahoma;Geneva;sans-serif"/>
          <w:b w:val="false"/>
          <w:i w:val="false"/>
          <w:caps w:val="false"/>
          <w:smallCaps w:val="false"/>
          <w:color w:val="000000"/>
          <w:spacing w:val="2"/>
          <w:sz w:val="20"/>
        </w:rPr>
        <w:t>” shall mean Section 409A of the Code and the Department of Treasury regulations and other interpretive guidance issued thereunder, including, without limitation, any such regulations or other guidance that may be issued after the Effective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2.38.      “</w:t>
      </w:r>
      <w:r>
        <w:rPr>
          <w:rFonts w:ascii="Tahoma;Geneva;sans-serif" w:hAnsi="Tahoma;Geneva;sans-serif"/>
          <w:b w:val="false"/>
          <w:i w:val="false"/>
          <w:caps w:val="false"/>
          <w:smallCaps w:val="false"/>
          <w:color w:val="000000"/>
          <w:spacing w:val="2"/>
          <w:sz w:val="20"/>
          <w:u w:val="single"/>
        </w:rPr>
        <w:t>Securities Act</w:t>
      </w:r>
      <w:r>
        <w:rPr>
          <w:rFonts w:ascii="Tahoma;Geneva;sans-serif" w:hAnsi="Tahoma;Geneva;sans-serif"/>
          <w:b w:val="false"/>
          <w:i w:val="false"/>
          <w:caps w:val="false"/>
          <w:smallCaps w:val="false"/>
          <w:color w:val="000000"/>
          <w:spacing w:val="2"/>
          <w:sz w:val="20"/>
        </w:rPr>
        <w:t>” shall mean the Securities Act of 1933, as amended.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2.39.      “</w:t>
      </w:r>
      <w:r>
        <w:rPr>
          <w:rFonts w:ascii="Tahoma;Geneva;sans-serif" w:hAnsi="Tahoma;Geneva;sans-serif"/>
          <w:b w:val="false"/>
          <w:i w:val="false"/>
          <w:caps w:val="false"/>
          <w:smallCaps w:val="false"/>
          <w:color w:val="000000"/>
          <w:spacing w:val="2"/>
          <w:sz w:val="20"/>
          <w:u w:val="single"/>
        </w:rPr>
        <w:t>Shares</w:t>
      </w:r>
      <w:r>
        <w:rPr>
          <w:rFonts w:ascii="Tahoma;Geneva;sans-serif" w:hAnsi="Tahoma;Geneva;sans-serif"/>
          <w:b w:val="false"/>
          <w:i w:val="false"/>
          <w:caps w:val="false"/>
          <w:smallCaps w:val="false"/>
          <w:color w:val="000000"/>
          <w:spacing w:val="2"/>
          <w:sz w:val="20"/>
        </w:rPr>
        <w:t>” shall mean ordinary shares in the capital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2.40.      “</w:t>
      </w:r>
      <w:r>
        <w:rPr>
          <w:rFonts w:ascii="Tahoma;Geneva;sans-serif" w:hAnsi="Tahoma;Geneva;sans-serif"/>
          <w:b w:val="false"/>
          <w:i w:val="false"/>
          <w:caps w:val="false"/>
          <w:smallCaps w:val="false"/>
          <w:color w:val="000000"/>
          <w:spacing w:val="2"/>
          <w:sz w:val="20"/>
          <w:u w:val="single"/>
        </w:rPr>
        <w:t>Stock Appreciation Right</w:t>
      </w:r>
      <w:r>
        <w:rPr>
          <w:rFonts w:ascii="Tahoma;Geneva;sans-serif" w:hAnsi="Tahoma;Geneva;sans-serif"/>
          <w:b w:val="false"/>
          <w:i w:val="false"/>
          <w:caps w:val="false"/>
          <w:smallCaps w:val="false"/>
          <w:color w:val="000000"/>
          <w:spacing w:val="2"/>
          <w:sz w:val="20"/>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31"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316" descr=""/>
                          <pic:cNvPicPr>
                            <a:picLocks noChangeAspect="1" noChangeArrowheads="1"/>
                          </pic:cNvPicPr>
                        </pic:nvPicPr>
                        <pic:blipFill>
                          <a:blip r:embed="rId31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32"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317" descr=""/>
                    <pic:cNvPicPr>
                      <a:picLocks noChangeAspect="1" noChangeArrowheads="1"/>
                    </pic:cNvPicPr>
                  </pic:nvPicPr>
                  <pic:blipFill>
                    <a:blip r:embed="rId31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2.41.      “</w:t>
      </w:r>
      <w:r>
        <w:rPr>
          <w:rFonts w:ascii="Tahoma;Geneva;sans-serif" w:hAnsi="Tahoma;Geneva;sans-serif"/>
          <w:b w:val="false"/>
          <w:i w:val="false"/>
          <w:caps w:val="false"/>
          <w:smallCaps w:val="false"/>
          <w:color w:val="000000"/>
          <w:spacing w:val="2"/>
          <w:sz w:val="20"/>
          <w:u w:val="single"/>
        </w:rPr>
        <w:t>Subsidiary</w:t>
      </w:r>
      <w:r>
        <w:rPr>
          <w:rFonts w:ascii="Tahoma;Geneva;sans-serif" w:hAnsi="Tahoma;Geneva;sans-serif"/>
          <w:b w:val="false"/>
          <w:i w:val="false"/>
          <w:caps w:val="false"/>
          <w:smallCaps w:val="false"/>
          <w:color w:val="000000"/>
          <w:spacing w:val="2"/>
          <w:sz w:val="20"/>
        </w:rPr>
        <w:t>” shall mean a company that is a subsidiary of the Company within the meaning of Section 1159 of the Companies Act 2006.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2.42.      “</w:t>
      </w:r>
      <w:r>
        <w:rPr>
          <w:rFonts w:ascii="Tahoma;Geneva;sans-serif" w:hAnsi="Tahoma;Geneva;sans-serif"/>
          <w:b w:val="false"/>
          <w:i w:val="false"/>
          <w:caps w:val="false"/>
          <w:smallCaps w:val="false"/>
          <w:color w:val="000000"/>
          <w:spacing w:val="2"/>
          <w:sz w:val="20"/>
          <w:u w:val="single"/>
        </w:rPr>
        <w:t>Substitute Award</w:t>
      </w:r>
      <w:r>
        <w:rPr>
          <w:rFonts w:ascii="Tahoma;Geneva;sans-serif" w:hAnsi="Tahoma;Geneva;sans-serif"/>
          <w:b w:val="false"/>
          <w:i w:val="false"/>
          <w:caps w:val="false"/>
          <w:smallCaps w:val="false"/>
          <w:color w:val="000000"/>
          <w:spacing w:val="2"/>
          <w:sz w:val="20"/>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in no event shall the term “Substitute Award” be construed to refer to an award made in connection with the cancellation and repricing of an Option or Stock Appreciation Right.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2.43.      “</w:t>
      </w:r>
      <w:r>
        <w:rPr>
          <w:rFonts w:ascii="Tahoma;Geneva;sans-serif" w:hAnsi="Tahoma;Geneva;sans-serif"/>
          <w:b w:val="false"/>
          <w:i w:val="false"/>
          <w:caps w:val="false"/>
          <w:smallCaps w:val="false"/>
          <w:color w:val="000000"/>
          <w:spacing w:val="2"/>
          <w:sz w:val="20"/>
          <w:u w:val="single"/>
        </w:rPr>
        <w:t>Takeover</w:t>
      </w:r>
      <w:r>
        <w:rPr>
          <w:rFonts w:ascii="Tahoma;Geneva;sans-serif" w:hAnsi="Tahoma;Geneva;sans-serif"/>
          <w:b w:val="false"/>
          <w:i w:val="false"/>
          <w:caps w:val="false"/>
          <w:smallCaps w:val="false"/>
          <w:color w:val="000000"/>
          <w:spacing w:val="2"/>
          <w:sz w:val="20"/>
        </w:rPr>
        <w:t>” shall mean if any person (or a group of persons acting in concert) (the “</w:t>
      </w:r>
      <w:r>
        <w:rPr>
          <w:rFonts w:ascii="Tahoma;Geneva;sans-serif" w:hAnsi="Tahoma;Geneva;sans-serif"/>
          <w:b w:val="false"/>
          <w:i w:val="false"/>
          <w:caps w:val="false"/>
          <w:smallCaps w:val="false"/>
          <w:color w:val="000000"/>
          <w:spacing w:val="2"/>
          <w:sz w:val="20"/>
          <w:u w:val="single"/>
        </w:rPr>
        <w:t>Acquiring Person</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obtains Control of the Company as the result of making a general offer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acquire all of the issued ordinary share capital of the Company, which is made on a condition that, if it is satisfied, the Acquiring Person will have Control of the Company;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acquire all of the shares in the Company which are of the same class as the Shares;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obtains Control of the Company as a result of a compromise or arrangement sanctioned by a court under Section 899 of the Companies Act 2006, or sanctioned under any other similar law of another jurisdiction;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becomes bound or entitled under Sections 979 to 985 of the Companies Act 2006 (or similar law of another jurisdiction) to acquire shares of the same class as the Shares;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obtains Control of the Company in any other way.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4"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2.44.      “</w:t>
      </w:r>
      <w:r>
        <w:rPr>
          <w:rFonts w:ascii="Tahoma;Geneva;sans-serif" w:hAnsi="Tahoma;Geneva;sans-serif"/>
          <w:b w:val="false"/>
          <w:i w:val="false"/>
          <w:caps w:val="false"/>
          <w:smallCaps w:val="false"/>
          <w:color w:val="000000"/>
          <w:spacing w:val="2"/>
          <w:sz w:val="20"/>
          <w:u w:val="single"/>
        </w:rPr>
        <w:t>Tax Liability</w:t>
      </w:r>
      <w:r>
        <w:rPr>
          <w:rFonts w:ascii="Tahoma;Geneva;sans-serif" w:hAnsi="Tahoma;Geneva;sans-serif"/>
          <w:b w:val="false"/>
          <w:i w:val="false"/>
          <w:caps w:val="false"/>
          <w:smallCaps w:val="false"/>
          <w:color w:val="000000"/>
          <w:spacing w:val="2"/>
          <w:sz w:val="20"/>
        </w:rPr>
        <w:t>” shall have the meaning set forth in Section 10.2(a).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2.45.      “</w:t>
      </w:r>
      <w:r>
        <w:rPr>
          <w:rFonts w:ascii="Tahoma;Geneva;sans-serif" w:hAnsi="Tahoma;Geneva;sans-serif"/>
          <w:b w:val="false"/>
          <w:i w:val="false"/>
          <w:caps w:val="false"/>
          <w:smallCaps w:val="false"/>
          <w:color w:val="000000"/>
          <w:spacing w:val="2"/>
          <w:sz w:val="20"/>
          <w:u w:val="single"/>
        </w:rPr>
        <w:t>Termination of Service</w:t>
      </w:r>
      <w:r>
        <w:rPr>
          <w:rFonts w:ascii="Tahoma;Geneva;sans-serif" w:hAnsi="Tahoma;Geneva;sans-serif"/>
          <w:b w:val="false"/>
          <w:i w:val="false"/>
          <w:caps w:val="false"/>
          <w:smallCaps w:val="false"/>
          <w:color w:val="000000"/>
          <w:spacing w:val="2"/>
          <w:sz w:val="20"/>
        </w:rPr>
        <w:t>” shall mean, with respect to any Holder, the time when such Holder ceases to be a Director for any reason, including, without limitation, a termination by resignation, failure to be elected, removal from office, death or retirement, but excluding a termination where the Holder simultaneously commences an employment or engagement with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Administrator, in its sole discretion, shall determine the effect of all matters and questions relating to any Termination of Service, including, without limitation, whether a Termination of Service has occurred.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3</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SHARES SUBJECT TO THE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3.1.      </w:t>
      </w:r>
      <w:r>
        <w:rPr>
          <w:rFonts w:ascii="Tahoma;Geneva;sans-serif" w:hAnsi="Tahoma;Geneva;sans-serif"/>
          <w:b w:val="false"/>
          <w:i w:val="false"/>
          <w:caps w:val="false"/>
          <w:smallCaps w:val="false"/>
          <w:color w:val="000000"/>
          <w:spacing w:val="2"/>
          <w:sz w:val="20"/>
          <w:u w:val="single"/>
        </w:rPr>
        <w:t>Number of Shares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Subject to Sections 3.1(b) and 12.2, the maximum aggregate number of Shares which may be issued or transferred pursuant to Awards under the Plan is 300,000. Any Shares distributed pursuant to an Award may consist, in whole or in part, of authorized and unissued Shares, treasury Shares or Shares purchased on the open market.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If any Shares subject to an Award are forfeited, if any Award or any portion of an Award lapses or expires,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33"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318" descr=""/>
                          <pic:cNvPicPr>
                            <a:picLocks noChangeAspect="1" noChangeArrowheads="1"/>
                          </pic:cNvPicPr>
                        </pic:nvPicPr>
                        <pic:blipFill>
                          <a:blip r:embed="rId31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3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319" descr=""/>
                    <pic:cNvPicPr>
                      <a:picLocks noChangeAspect="1" noChangeArrowheads="1"/>
                    </pic:cNvPicPr>
                  </pic:nvPicPr>
                  <pic:blipFill>
                    <a:blip r:embed="rId32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withholding obligation with respect to an any Award; (iii) Shares subject to a Stock Appreciation Right that are not issued in connection with the settlement of the Stock Appreciation Right in Shares upon 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Substitute Awards shall not reduce the Shares authorized for grant under the Plan. Additionally, in the event that a company 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4</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GRANTING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4.1.      </w:t>
      </w:r>
      <w:r>
        <w:rPr>
          <w:rFonts w:ascii="Tahoma;Geneva;sans-serif" w:hAnsi="Tahoma;Geneva;sans-serif"/>
          <w:b w:val="false"/>
          <w:i w:val="false"/>
          <w:caps w:val="false"/>
          <w:smallCaps w:val="false"/>
          <w:color w:val="000000"/>
          <w:spacing w:val="2"/>
          <w:sz w:val="20"/>
          <w:u w:val="single"/>
        </w:rPr>
        <w:t>Participation</w:t>
      </w:r>
      <w:r>
        <w:rPr>
          <w:rFonts w:ascii="Tahoma;Geneva;sans-serif" w:hAnsi="Tahoma;Geneva;sans-serif"/>
          <w:b w:val="false"/>
          <w:i w:val="false"/>
          <w:caps w:val="false"/>
          <w:smallCaps w:val="false"/>
          <w:color w:val="000000"/>
          <w:spacing w:val="2"/>
          <w:sz w:val="20"/>
        </w:rPr>
        <w:t>.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4.2.      </w:t>
      </w:r>
      <w:r>
        <w:rPr>
          <w:rFonts w:ascii="Tahoma;Geneva;sans-serif" w:hAnsi="Tahoma;Geneva;sans-serif"/>
          <w:b w:val="false"/>
          <w:i w:val="false"/>
          <w:caps w:val="false"/>
          <w:smallCaps w:val="false"/>
          <w:color w:val="000000"/>
          <w:spacing w:val="2"/>
          <w:sz w:val="20"/>
          <w:u w:val="single"/>
        </w:rPr>
        <w:t>Award Agreement</w:t>
      </w:r>
      <w:r>
        <w:rPr>
          <w:rFonts w:ascii="Tahoma;Geneva;sans-serif" w:hAnsi="Tahoma;Geneva;sans-serif"/>
          <w:b w:val="false"/>
          <w:i w:val="false"/>
          <w:caps w:val="false"/>
          <w:smallCaps w:val="false"/>
          <w:color w:val="000000"/>
          <w:spacing w:val="2"/>
          <w:sz w:val="20"/>
        </w:rPr>
        <w:t>. Each Award shall be evidenced by an Award Agreement that sets forth the terms, conditions and limitations for such Award as determined by the Administrator in its sole discretion (consistent with the requirements of the Plan and any applicable Program).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4.3.      </w:t>
      </w:r>
      <w:r>
        <w:rPr>
          <w:rFonts w:ascii="Tahoma;Geneva;sans-serif" w:hAnsi="Tahoma;Geneva;sans-serif"/>
          <w:b w:val="false"/>
          <w:i w:val="false"/>
          <w:caps w:val="false"/>
          <w:smallCaps w:val="false"/>
          <w:color w:val="000000"/>
          <w:spacing w:val="2"/>
          <w:sz w:val="20"/>
          <w:u w:val="single"/>
        </w:rPr>
        <w:t>Limitations Applicable to Section 16 Persons</w:t>
      </w:r>
      <w:r>
        <w:rPr>
          <w:rFonts w:ascii="Tahoma;Geneva;sans-serif" w:hAnsi="Tahoma;Geneva;sans-serif"/>
          <w:b w:val="false"/>
          <w:i w:val="false"/>
          <w:caps w:val="false"/>
          <w:smallCaps w:val="false"/>
          <w:color w:val="000000"/>
          <w:spacing w:val="2"/>
          <w:sz w:val="20"/>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4.4.      </w:t>
      </w:r>
      <w:r>
        <w:rPr>
          <w:rFonts w:ascii="Tahoma;Geneva;sans-serif" w:hAnsi="Tahoma;Geneva;sans-serif"/>
          <w:b w:val="false"/>
          <w:i w:val="false"/>
          <w:caps w:val="false"/>
          <w:smallCaps w:val="false"/>
          <w:color w:val="000000"/>
          <w:spacing w:val="2"/>
          <w:sz w:val="20"/>
          <w:u w:val="single"/>
        </w:rPr>
        <w:t>No Right to Continued Office</w:t>
      </w:r>
      <w:r>
        <w:rPr>
          <w:rFonts w:ascii="Tahoma;Geneva;sans-serif" w:hAnsi="Tahoma;Geneva;sans-serif"/>
          <w:b w:val="false"/>
          <w:i w:val="false"/>
          <w:caps w:val="false"/>
          <w:smallCaps w:val="false"/>
          <w:color w:val="000000"/>
          <w:spacing w:val="2"/>
          <w:sz w:val="20"/>
        </w:rPr>
        <w:t>. Nothing in the Plan or in any Program or Award Agreement hereunder shall confer upon any Holder any right to continue as a Director of the Company or any Subsidiary, or shall interfere with or restrict in any way the rights of the Company and any Subsidiary, which rights are hereby expressly reserved, to remove from office or otherwise discharge any Holder at any time for any reason whatsoever, with or without cause, and with or without notice, or to terminate or change any Holder’s terms and conditions of appointment, except to the extent expressly provided otherwise in a written agreement between the Holder and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4.5.      </w:t>
      </w:r>
      <w:r>
        <w:rPr>
          <w:rFonts w:ascii="Tahoma;Geneva;sans-serif" w:hAnsi="Tahoma;Geneva;sans-serif"/>
          <w:b w:val="false"/>
          <w:i w:val="false"/>
          <w:caps w:val="false"/>
          <w:smallCaps w:val="false"/>
          <w:color w:val="000000"/>
          <w:spacing w:val="2"/>
          <w:sz w:val="20"/>
          <w:u w:val="single"/>
        </w:rPr>
        <w:t>Foreign Holders</w:t>
      </w:r>
      <w:r>
        <w:rPr>
          <w:rFonts w:ascii="Tahoma;Geneva;sans-serif" w:hAnsi="Tahoma;Geneva;sans-serif"/>
          <w:b w:val="false"/>
          <w:i w:val="false"/>
          <w:caps w:val="false"/>
          <w:smallCaps w:val="false"/>
          <w:color w:val="000000"/>
          <w:spacing w:val="2"/>
          <w:sz w:val="20"/>
        </w:rPr>
        <w:t xml:space="preserve">. Notwithstanding any provision of the Plan or applicable Program to the contrary, in order to comply with the laws in countries other than the United States in which the Company and its Subsidiaries operate or have Non-Executive Directors, or in order to comply with the requirements of any foreign securities exchange or other Applicable Law, the Administrator, in its sole discretion, shall have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3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320" descr=""/>
                          <pic:cNvPicPr>
                            <a:picLocks noChangeAspect="1" noChangeArrowheads="1"/>
                          </pic:cNvPicPr>
                        </pic:nvPicPr>
                        <pic:blipFill>
                          <a:blip r:embed="rId32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36"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321" descr=""/>
                    <pic:cNvPicPr>
                      <a:picLocks noChangeAspect="1" noChangeArrowheads="1"/>
                    </pic:cNvPicPr>
                  </pic:nvPicPr>
                  <pic:blipFill>
                    <a:blip r:embed="rId32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4.6.      </w:t>
      </w:r>
      <w:r>
        <w:rPr>
          <w:rFonts w:ascii="Tahoma;Geneva;sans-serif" w:hAnsi="Tahoma;Geneva;sans-serif"/>
          <w:b w:val="false"/>
          <w:i w:val="false"/>
          <w:caps w:val="false"/>
          <w:smallCaps w:val="false"/>
          <w:color w:val="000000"/>
          <w:spacing w:val="2"/>
          <w:sz w:val="20"/>
          <w:u w:val="single"/>
        </w:rPr>
        <w:t>Director Limit</w:t>
      </w:r>
      <w:r>
        <w:rPr>
          <w:rFonts w:ascii="Tahoma;Geneva;sans-serif" w:hAnsi="Tahoma;Geneva;sans-serif"/>
          <w:b w:val="false"/>
          <w:i w:val="false"/>
          <w:caps w:val="false"/>
          <w:smallCaps w:val="false"/>
          <w:color w:val="000000"/>
          <w:spacing w:val="2"/>
          <w:sz w:val="20"/>
        </w:rPr>
        <w:t>. The sum of the grant date fair value of equity-based Awards and the amount of any cash-based Awards granted to a Non-Executive Director during any calendar year shall not exceed $500,000 (the “</w:t>
      </w:r>
      <w:r>
        <w:rPr>
          <w:rFonts w:ascii="Tahoma;Geneva;sans-serif" w:hAnsi="Tahoma;Geneva;sans-serif"/>
          <w:b w:val="false"/>
          <w:i w:val="false"/>
          <w:caps w:val="false"/>
          <w:smallCaps w:val="false"/>
          <w:color w:val="000000"/>
          <w:spacing w:val="2"/>
          <w:sz w:val="20"/>
          <w:u w:val="single"/>
        </w:rPr>
        <w:t>Director Limit</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5</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8"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GRANTING OF OPTIONS AND STOCK APPRECIATION RIGHTS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5.1.      </w:t>
      </w:r>
      <w:r>
        <w:rPr>
          <w:rFonts w:ascii="Tahoma;Geneva;sans-serif" w:hAnsi="Tahoma;Geneva;sans-serif"/>
          <w:b w:val="false"/>
          <w:i w:val="false"/>
          <w:caps w:val="false"/>
          <w:smallCaps w:val="false"/>
          <w:color w:val="000000"/>
          <w:spacing w:val="2"/>
          <w:sz w:val="20"/>
          <w:u w:val="single"/>
        </w:rPr>
        <w:t>Granting of Options and Stock Appreciation Rights to Eligible Individuals</w:t>
      </w:r>
      <w:r>
        <w:rPr>
          <w:rFonts w:ascii="Tahoma;Geneva;sans-serif" w:hAnsi="Tahoma;Geneva;sans-serif"/>
          <w:b w:val="false"/>
          <w:i w:val="false"/>
          <w:caps w:val="false"/>
          <w:smallCaps w:val="false"/>
          <w:color w:val="000000"/>
          <w:spacing w:val="2"/>
          <w:sz w:val="20"/>
        </w:rPr>
        <w:t>. The Administrator is authorized to grant Options and Stock Appreciation Rights to Eligible Individuals from time to time, in its sole discretion, on such terms and conditions as it may determine, which shall not be inconsistent with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5.2.      </w:t>
      </w:r>
      <w:r>
        <w:rPr>
          <w:rFonts w:ascii="Tahoma;Geneva;sans-serif" w:hAnsi="Tahoma;Geneva;sans-serif"/>
          <w:b w:val="false"/>
          <w:i w:val="false"/>
          <w:caps w:val="false"/>
          <w:smallCaps w:val="false"/>
          <w:color w:val="000000"/>
          <w:spacing w:val="2"/>
          <w:sz w:val="20"/>
          <w:u w:val="single"/>
        </w:rPr>
        <w:t>Option and Stock Appreciation Right Exercise Price</w:t>
      </w:r>
      <w:r>
        <w:rPr>
          <w:rFonts w:ascii="Tahoma;Geneva;sans-serif" w:hAnsi="Tahoma;Geneva;sans-serif"/>
          <w:b w:val="false"/>
          <w:i w:val="false"/>
          <w:caps w:val="false"/>
          <w:smallCaps w:val="false"/>
          <w:color w:val="000000"/>
          <w:spacing w:val="2"/>
          <w:sz w:val="20"/>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exercise price of any Substitute Award shall be determined in accordance with the applicable requirements of Section 424 and 409A of the Code.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5.3.      </w:t>
      </w:r>
      <w:r>
        <w:rPr>
          <w:rFonts w:ascii="Tahoma;Geneva;sans-serif" w:hAnsi="Tahoma;Geneva;sans-serif"/>
          <w:b w:val="false"/>
          <w:i w:val="false"/>
          <w:caps w:val="false"/>
          <w:smallCaps w:val="false"/>
          <w:color w:val="000000"/>
          <w:spacing w:val="2"/>
          <w:sz w:val="20"/>
          <w:u w:val="single"/>
        </w:rPr>
        <w:t>Option and SAR Term</w:t>
      </w:r>
      <w:r>
        <w:rPr>
          <w:rFonts w:ascii="Tahoma;Geneva;sans-serif" w:hAnsi="Tahoma;Geneva;sans-serif"/>
          <w:b w:val="false"/>
          <w:i w:val="false"/>
          <w:caps w:val="false"/>
          <w:smallCaps w:val="false"/>
          <w:color w:val="000000"/>
          <w:spacing w:val="2"/>
          <w:sz w:val="20"/>
        </w:rPr>
        <w:t>. The term of each Option (the “</w:t>
      </w:r>
      <w:r>
        <w:rPr>
          <w:rFonts w:ascii="Tahoma;Geneva;sans-serif" w:hAnsi="Tahoma;Geneva;sans-serif"/>
          <w:b w:val="false"/>
          <w:i w:val="false"/>
          <w:caps w:val="false"/>
          <w:smallCaps w:val="false"/>
          <w:color w:val="000000"/>
          <w:spacing w:val="2"/>
          <w:sz w:val="20"/>
          <w:u w:val="single"/>
        </w:rPr>
        <w:t>Option Term</w:t>
      </w:r>
      <w:r>
        <w:rPr>
          <w:rFonts w:ascii="Tahoma;Geneva;sans-serif" w:hAnsi="Tahoma;Geneva;sans-serif"/>
          <w:b w:val="false"/>
          <w:i w:val="false"/>
          <w:caps w:val="false"/>
          <w:smallCaps w:val="false"/>
          <w:color w:val="000000"/>
          <w:spacing w:val="2"/>
          <w:sz w:val="20"/>
        </w:rPr>
        <w:t>”) and the term of each Stock Appreciation Right (the “</w:t>
      </w:r>
      <w:r>
        <w:rPr>
          <w:rFonts w:ascii="Tahoma;Geneva;sans-serif" w:hAnsi="Tahoma;Geneva;sans-serif"/>
          <w:b w:val="false"/>
          <w:i w:val="false"/>
          <w:caps w:val="false"/>
          <w:smallCaps w:val="false"/>
          <w:color w:val="000000"/>
          <w:spacing w:val="2"/>
          <w:sz w:val="20"/>
          <w:u w:val="single"/>
        </w:rPr>
        <w:t>SAR Term</w:t>
      </w:r>
      <w:r>
        <w:rPr>
          <w:rFonts w:ascii="Tahoma;Geneva;sans-serif" w:hAnsi="Tahoma;Geneva;sans-serif"/>
          <w:b w:val="false"/>
          <w:i w:val="false"/>
          <w:caps w:val="false"/>
          <w:smallCaps w:val="false"/>
          <w:color w:val="000000"/>
          <w:spacing w:val="2"/>
          <w:sz w:val="20"/>
        </w:rPr>
        <w:t xml:space="preserve">”) shall be set by the Administrator in its sole discretion;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the Option Term or SAR Term, as applicable, shall not be more than ten (10) years from the date the Option or Stock Appreciation Right, as applicable, is granted to an Eligible Individual. Except as limited by the requirements of Section 409A of the Code and regulations and rulings thereunder or the first sentence of this Section 5.3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5.4.      </w:t>
      </w:r>
      <w:r>
        <w:rPr>
          <w:rFonts w:ascii="Tahoma;Geneva;sans-serif" w:hAnsi="Tahoma;Geneva;sans-serif"/>
          <w:b w:val="false"/>
          <w:i w:val="false"/>
          <w:caps w:val="false"/>
          <w:smallCaps w:val="false"/>
          <w:color w:val="000000"/>
          <w:spacing w:val="2"/>
          <w:sz w:val="20"/>
          <w:u w:val="single"/>
        </w:rPr>
        <w:t>Option and SAR Vesting</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period during which the right to exercise, in whole or in part, an Option vests in the Holder shall be set by the Administrator and set forth in the applicable Award Agreement. Unless otherwise determined by the Administrator in the Award Agreement, the applicable Program or by action of the Administrator following the grant of the Option: (i) no portion of an Option which is unexercisable at a Holder’s Termination of Service shall thereafter become exercisable; and (ii) the portion of an Option that is unexercisable at a Holder’s Termination of Service shall automatically expire on the date of such Termination of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The period during which the right to exercise, in whole or in part, a Stock Appreciation Right vests in the Holder shall be set by the Administrator and set forth in the applicable Award Agreement. Unless otherwise determined by the Administrator in the Award Agreement, the applicable Program or by action of the Administrator following the grant of the Stock Appreciation Right: (i) no portion of a Stock Appreciation Right which is unexercisable at a Holder’s Termination of Service shall thereafter become exercisable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37"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322" descr=""/>
                          <pic:cNvPicPr>
                            <a:picLocks noChangeAspect="1" noChangeArrowheads="1"/>
                          </pic:cNvPicPr>
                        </pic:nvPicPr>
                        <pic:blipFill>
                          <a:blip r:embed="rId32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38"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323" descr=""/>
                    <pic:cNvPicPr>
                      <a:picLocks noChangeAspect="1" noChangeArrowheads="1"/>
                    </pic:cNvPicPr>
                  </pic:nvPicPr>
                  <pic:blipFill>
                    <a:blip r:embed="rId32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the portion of a Stock Appreciation Right that is unexercisable at a Holder’s Termination of Service shall automatically expire on the date of such Termination of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5.5.      </w:t>
      </w:r>
      <w:r>
        <w:rPr>
          <w:rFonts w:ascii="Tahoma;Geneva;sans-serif" w:hAnsi="Tahoma;Geneva;sans-serif"/>
          <w:b w:val="false"/>
          <w:i w:val="false"/>
          <w:caps w:val="false"/>
          <w:smallCaps w:val="false"/>
          <w:color w:val="000000"/>
          <w:spacing w:val="2"/>
          <w:sz w:val="20"/>
          <w:u w:val="single"/>
        </w:rPr>
        <w:t>Substitution of Stock Appreciation Rights; Early Exercise of Options</w:t>
      </w:r>
      <w:r>
        <w:rPr>
          <w:rFonts w:ascii="Tahoma;Geneva;sans-serif" w:hAnsi="Tahoma;Geneva;sans-serif"/>
          <w:b w:val="false"/>
          <w:i w:val="false"/>
          <w:caps w:val="false"/>
          <w:smallCaps w:val="false"/>
          <w:color w:val="000000"/>
          <w:spacing w:val="2"/>
          <w:sz w:val="20"/>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Restricted Stock acquired upon the exercise of any unvested portion of an Option shall be subject to such terms and conditions as the Administrator shall determine.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6</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EXERCISE OF OPTIONS AND STOCK APPRECIATION RIGHTS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6.1.      </w:t>
      </w:r>
      <w:r>
        <w:rPr>
          <w:rFonts w:ascii="Tahoma;Geneva;sans-serif" w:hAnsi="Tahoma;Geneva;sans-serif"/>
          <w:b w:val="false"/>
          <w:i w:val="false"/>
          <w:caps w:val="false"/>
          <w:smallCaps w:val="false"/>
          <w:color w:val="000000"/>
          <w:spacing w:val="2"/>
          <w:sz w:val="20"/>
          <w:u w:val="single"/>
        </w:rPr>
        <w:t>Exercise and Payment</w:t>
      </w:r>
      <w:r>
        <w:rPr>
          <w:rFonts w:ascii="Tahoma;Geneva;sans-serif" w:hAnsi="Tahoma;Geneva;sans-serif"/>
          <w:b w:val="false"/>
          <w:i w:val="false"/>
          <w:caps w:val="false"/>
          <w:smallCaps w:val="false"/>
          <w:color w:val="000000"/>
          <w:spacing w:val="2"/>
          <w:sz w:val="20"/>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6.2.      </w:t>
      </w:r>
      <w:r>
        <w:rPr>
          <w:rFonts w:ascii="Tahoma;Geneva;sans-serif" w:hAnsi="Tahoma;Geneva;sans-serif"/>
          <w:b w:val="false"/>
          <w:i w:val="false"/>
          <w:caps w:val="false"/>
          <w:smallCaps w:val="false"/>
          <w:color w:val="000000"/>
          <w:spacing w:val="2"/>
          <w:sz w:val="20"/>
          <w:u w:val="single"/>
        </w:rPr>
        <w:t>Manner of Exercise</w:t>
      </w:r>
      <w:r>
        <w:rPr>
          <w:rFonts w:ascii="Tahoma;Geneva;sans-serif" w:hAnsi="Tahoma;Geneva;sans-serif"/>
          <w:b w:val="false"/>
          <w:i w:val="false"/>
          <w:caps w:val="false"/>
          <w:smallCaps w:val="false"/>
          <w:color w:val="000000"/>
          <w:spacing w:val="2"/>
          <w:sz w:val="20"/>
        </w:rPr>
        <w:t>.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Such representations and documents as the Administrator, in its sole discretion, deems necessary or advisable to effect compliance with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9.1 and 9.2.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6.3.      </w:t>
      </w:r>
      <w:r>
        <w:rPr>
          <w:rFonts w:ascii="Tahoma;Geneva;sans-serif" w:hAnsi="Tahoma;Geneva;sans-serif"/>
          <w:b w:val="false"/>
          <w:i w:val="false"/>
          <w:caps w:val="false"/>
          <w:smallCaps w:val="false"/>
          <w:color w:val="000000"/>
          <w:spacing w:val="2"/>
          <w:sz w:val="20"/>
          <w:u w:val="single"/>
        </w:rPr>
        <w:t>Expiration of Option Term or SAR Term: Automatic Exercise of In-The-Money Options and Stock Appreciation Rights</w:t>
      </w:r>
      <w:r>
        <w:rPr>
          <w:rFonts w:ascii="Tahoma;Geneva;sans-serif" w:hAnsi="Tahoma;Geneva;sans-serif"/>
          <w:b w:val="false"/>
          <w:i w:val="false"/>
          <w:caps w:val="false"/>
          <w:smallCaps w:val="false"/>
          <w:color w:val="000000"/>
          <w:spacing w:val="2"/>
          <w:sz w:val="20"/>
        </w:rPr>
        <w:t xml:space="preserve">.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646"/>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39"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324" descr=""/>
                          <pic:cNvPicPr>
                            <a:picLocks noChangeAspect="1" noChangeArrowheads="1"/>
                          </pic:cNvPicPr>
                        </pic:nvPicPr>
                        <pic:blipFill>
                          <a:blip r:embed="rId32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40"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325" descr=""/>
                    <pic:cNvPicPr>
                      <a:picLocks noChangeAspect="1" noChangeArrowheads="1"/>
                    </pic:cNvPicPr>
                  </pic:nvPicPr>
                  <pic:blipFill>
                    <a:blip r:embed="rId32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7</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RESTRICTED STOCK</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4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7.1.      </w:t>
      </w:r>
      <w:r>
        <w:rPr>
          <w:rFonts w:ascii="Tahoma;Geneva;sans-serif" w:hAnsi="Tahoma;Geneva;sans-serif"/>
          <w:b w:val="false"/>
          <w:i w:val="false"/>
          <w:caps w:val="false"/>
          <w:smallCaps w:val="false"/>
          <w:color w:val="000000"/>
          <w:spacing w:val="2"/>
          <w:sz w:val="20"/>
          <w:u w:val="single"/>
        </w:rPr>
        <w:t>Award of Restricted Stock</w:t>
      </w:r>
      <w:r>
        <w:rPr>
          <w:rFonts w:ascii="Tahoma;Geneva;sans-serif" w:hAnsi="Tahoma;Geneva;sans-serif"/>
          <w:b w:val="false"/>
          <w:i w:val="false"/>
          <w:caps w:val="false"/>
          <w:smallCaps w:val="false"/>
          <w:color w:val="000000"/>
          <w:spacing w:val="2"/>
          <w:sz w:val="20"/>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7.2.      </w:t>
      </w:r>
      <w:r>
        <w:rPr>
          <w:rFonts w:ascii="Tahoma;Geneva;sans-serif" w:hAnsi="Tahoma;Geneva;sans-serif"/>
          <w:b w:val="false"/>
          <w:i w:val="false"/>
          <w:caps w:val="false"/>
          <w:smallCaps w:val="false"/>
          <w:color w:val="000000"/>
          <w:spacing w:val="2"/>
          <w:sz w:val="20"/>
          <w:u w:val="single"/>
        </w:rPr>
        <w:t>Rights as Shareholders</w:t>
      </w:r>
      <w:r>
        <w:rPr>
          <w:rFonts w:ascii="Tahoma;Geneva;sans-serif" w:hAnsi="Tahoma;Geneva;sans-serif"/>
          <w:b w:val="false"/>
          <w:i w:val="false"/>
          <w:caps w:val="false"/>
          <w:smallCaps w:val="false"/>
          <w:color w:val="000000"/>
          <w:spacing w:val="2"/>
          <w:sz w:val="20"/>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5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7.3.      </w:t>
      </w:r>
      <w:r>
        <w:rPr>
          <w:rFonts w:ascii="Tahoma;Geneva;sans-serif" w:hAnsi="Tahoma;Geneva;sans-serif"/>
          <w:b w:val="false"/>
          <w:i w:val="false"/>
          <w:caps w:val="false"/>
          <w:smallCaps w:val="false"/>
          <w:color w:val="000000"/>
          <w:spacing w:val="2"/>
          <w:sz w:val="20"/>
          <w:u w:val="single"/>
        </w:rPr>
        <w:t>Restrictions</w:t>
      </w:r>
      <w:r>
        <w:rPr>
          <w:rFonts w:ascii="Tahoma;Geneva;sans-serif" w:hAnsi="Tahoma;Geneva;sans-serif"/>
          <w:b w:val="false"/>
          <w:i w:val="false"/>
          <w:caps w:val="false"/>
          <w:smallCaps w:val="false"/>
          <w:color w:val="000000"/>
          <w:spacing w:val="2"/>
          <w:sz w:val="20"/>
        </w:rPr>
        <w:t>. All Restricted Stock (including any shares received by Holders thereof with respect to Restricted Stock as a result of any dividend in specie, sub-division of shares, consolidation of shares, or any other form of recapitalization) shall be subject to such restrictions and vesting requirements as the Administrator shall provide in the applicable Program or Award Agreement. By action taken after the Restricted Stock is issued, in the event of a Holder’s Termination of Service due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5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death or disability, the Administrator may, on such terms and conditions as it may determine to be appropriate, accelerate the vesting of such Restricted Stock by removing any or all of the restrictions imposed by the terms of the applicable Program or Award Agreement;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5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5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7.4.      </w:t>
      </w:r>
      <w:r>
        <w:rPr>
          <w:rFonts w:ascii="Tahoma;Geneva;sans-serif" w:hAnsi="Tahoma;Geneva;sans-serif"/>
          <w:b w:val="false"/>
          <w:i w:val="false"/>
          <w:caps w:val="false"/>
          <w:smallCaps w:val="false"/>
          <w:color w:val="000000"/>
          <w:spacing w:val="2"/>
          <w:sz w:val="20"/>
          <w:u w:val="single"/>
        </w:rPr>
        <w:t>Repurchase or Forfeiture of Restricted Stock</w:t>
      </w:r>
      <w:r>
        <w:rPr>
          <w:rFonts w:ascii="Tahoma;Geneva;sans-serif" w:hAnsi="Tahoma;Geneva;sans-serif"/>
          <w:b w:val="false"/>
          <w:i w:val="false"/>
          <w:caps w:val="false"/>
          <w:smallCaps w:val="false"/>
          <w:color w:val="000000"/>
          <w:spacing w:val="2"/>
          <w:sz w:val="20"/>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(in an Award Agreement or otherwise) that in the event of a Holder’s Termination of Service due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5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death or disability, the Holder’s rights in unvested Restricted Stock then subject to restrictions shall not lapse, such Restricted Stock shall vest and cease to be forfeitable and, if applicable, the Company shall cease to have a right of repurchase;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92"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41"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326" descr=""/>
                          <pic:cNvPicPr>
                            <a:picLocks noChangeAspect="1" noChangeArrowheads="1"/>
                          </pic:cNvPicPr>
                        </pic:nvPicPr>
                        <pic:blipFill>
                          <a:blip r:embed="rId32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42"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327" descr=""/>
                    <pic:cNvPicPr>
                      <a:picLocks noChangeAspect="1" noChangeArrowheads="1"/>
                    </pic:cNvPicPr>
                  </pic:nvPicPr>
                  <pic:blipFill>
                    <a:blip r:embed="rId32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retirement, the Holder’s rights in unvested Restricted Stock then subject to restrictions shall not lapse, but shall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7.5.      </w:t>
      </w:r>
      <w:r>
        <w:rPr>
          <w:rFonts w:ascii="Tahoma;Geneva;sans-serif" w:hAnsi="Tahoma;Geneva;sans-serif"/>
          <w:b w:val="false"/>
          <w:i w:val="false"/>
          <w:caps w:val="false"/>
          <w:smallCaps w:val="false"/>
          <w:color w:val="000000"/>
          <w:spacing w:val="2"/>
          <w:sz w:val="20"/>
          <w:u w:val="single"/>
        </w:rPr>
        <w:t>Section 83(b) Election</w:t>
      </w:r>
      <w:r>
        <w:rPr>
          <w:rFonts w:ascii="Tahoma;Geneva;sans-serif" w:hAnsi="Tahoma;Geneva;sans-serif"/>
          <w:b w:val="false"/>
          <w:i w:val="false"/>
          <w:caps w:val="false"/>
          <w:smallCaps w:val="false"/>
          <w:color w:val="000000"/>
          <w:spacing w:val="2"/>
          <w:sz w:val="20"/>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8</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RESTRICTED STOCK UNITS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8.1.      </w:t>
      </w:r>
      <w:r>
        <w:rPr>
          <w:rFonts w:ascii="Tahoma;Geneva;sans-serif" w:hAnsi="Tahoma;Geneva;sans-serif"/>
          <w:b w:val="false"/>
          <w:i w:val="false"/>
          <w:caps w:val="false"/>
          <w:smallCaps w:val="false"/>
          <w:color w:val="000000"/>
          <w:spacing w:val="2"/>
          <w:sz w:val="20"/>
          <w:u w:val="single"/>
        </w:rPr>
        <w:t>Grant of Restricted Stock Units</w:t>
      </w:r>
      <w:r>
        <w:rPr>
          <w:rFonts w:ascii="Tahoma;Geneva;sans-serif" w:hAnsi="Tahoma;Geneva;sans-serif"/>
          <w:b w:val="false"/>
          <w:i w:val="false"/>
          <w:caps w:val="false"/>
          <w:smallCaps w:val="false"/>
          <w:color w:val="000000"/>
          <w:spacing w:val="2"/>
          <w:sz w:val="20"/>
        </w:rPr>
        <w:t>. The Administrator is authorized to grant Awards of Restricted Stock Units to any Eligible Individual selected by the Administrator in such amounts and subject to such terms and conditions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8.2.      </w:t>
      </w:r>
      <w:r>
        <w:rPr>
          <w:rFonts w:ascii="Tahoma;Geneva;sans-serif" w:hAnsi="Tahoma;Geneva;sans-serif"/>
          <w:b w:val="false"/>
          <w:i w:val="false"/>
          <w:caps w:val="false"/>
          <w:smallCaps w:val="false"/>
          <w:color w:val="000000"/>
          <w:spacing w:val="2"/>
          <w:sz w:val="20"/>
          <w:u w:val="single"/>
        </w:rPr>
        <w:t>Term</w:t>
      </w:r>
      <w:r>
        <w:rPr>
          <w:rFonts w:ascii="Tahoma;Geneva;sans-serif" w:hAnsi="Tahoma;Geneva;sans-serif"/>
          <w:b w:val="false"/>
          <w:i w:val="false"/>
          <w:caps w:val="false"/>
          <w:smallCaps w:val="false"/>
          <w:color w:val="000000"/>
          <w:spacing w:val="2"/>
          <w:sz w:val="20"/>
        </w:rPr>
        <w:t>. Except as otherwise provided herein, the term of a Restricted Stock Unit award shall be set by the Administrator in its sole discretion.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8.3.      </w:t>
      </w:r>
      <w:r>
        <w:rPr>
          <w:rFonts w:ascii="Tahoma;Geneva;sans-serif" w:hAnsi="Tahoma;Geneva;sans-serif"/>
          <w:b w:val="false"/>
          <w:i w:val="false"/>
          <w:caps w:val="false"/>
          <w:smallCaps w:val="false"/>
          <w:color w:val="000000"/>
          <w:spacing w:val="2"/>
          <w:sz w:val="20"/>
          <w:u w:val="single"/>
        </w:rPr>
        <w:t>Purchase Price</w:t>
      </w:r>
      <w:r>
        <w:rPr>
          <w:rFonts w:ascii="Tahoma;Geneva;sans-serif" w:hAnsi="Tahoma;Geneva;sans-serif"/>
          <w:b w:val="false"/>
          <w:i w:val="false"/>
          <w:caps w:val="false"/>
          <w:smallCaps w:val="false"/>
          <w:color w:val="000000"/>
          <w:spacing w:val="2"/>
          <w:sz w:val="20"/>
        </w:rPr>
        <w:t xml:space="preserve">. The Administrator shall specify the purchase price, if any, to be paid by the Holder to the Company with respect to any Restricted Stock Unit award;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value of the consideration shall not be less than the par value of a Share, unless otherwise permitted by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8.4.      </w:t>
      </w:r>
      <w:r>
        <w:rPr>
          <w:rFonts w:ascii="Tahoma;Geneva;sans-serif" w:hAnsi="Tahoma;Geneva;sans-serif"/>
          <w:b w:val="false"/>
          <w:i w:val="false"/>
          <w:caps w:val="false"/>
          <w:smallCaps w:val="false"/>
          <w:color w:val="000000"/>
          <w:spacing w:val="2"/>
          <w:sz w:val="20"/>
          <w:u w:val="single"/>
        </w:rPr>
        <w:t>Vesting of Restricted Stock Units</w:t>
      </w:r>
      <w:r>
        <w:rPr>
          <w:rFonts w:ascii="Tahoma;Geneva;sans-serif" w:hAnsi="Tahoma;Geneva;sans-serif"/>
          <w:b w:val="false"/>
          <w:i w:val="false"/>
          <w:caps w:val="false"/>
          <w:smallCaps w:val="false"/>
          <w:color w:val="000000"/>
          <w:spacing w:val="2"/>
          <w:sz w:val="20"/>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Company performance, individual performance or other specific criteria, in each case on a specified date or dates or over any period or periods,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8.5.      </w:t>
      </w:r>
      <w:r>
        <w:rPr>
          <w:rFonts w:ascii="Tahoma;Geneva;sans-serif" w:hAnsi="Tahoma;Geneva;sans-serif"/>
          <w:b w:val="false"/>
          <w:i w:val="false"/>
          <w:caps w:val="false"/>
          <w:smallCaps w:val="false"/>
          <w:color w:val="000000"/>
          <w:spacing w:val="2"/>
          <w:sz w:val="20"/>
          <w:u w:val="single"/>
        </w:rPr>
        <w:t>Maturity and Payment</w:t>
      </w:r>
      <w:r>
        <w:rPr>
          <w:rFonts w:ascii="Tahoma;Geneva;sans-serif" w:hAnsi="Tahoma;Geneva;sans-serif"/>
          <w:b w:val="false"/>
          <w:i w:val="false"/>
          <w:caps w:val="false"/>
          <w:smallCaps w:val="false"/>
          <w:color w:val="000000"/>
          <w:spacing w:val="2"/>
          <w:sz w:val="20"/>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except as otherwise determined by the Administrator, and subject to compliance with Section 409A, in no event shall the maturity date relating to each Restricted Stock Unit occur following the later of: (a) the 15</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day of the third month following the end of calendar year in which the applicable portion of the Restricted Stock Unit vests; or (b) the 15</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8.6.      </w:t>
      </w:r>
      <w:r>
        <w:rPr>
          <w:rFonts w:ascii="Tahoma;Geneva;sans-serif" w:hAnsi="Tahoma;Geneva;sans-serif"/>
          <w:b w:val="false"/>
          <w:i w:val="false"/>
          <w:caps w:val="false"/>
          <w:smallCaps w:val="false"/>
          <w:color w:val="000000"/>
          <w:spacing w:val="2"/>
          <w:sz w:val="20"/>
          <w:u w:val="single"/>
        </w:rPr>
        <w:t>Settlement after Termination of Service</w:t>
      </w:r>
      <w:r>
        <w:rPr>
          <w:rFonts w:ascii="Tahoma;Geneva;sans-serif" w:hAnsi="Tahoma;Geneva;sans-serif"/>
          <w:b w:val="false"/>
          <w:i w:val="false"/>
          <w:caps w:val="false"/>
          <w:smallCaps w:val="false"/>
          <w:color w:val="000000"/>
          <w:spacing w:val="2"/>
          <w:sz w:val="20"/>
        </w:rPr>
        <w:t xml:space="preserve">. An Award of Restricted Stock Units shall only be settled (whether by a distribution of Shares or a payment in cash) while the Holder is a Director;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the Administrator, in its sole discretion, may provide (in an Award Agreement or otherwise) that a Restricted Stock Unit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may be settled subsequent to a Termination of Service in the event of a Holder’s Termination of Service due to death or disability;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may continue to vest on the date(s) set out, and remain subject to such restrictions as are provided, in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B-10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43"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328" descr=""/>
                          <pic:cNvPicPr>
                            <a:picLocks noChangeAspect="1" noChangeArrowheads="1"/>
                          </pic:cNvPicPr>
                        </pic:nvPicPr>
                        <pic:blipFill>
                          <a:blip r:embed="rId32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44"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329" descr=""/>
                    <pic:cNvPicPr>
                      <a:picLocks noChangeAspect="1" noChangeArrowheads="1"/>
                    </pic:cNvPicPr>
                  </pic:nvPicPr>
                  <pic:blipFill>
                    <a:blip r:embed="rId33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9</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AWARD OF OTHER STOCK OR CASH BASED AWARDS AND DIVIDEND EQUIVALENTS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9.1.      </w:t>
      </w:r>
      <w:r>
        <w:rPr>
          <w:rFonts w:ascii="Tahoma;Geneva;sans-serif" w:hAnsi="Tahoma;Geneva;sans-serif"/>
          <w:b w:val="false"/>
          <w:i w:val="false"/>
          <w:caps w:val="false"/>
          <w:smallCaps w:val="false"/>
          <w:color w:val="000000"/>
          <w:spacing w:val="2"/>
          <w:sz w:val="20"/>
          <w:u w:val="single"/>
        </w:rPr>
        <w:t>Other Stock or Cash Based Awards</w:t>
      </w:r>
      <w:r>
        <w:rPr>
          <w:rFonts w:ascii="Tahoma;Geneva;sans-serif" w:hAnsi="Tahoma;Geneva;sans-serif"/>
          <w:b w:val="false"/>
          <w:i w:val="false"/>
          <w:caps w:val="false"/>
          <w:smallCaps w:val="false"/>
          <w:color w:val="000000"/>
          <w:spacing w:val="2"/>
          <w:sz w:val="20"/>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deferred compensation or other arrangement, and/or as payment in lieu of compensation to which an Eligible Individual is otherwise entitled.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9.2.      </w:t>
      </w:r>
      <w:r>
        <w:rPr>
          <w:rFonts w:ascii="Tahoma;Geneva;sans-serif" w:hAnsi="Tahoma;Geneva;sans-serif"/>
          <w:b w:val="false"/>
          <w:i w:val="false"/>
          <w:caps w:val="false"/>
          <w:smallCaps w:val="false"/>
          <w:color w:val="000000"/>
          <w:spacing w:val="2"/>
          <w:sz w:val="20"/>
          <w:u w:val="single"/>
        </w:rPr>
        <w:t>Dividend Equivalents</w:t>
      </w:r>
      <w:r>
        <w:rPr>
          <w:rFonts w:ascii="Tahoma;Geneva;sans-serif" w:hAnsi="Tahoma;Geneva;sans-serif"/>
          <w:b w:val="false"/>
          <w:i w:val="false"/>
          <w:caps w:val="false"/>
          <w:smallCaps w:val="false"/>
          <w:color w:val="000000"/>
          <w:spacing w:val="2"/>
          <w:sz w:val="20"/>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30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10</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4"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ADDITIONAL TERMS OF AWARDS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10.1.      </w:t>
      </w:r>
      <w:r>
        <w:rPr>
          <w:rFonts w:ascii="Tahoma;Geneva;sans-serif" w:hAnsi="Tahoma;Geneva;sans-serif"/>
          <w:b w:val="false"/>
          <w:i w:val="false"/>
          <w:caps w:val="false"/>
          <w:smallCaps w:val="false"/>
          <w:color w:val="000000"/>
          <w:spacing w:val="2"/>
          <w:sz w:val="20"/>
          <w:u w:val="single"/>
        </w:rPr>
        <w:t>Payment</w:t>
      </w:r>
      <w:r>
        <w:rPr>
          <w:rFonts w:ascii="Tahoma;Geneva;sans-serif" w:hAnsi="Tahoma;Geneva;sans-serif"/>
          <w:b w:val="false"/>
          <w:i w:val="false"/>
          <w:caps w:val="false"/>
          <w:smallCaps w:val="false"/>
          <w:color w:val="000000"/>
          <w:spacing w:val="2"/>
          <w:sz w:val="20"/>
        </w:rPr>
        <w:t>. The Administrator shall determine the method or methods by which payments by any Holder with respect to any Awards granted under the Plan shall be made, including, without limitation: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cash or check;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payment of such proceeds is then made to the Company upon settlement of such sale;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other form of legal consideration acceptable to the Administrator in its sole discretion; 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any combination of the above permitted forms of payment.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2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45"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330" descr=""/>
                          <pic:cNvPicPr>
                            <a:picLocks noChangeAspect="1" noChangeArrowheads="1"/>
                          </pic:cNvPicPr>
                        </pic:nvPicPr>
                        <pic:blipFill>
                          <a:blip r:embed="rId331"/>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B-11</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46"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331" descr=""/>
                    <pic:cNvPicPr>
                      <a:picLocks noChangeAspect="1" noChangeArrowheads="1"/>
                    </pic:cNvPicPr>
                  </pic:nvPicPr>
                  <pic:blipFill>
                    <a:blip r:embed="rId33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10.2.      </w:t>
      </w:r>
      <w:r>
        <w:rPr>
          <w:rFonts w:ascii="Tahoma;Geneva;sans-serif" w:hAnsi="Tahoma;Geneva;sans-serif"/>
          <w:b w:val="false"/>
          <w:i w:val="false"/>
          <w:caps w:val="false"/>
          <w:smallCaps w:val="false"/>
          <w:color w:val="000000"/>
          <w:spacing w:val="2"/>
          <w:sz w:val="20"/>
          <w:u w:val="single"/>
        </w:rPr>
        <w:t>Responsibility for Taxes and Tax Withholding</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deductions, withholdings or payments legally applicable to the relevant Holder related to: (i) 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Tahoma;Geneva;sans-serif" w:hAnsi="Tahoma;Geneva;sans-serif"/>
          <w:b w:val="false"/>
          <w:i w:val="false"/>
          <w:caps w:val="false"/>
          <w:smallCaps w:val="false"/>
          <w:color w:val="000000"/>
          <w:spacing w:val="2"/>
          <w:sz w:val="20"/>
          <w:u w:val="single"/>
        </w:rPr>
        <w:t>Tax Liability</w:t>
      </w:r>
      <w:r>
        <w:rPr>
          <w:rFonts w:ascii="Tahoma;Geneva;sans-serif" w:hAnsi="Tahoma;Geneva;sans-serif"/>
          <w:b w:val="false"/>
          <w:i w:val="false"/>
          <w:caps w:val="false"/>
          <w:smallCaps w:val="false"/>
          <w:color w:val="000000"/>
          <w:spacing w:val="2"/>
          <w:sz w:val="20"/>
        </w:rPr>
        <w:t>”) is and remains the responsibility of the relevant Holder and may exceed the amount actually withheld by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The Company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Holder irrevocably agrees to pay to the Company the amount of any Tax Liability or enter into arrangements to the satisfaction of the Company for payment of any Tax Liability that the Company is required or authorized, or reasonably believes it is required or authorized, to withhold, pay, or account for, including (but not limited) by way of (i) cash of or check for the relevant amount paid or made payable, as applicable, to the Company with respect to which the relevant Tax Liability arises; (ii) withholding from the Holder’s fees or other compensation paid to the Holder by the Company, including (for the avoidance of doubt) any payment due to the Holder pursuant to the relevant Award, (iii) 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Award or (v) in any combination of the foregoing or such other method as determined by the Company or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The Holder will indemnify and keep indemnified the Company from and against any liability for or obligation to pay any Tax Liability, regardless of any action taken by the Company. The Company makes no representation or undertaking regarding the treatment of any Tax Liability in connection with the grant, vesting, exercise or payment of any Award (or any Substitute Award), any subsequent disposal of Shares or the receipt of any dividend. The Company does not commit to nor is under any obligation to structure any Award (or any Substitute Award) to reduce or eliminate any Tax Liability or to achieve any particular tax result.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10.3.      </w:t>
      </w:r>
      <w:r>
        <w:rPr>
          <w:rFonts w:ascii="Tahoma;Geneva;sans-serif" w:hAnsi="Tahoma;Geneva;sans-serif"/>
          <w:b w:val="false"/>
          <w:i w:val="false"/>
          <w:caps w:val="false"/>
          <w:smallCaps w:val="false"/>
          <w:color w:val="000000"/>
          <w:spacing w:val="2"/>
          <w:sz w:val="20"/>
          <w:u w:val="single"/>
        </w:rPr>
        <w:t>Transferability of Awards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6"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Except as otherwise provided in Sections 10.3(b) and 10.3(c):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B-12</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47"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332" descr=""/>
                          <pic:cNvPicPr>
                            <a:picLocks noChangeAspect="1" noChangeArrowheads="1"/>
                          </pic:cNvPicPr>
                        </pic:nvPicPr>
                        <pic:blipFill>
                          <a:blip r:embed="rId333"/>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48"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333" descr=""/>
                    <pic:cNvPicPr>
                      <a:picLocks noChangeAspect="1" noChangeArrowheads="1"/>
                    </pic:cNvPicPr>
                  </pic:nvPicPr>
                  <pic:blipFill>
                    <a:blip r:embed="rId33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0"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(iii)      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8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Notwithstanding Section 10.3(a), the Administrator, in its sole discretion, may determine to permit a Holder or a Permitted Transferee of such Holder to transfer an Award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(c)      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change or revocation is delivered in writing to the Administrator prior to the Holder’s death.</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10.4.      </w:t>
      </w:r>
      <w:r>
        <w:rPr>
          <w:rFonts w:ascii="Tahoma;Geneva;sans-serif" w:hAnsi="Tahoma;Geneva;sans-serif"/>
          <w:b w:val="false"/>
          <w:i w:val="false"/>
          <w:caps w:val="false"/>
          <w:smallCaps w:val="false"/>
          <w:color w:val="000000"/>
          <w:spacing w:val="2"/>
          <w:sz w:val="20"/>
          <w:u w:val="single"/>
        </w:rPr>
        <w:t>Conditions to Issuance of Shares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No fractional Shares shall be issued and the Administrator, in its sole discretion, shall determine whether cash shall be given in lieu of fractional Shares or whether such fractional Shares shall be eliminated by rounding down.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49"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334" descr=""/>
                          <pic:cNvPicPr>
                            <a:picLocks noChangeAspect="1" noChangeArrowheads="1"/>
                          </pic:cNvPicPr>
                        </pic:nvPicPr>
                        <pic:blipFill>
                          <a:blip r:embed="rId335"/>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B-13</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50"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335" descr=""/>
                    <pic:cNvPicPr>
                      <a:picLocks noChangeAspect="1" noChangeArrowheads="1"/>
                    </pic:cNvPicPr>
                  </pic:nvPicPr>
                  <pic:blipFill>
                    <a:blip r:embed="rId33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10.5.      </w:t>
      </w:r>
      <w:r>
        <w:rPr>
          <w:rFonts w:ascii="Tahoma;Geneva;sans-serif" w:hAnsi="Tahoma;Geneva;sans-serif"/>
          <w:b w:val="false"/>
          <w:i w:val="false"/>
          <w:caps w:val="false"/>
          <w:smallCaps w:val="false"/>
          <w:color w:val="000000"/>
          <w:spacing w:val="2"/>
          <w:sz w:val="20"/>
          <w:u w:val="single"/>
        </w:rPr>
        <w:t>Malus and Claw-Back Provisions</w:t>
      </w:r>
      <w:r>
        <w:rPr>
          <w:rFonts w:ascii="Tahoma;Geneva;sans-serif" w:hAnsi="Tahoma;Geneva;sans-serif"/>
          <w:b w:val="false"/>
          <w:i w:val="false"/>
          <w:caps w:val="false"/>
          <w:smallCaps w:val="false"/>
          <w:color w:val="000000"/>
          <w:spacing w:val="2"/>
          <w:sz w:val="20"/>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claw-back policy implemented by the Company, including, without limitation,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10.6.      </w:t>
      </w:r>
      <w:r>
        <w:rPr>
          <w:rFonts w:ascii="Tahoma;Geneva;sans-serif" w:hAnsi="Tahoma;Geneva;sans-serif"/>
          <w:b w:val="false"/>
          <w:i w:val="false"/>
          <w:caps w:val="false"/>
          <w:smallCaps w:val="false"/>
          <w:color w:val="000000"/>
          <w:spacing w:val="2"/>
          <w:sz w:val="20"/>
          <w:u w:val="single"/>
        </w:rPr>
        <w:t>Prohibition on Repricing</w:t>
      </w:r>
      <w:r>
        <w:rPr>
          <w:rFonts w:ascii="Tahoma;Geneva;sans-serif" w:hAnsi="Tahoma;Geneva;sans-serif"/>
          <w:b w:val="false"/>
          <w:i w:val="false"/>
          <w:caps w:val="false"/>
          <w:smallCaps w:val="false"/>
          <w:color w:val="000000"/>
          <w:spacing w:val="2"/>
          <w:sz w:val="20"/>
        </w:rPr>
        <w:t>. Subject to Section 11.2, the Administrator shall not, without the approval of the shareholders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Appreciation Rights in exchange for cash or other Awards with an exercise price per Share that is less than the exercise price per Share of the original Options or Stock Appreciation Rights without the approval of the shareholders of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10.7.      </w:t>
      </w:r>
      <w:r>
        <w:rPr>
          <w:rFonts w:ascii="Tahoma;Geneva;sans-serif" w:hAnsi="Tahoma;Geneva;sans-serif"/>
          <w:b w:val="false"/>
          <w:i w:val="false"/>
          <w:caps w:val="false"/>
          <w:smallCaps w:val="false"/>
          <w:color w:val="000000"/>
          <w:spacing w:val="2"/>
          <w:sz w:val="20"/>
          <w:u w:val="single"/>
        </w:rPr>
        <w:t>Amendment of Awards</w:t>
      </w:r>
      <w:r>
        <w:rPr>
          <w:rFonts w:ascii="Tahoma;Geneva;sans-serif" w:hAnsi="Tahoma;Geneva;sans-serif"/>
          <w:b w:val="false"/>
          <w:i w:val="false"/>
          <w:caps w:val="false"/>
          <w:smallCaps w:val="false"/>
          <w:color w:val="000000"/>
          <w:spacing w:val="2"/>
          <w:sz w:val="20"/>
        </w:rPr>
        <w:t>. Subject to Applicable Law, the Administrator may amend, modify or terminate any outstanding Award, including but not limited to, substituting therefor another Award of the same or a different type, and changing the date of exercise or settlement.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12.9).</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10.8.      </w:t>
      </w:r>
      <w:r>
        <w:rPr>
          <w:rFonts w:ascii="Tahoma;Geneva;sans-serif" w:hAnsi="Tahoma;Geneva;sans-serif"/>
          <w:b w:val="false"/>
          <w:i w:val="false"/>
          <w:caps w:val="false"/>
          <w:smallCaps w:val="false"/>
          <w:color w:val="000000"/>
          <w:spacing w:val="2"/>
          <w:sz w:val="20"/>
          <w:u w:val="single"/>
        </w:rPr>
        <w:t>Data Protection</w:t>
      </w:r>
      <w:r>
        <w:rPr>
          <w:rFonts w:ascii="Tahoma;Geneva;sans-serif" w:hAnsi="Tahoma;Geneva;sans-serif"/>
          <w:b w:val="false"/>
          <w:i w:val="false"/>
          <w:caps w:val="false"/>
          <w:smallCaps w:val="false"/>
          <w:color w:val="000000"/>
          <w:spacing w:val="2"/>
          <w:sz w:val="20"/>
        </w:rPr>
        <w:t>. The Holder acknowledges and understands that the Company and its Subsidiaries, as applicable, shall process personal information about the Holder for the purpose of managing and administering the Plan and the Awards, as described in the relevant Award Agreement and subject to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11</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8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ADMINISTRATION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11.1.      </w:t>
      </w:r>
      <w:r>
        <w:rPr>
          <w:rFonts w:ascii="Tahoma;Geneva;sans-serif" w:hAnsi="Tahoma;Geneva;sans-serif"/>
          <w:b w:val="false"/>
          <w:i w:val="false"/>
          <w:caps w:val="false"/>
          <w:smallCaps w:val="false"/>
          <w:color w:val="000000"/>
          <w:spacing w:val="2"/>
          <w:sz w:val="20"/>
          <w:u w:val="single"/>
        </w:rPr>
        <w:t>Administrator</w:t>
      </w:r>
      <w:r>
        <w:rPr>
          <w:rFonts w:ascii="Tahoma;Geneva;sans-serif" w:hAnsi="Tahoma;Geneva;sans-serif"/>
          <w:b w:val="false"/>
          <w:i w:val="false"/>
          <w:caps w:val="false"/>
          <w:smallCaps w:val="false"/>
          <w:color w:val="000000"/>
          <w:spacing w:val="2"/>
          <w:sz w:val="20"/>
        </w:rPr>
        <w:t>. The full Board, acting by a majority of its members in office, shall conduct the general administration of the Plan (except as otherwise permitted herein), and the term “Administrator” as used in the Plan shall be deemed to refer to the Board. The Board may delegate its authority hereunder to the extent permitted by Section 11.6.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11.2.      </w:t>
      </w:r>
      <w:r>
        <w:rPr>
          <w:rFonts w:ascii="Tahoma;Geneva;sans-serif" w:hAnsi="Tahoma;Geneva;sans-serif"/>
          <w:b w:val="false"/>
          <w:i w:val="false"/>
          <w:caps w:val="false"/>
          <w:smallCaps w:val="false"/>
          <w:color w:val="000000"/>
          <w:spacing w:val="2"/>
          <w:sz w:val="20"/>
          <w:u w:val="single"/>
        </w:rPr>
        <w:t>Duties and Powers of Administrator</w:t>
      </w:r>
      <w:r>
        <w:rPr>
          <w:rFonts w:ascii="Tahoma;Geneva;sans-serif" w:hAnsi="Tahoma;Geneva;sans-serif"/>
          <w:b w:val="false"/>
          <w:i w:val="false"/>
          <w:caps w:val="false"/>
          <w:smallCaps w:val="false"/>
          <w:color w:val="000000"/>
          <w:spacing w:val="2"/>
          <w:sz w:val="20"/>
        </w:rPr>
        <w:t xml:space="preserve">. It shall be the duty of the Administrator to conduct the general administration of the Plan in accordance with its provisions. The Administrator shall have the power to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B-14</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51"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336" descr=""/>
                          <pic:cNvPicPr>
                            <a:picLocks noChangeAspect="1" noChangeArrowheads="1"/>
                          </pic:cNvPicPr>
                        </pic:nvPicPr>
                        <pic:blipFill>
                          <a:blip r:embed="rId337"/>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52"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337" descr=""/>
                    <pic:cNvPicPr>
                      <a:picLocks noChangeAspect="1" noChangeArrowheads="1"/>
                    </pic:cNvPicPr>
                  </pic:nvPicPr>
                  <pic:blipFill>
                    <a:blip r:embed="rId33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11.3.      </w:t>
      </w:r>
      <w:r>
        <w:rPr>
          <w:rFonts w:ascii="Tahoma;Geneva;sans-serif" w:hAnsi="Tahoma;Geneva;sans-serif"/>
          <w:b w:val="false"/>
          <w:i w:val="false"/>
          <w:caps w:val="false"/>
          <w:smallCaps w:val="false"/>
          <w:color w:val="000000"/>
          <w:spacing w:val="2"/>
          <w:sz w:val="20"/>
          <w:u w:val="single"/>
        </w:rPr>
        <w:t>Action by the Administrator</w:t>
      </w:r>
      <w:r>
        <w:rPr>
          <w:rFonts w:ascii="Tahoma;Geneva;sans-serif" w:hAnsi="Tahoma;Geneva;sans-serif"/>
          <w:b w:val="false"/>
          <w:i w:val="false"/>
          <w:caps w:val="false"/>
          <w:smallCaps w:val="false"/>
          <w:color w:val="000000"/>
          <w:spacing w:val="2"/>
          <w:sz w:val="20"/>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director, officer or employee of the Company or any Subsidiary, the Company’s independent certified public accountants, or any executive compensation consultant or other professional retained by the Company to assist in the administration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11.4.      </w:t>
      </w:r>
      <w:r>
        <w:rPr>
          <w:rFonts w:ascii="Tahoma;Geneva;sans-serif" w:hAnsi="Tahoma;Geneva;sans-serif"/>
          <w:b w:val="false"/>
          <w:i w:val="false"/>
          <w:caps w:val="false"/>
          <w:smallCaps w:val="false"/>
          <w:color w:val="000000"/>
          <w:spacing w:val="2"/>
          <w:sz w:val="20"/>
          <w:u w:val="single"/>
        </w:rPr>
        <w:t>Authority of Administrator</w:t>
      </w:r>
      <w:r>
        <w:rPr>
          <w:rFonts w:ascii="Tahoma;Geneva;sans-serif" w:hAnsi="Tahoma;Geneva;sans-serif"/>
          <w:b w:val="false"/>
          <w:i w:val="false"/>
          <w:caps w:val="false"/>
          <w:smallCaps w:val="false"/>
          <w:color w:val="000000"/>
          <w:spacing w:val="2"/>
          <w:sz w:val="20"/>
        </w:rPr>
        <w:t>. Subject to the Organizational Documents, any specific designation in the Plan and Applicable Law, the Administrator has the exclusive power, authority and sole discretion 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98"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Designate Eligible Individuals to receive Awards;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Determine the type or types of Awards to be granted to each Eligible Individual (including, without limitation, any Awards granted in tandem with another Award granted pursuant to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Determine the number of Awards to be granted and the number of Shares to which an Award will relate;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8"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      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Determine whether, to what extent, and under what circumstances an Award may be settled in, or the exercise price of an Award may be paid in cash, Shares, other Awards, or other property, or an Award may be canceled, forfeited, or surrendered;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      Prescribe the form of each Award Agreement, which need not be identical for each Holder;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      Decide all other matters that must be determined in connection with an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      Establish, adopt, or revise any Programs, rules and regulations as it may deem necessary or advisable to administer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Interpret the terms of, and any matter arising pursuant to, the Plan, any Program or any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(j)      Make all other decisions and determinations that may be required pursuant to the Plan or as the Administrator deems necessary or advisable to administer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(k)      Permit any Award or portion thereof to continue to vest on the date(s) set out in the applicable Program or Award Agreement in the event of a Holder’s Termination of Service due to retirement, subject to whatever terms and conditions it selects;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53"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338" descr=""/>
                          <pic:cNvPicPr>
                            <a:picLocks noChangeAspect="1" noChangeArrowheads="1"/>
                          </pic:cNvPicPr>
                        </pic:nvPicPr>
                        <pic:blipFill>
                          <a:blip r:embed="rId339"/>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B-15</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54"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339" descr=""/>
                    <pic:cNvPicPr>
                      <a:picLocks noChangeAspect="1" noChangeArrowheads="1"/>
                    </pic:cNvPicPr>
                  </pic:nvPicPr>
                  <pic:blipFill>
                    <a:blip r:embed="rId340"/>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      Accelerate wholly or partially the vesting or lapse of restrictions of any Award or portion thereof in the event of a Holder’s Termination of Service due to death or disability, subject to whatever terms and conditions it selects and Section 12.2.</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11.5.      </w:t>
      </w:r>
      <w:r>
        <w:rPr>
          <w:rFonts w:ascii="Tahoma;Geneva;sans-serif" w:hAnsi="Tahoma;Geneva;sans-serif"/>
          <w:b w:val="false"/>
          <w:i w:val="false"/>
          <w:caps w:val="false"/>
          <w:smallCaps w:val="false"/>
          <w:color w:val="000000"/>
          <w:spacing w:val="2"/>
          <w:sz w:val="20"/>
          <w:u w:val="single"/>
        </w:rPr>
        <w:t>Decisions Binding</w:t>
      </w:r>
      <w:r>
        <w:rPr>
          <w:rFonts w:ascii="Tahoma;Geneva;sans-serif" w:hAnsi="Tahoma;Geneva;sans-serif"/>
          <w:b w:val="false"/>
          <w:i w:val="false"/>
          <w:caps w:val="false"/>
          <w:smallCaps w:val="false"/>
          <w:color w:val="000000"/>
          <w:spacing w:val="2"/>
          <w:sz w:val="20"/>
        </w:rPr>
        <w:t>. The Administrator’s interpretation of the Plan, any Awards granted pursuant to the Plan, any Program or any Award Agreement and all decisions and determinations by the Administrator with respect to the Plan are final, binding and conclusive on all Persons.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11.6.      </w:t>
      </w:r>
      <w:r>
        <w:rPr>
          <w:rFonts w:ascii="Tahoma;Geneva;sans-serif" w:hAnsi="Tahoma;Geneva;sans-serif"/>
          <w:b w:val="false"/>
          <w:i w:val="false"/>
          <w:caps w:val="false"/>
          <w:smallCaps w:val="false"/>
          <w:color w:val="000000"/>
          <w:spacing w:val="2"/>
          <w:sz w:val="20"/>
          <w:u w:val="single"/>
        </w:rPr>
        <w:t>Delegation of Authority</w:t>
      </w:r>
      <w:r>
        <w:rPr>
          <w:rFonts w:ascii="Tahoma;Geneva;sans-serif" w:hAnsi="Tahoma;Geneva;sans-serif"/>
          <w:b w:val="false"/>
          <w:i w:val="false"/>
          <w:caps w:val="false"/>
          <w:smallCaps w:val="false"/>
          <w:color w:val="000000"/>
          <w:spacing w:val="2"/>
          <w:sz w:val="20"/>
        </w:rPr>
        <w:t xml:space="preserve">. The Board may from time to time delegate to a committee of one or more members of the Board or one or more officers of the Company the authority to grant or amend Awards or to take other administrative actions pursuant to this ARTICLE 11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xml:space="preserve">, that in no event shall a member of the Board or an officer of the Company be delegated the authority to grant Awards to, or amend Awards held by: (a) such individual; (b) any other individual to whom authority to grant or amend Awards has been delegated hereunder; or (c) any individual who is subject to Section 16 of the Exchange Act;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further</w:t>
      </w:r>
      <w:r>
        <w:rPr>
          <w:rFonts w:ascii="Tahoma;Geneva;sans-serif" w:hAnsi="Tahoma;Geneva;sans-serif"/>
          <w:b w:val="false"/>
          <w:i w:val="false"/>
          <w:caps w:val="false"/>
          <w:smallCaps w:val="false"/>
          <w:color w:val="000000"/>
          <w:spacing w:val="2"/>
          <w:sz w:val="20"/>
        </w:rPr>
        <w:t>, that any delegation of administrative authority shall only be permitted to the extent it is permissible under any Organizational Documents and Applicable Law. Any delegation hereunder shall be subject to the restrictions and limits that the Board specifies at the time of such delegation or that are otherwise included in the applicable Organizational Documents, and the Board may at any time rescind the authority so delegated or appoint a new delegatee. At all times, the delegatee appointed under this Section 11.6 shall serve in such capacity at the pleasure of the Board, and the Board may abolish any committee at any time and re-vest in itself any previously delegated authority.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ARTICLE 12</w:t>
      </w:r>
      <w:r>
        <w:rPr>
          <w:rFonts w:ascii="Arial Narrow;Arial;Tahoma;Geneva;sans-serif" w:hAnsi="Arial Narrow;Arial;Tahoma;Geneva;sans-serif"/>
          <w:b/>
          <w:i w:val="false"/>
          <w:caps w:val="false"/>
          <w:smallCaps w:val="false"/>
          <w:color w:val="000000"/>
          <w:sz w:val="20"/>
        </w:rPr>
        <w:t xml:space="preserve"> </w:t>
      </w:r>
    </w:p>
    <w:p>
      <w:pPr>
        <w:pStyle w:val="TextBody"/>
        <w:bidi w:val="0"/>
        <w:spacing w:lineRule="atLeast" w:line="240" w:before="276"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MISCELLANEOUS PROVISIONS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96"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12.1.      </w:t>
      </w:r>
      <w:r>
        <w:rPr>
          <w:rFonts w:ascii="Tahoma;Geneva;sans-serif" w:hAnsi="Tahoma;Geneva;sans-serif"/>
          <w:b w:val="false"/>
          <w:i w:val="false"/>
          <w:caps w:val="false"/>
          <w:smallCaps w:val="false"/>
          <w:color w:val="000000"/>
          <w:spacing w:val="2"/>
          <w:sz w:val="20"/>
          <w:u w:val="single"/>
        </w:rPr>
        <w:t>Amendment, Suspension or Termination of the Plan</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      Except as otherwise provided in Section 12.1(b), the Plan may be wholly or partially amended or otherwise modified, suspended or terminated at any time or from time to time by the Board;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that, except as provided in Section 10.5, 10.7 or 12.9, no amendment, suspension or termination of the Plan shall, without the consent of the Holder, materially and adversely affect any rights or obligations under any Award theretofore granted or awarded, unless the Award itself otherwise expressly so provides.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      Notwithstanding Section 12.1(a), the Board may not, except as provided in Section 12.2, take any of the following actions without approval of the Company’s shareholders: (i) increase the limit imposed in Section 3.1 on the maximum number of Shares which may be issued under the Plan or the Director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No Awards may be granted or awarded during any period of suspension or after termination of the Plan, and notwithstanding anything herein to the contrary, in no event may any Award be granted under the Plan after April 23, 2035 (the “</w:t>
      </w:r>
      <w:r>
        <w:rPr>
          <w:rFonts w:ascii="Tahoma;Geneva;sans-serif" w:hAnsi="Tahoma;Geneva;sans-serif"/>
          <w:b w:val="false"/>
          <w:i w:val="false"/>
          <w:caps w:val="false"/>
          <w:smallCaps w:val="false"/>
          <w:color w:val="000000"/>
          <w:spacing w:val="2"/>
          <w:sz w:val="20"/>
          <w:u w:val="single"/>
        </w:rPr>
        <w:t>Expiration Date</w:t>
      </w:r>
      <w:r>
        <w:rPr>
          <w:rFonts w:ascii="Tahoma;Geneva;sans-serif" w:hAnsi="Tahoma;Geneva;sans-serif"/>
          <w:b w:val="false"/>
          <w:i w:val="false"/>
          <w:caps w:val="false"/>
          <w:smallCaps w:val="false"/>
          <w:color w:val="000000"/>
          <w:spacing w:val="2"/>
          <w:sz w:val="20"/>
        </w:rPr>
        <w:t>”). Any Awards that are outstanding on the Expiration Date shall remain in force according to the terms of the Plan, the applicable Program and the applicable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12.2.      </w:t>
      </w:r>
      <w:r>
        <w:rPr>
          <w:rFonts w:ascii="Tahoma;Geneva;sans-serif" w:hAnsi="Tahoma;Geneva;sans-serif"/>
          <w:b w:val="false"/>
          <w:i w:val="false"/>
          <w:caps w:val="false"/>
          <w:smallCaps w:val="false"/>
          <w:color w:val="000000"/>
          <w:spacing w:val="2"/>
          <w:sz w:val="20"/>
          <w:u w:val="single"/>
        </w:rPr>
        <w:t>Changes in Shares or Assets of the Company, Acquisition or Liquidation of the Company and Other Corporate Events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      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B-16</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55"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340" descr=""/>
                          <pic:cNvPicPr>
                            <a:picLocks noChangeAspect="1" noChangeArrowheads="1"/>
                          </pic:cNvPicPr>
                        </pic:nvPicPr>
                        <pic:blipFill>
                          <a:blip r:embed="rId341"/>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56"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341" descr=""/>
                    <pic:cNvPicPr>
                      <a:picLocks noChangeAspect="1" noChangeArrowheads="1"/>
                    </pic:cNvPicPr>
                  </pic:nvPicPr>
                  <pic:blipFill>
                    <a:blip r:embed="rId342"/>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      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 </w:t>
      </w:r>
    </w:p>
    <w:p>
      <w:pPr>
        <w:pStyle w:val="TextBody"/>
        <w:bidi w:val="0"/>
        <w:spacing w:lineRule="atLeast" w:line="230" w:before="194"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(iii)      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(iv)      To provide that such Award shall be exercisable or payable or fully vested with respect to all Shares covered thereby, notwithstanding anything to the contrary in the Plan or the applicable Program or Award Agreement;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      To replace such Award with other rights or property selected by the Administrator; and/or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(vi)      To provide that the Award cannot vest, be exercised or become payable after such event.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      In connection with the occurrence of any Equity Restructuring, and notwithstanding anything to the contrary in Sections 12.2(a) and 12.2(b):</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216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(d)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57"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342" descr=""/>
                          <pic:cNvPicPr>
                            <a:picLocks noChangeAspect="1" noChangeArrowheads="1"/>
                          </pic:cNvPicPr>
                        </pic:nvPicPr>
                        <pic:blipFill>
                          <a:blip r:embed="rId343"/>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B-17</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58"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343" descr=""/>
                    <pic:cNvPicPr>
                      <a:picLocks noChangeAspect="1" noChangeArrowheads="1"/>
                    </pic:cNvPicPr>
                  </pic:nvPicPr>
                  <pic:blipFill>
                    <a:blip r:embed="rId344"/>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consummation of a Change in Control, pursuant to this Section 12.2, such Award shall continue in effect or be assumed or an equivalent Award substituted by the successor corporation or a parent or subsidiary of the successor corporation.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      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4"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u w:val="single"/>
        </w:rPr>
        <w:t>however</w:t>
      </w:r>
      <w:r>
        <w:rPr>
          <w:rFonts w:ascii="Tahoma;Geneva;sans-serif" w:hAnsi="Tahoma;Geneva;sans-serif"/>
          <w:b w:val="false"/>
          <w:i w:val="false"/>
          <w:caps w:val="false"/>
          <w:smallCaps w:val="false"/>
          <w:color w:val="000000"/>
          <w:spacing w:val="2"/>
          <w:sz w:val="20"/>
        </w:rPr>
        <w:t>,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      The Administrator, in its sole discretion, may include such further provisions and limitations in any Award, agreement or certificate, as it may deem equitable and in the best interests of the Company that are not inconsistent with the provisions of the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(h)      Unless otherwise determined by the Administrator, no adjustment or action described in this Section 12.2 or in any other provision of the Plan shall be authorized to the extent it would (i) result in short-swing profits liability under Section 16 of the Exchange Act or violate the exemptive conditions of Rule 16b-3 of the Exchange Act, or (ii) cause an Award to fail to be exempt from or comply with Section 409A.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      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144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(j)      In the event of any pending dividend in specie, sub-division of shares, combination or exchange of shares, merger, consolidation of shares, or other distribution (other than normal cash dividends) of Company assets to shareholders,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12.3.      </w:t>
      </w:r>
      <w:r>
        <w:rPr>
          <w:rFonts w:ascii="Tahoma;Geneva;sans-serif" w:hAnsi="Tahoma;Geneva;sans-serif"/>
          <w:b w:val="false"/>
          <w:i w:val="false"/>
          <w:caps w:val="false"/>
          <w:smallCaps w:val="false"/>
          <w:color w:val="000000"/>
          <w:spacing w:val="2"/>
          <w:sz w:val="20"/>
          <w:u w:val="single"/>
        </w:rPr>
        <w:t>No Shareholders Rights</w:t>
      </w:r>
      <w:r>
        <w:rPr>
          <w:rFonts w:ascii="Tahoma;Geneva;sans-serif" w:hAnsi="Tahoma;Geneva;sans-serif"/>
          <w:b w:val="false"/>
          <w:i w:val="false"/>
          <w:caps w:val="false"/>
          <w:smallCaps w:val="false"/>
          <w:color w:val="000000"/>
          <w:spacing w:val="2"/>
          <w:sz w:val="20"/>
        </w:rPr>
        <w:t>. Except as otherwise provided herein or in an applicable Program or Award Agreement, a Holder shall have none of the rights of a shareholder with respect to Shares covered by any Award until the Holder becomes the record owner of such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96"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12.4.      </w:t>
      </w:r>
      <w:r>
        <w:rPr>
          <w:rFonts w:ascii="Tahoma;Geneva;sans-serif" w:hAnsi="Tahoma;Geneva;sans-serif"/>
          <w:b w:val="false"/>
          <w:i w:val="false"/>
          <w:caps w:val="false"/>
          <w:smallCaps w:val="false"/>
          <w:color w:val="000000"/>
          <w:spacing w:val="2"/>
          <w:sz w:val="20"/>
          <w:u w:val="single"/>
        </w:rPr>
        <w:t>Paperless Administration</w:t>
      </w:r>
      <w:r>
        <w:rPr>
          <w:rFonts w:ascii="Tahoma;Geneva;sans-serif" w:hAnsi="Tahoma;Geneva;sans-serif"/>
          <w:b w:val="false"/>
          <w:i w:val="false"/>
          <w:caps w:val="false"/>
          <w:smallCaps w:val="false"/>
          <w:color w:val="000000"/>
          <w:spacing w:val="2"/>
          <w:sz w:val="20"/>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B-18</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59"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344" descr=""/>
                          <pic:cNvPicPr>
                            <a:picLocks noChangeAspect="1" noChangeArrowheads="1"/>
                          </pic:cNvPicPr>
                        </pic:nvPicPr>
                        <pic:blipFill>
                          <a:blip r:embed="rId345"/>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60"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345" descr=""/>
                    <pic:cNvPicPr>
                      <a:picLocks noChangeAspect="1" noChangeArrowheads="1"/>
                    </pic:cNvPicPr>
                  </pic:nvPicPr>
                  <pic:blipFill>
                    <a:blip r:embed="rId346"/>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12.5.      </w:t>
      </w:r>
      <w:r>
        <w:rPr>
          <w:rFonts w:ascii="Tahoma;Geneva;sans-serif" w:hAnsi="Tahoma;Geneva;sans-serif"/>
          <w:b w:val="false"/>
          <w:i w:val="false"/>
          <w:caps w:val="false"/>
          <w:smallCaps w:val="false"/>
          <w:color w:val="000000"/>
          <w:spacing w:val="2"/>
          <w:sz w:val="20"/>
          <w:u w:val="single"/>
        </w:rPr>
        <w:t>Effect of Plan upon Other Compensation Plans</w:t>
      </w:r>
      <w:r>
        <w:rPr>
          <w:rFonts w:ascii="Tahoma;Geneva;sans-serif" w:hAnsi="Tahoma;Geneva;sans-serif"/>
          <w:b w:val="false"/>
          <w:i w:val="false"/>
          <w:caps w:val="false"/>
          <w:smallCaps w:val="false"/>
          <w:color w:val="000000"/>
          <w:spacing w:val="2"/>
          <w:sz w:val="20"/>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Directors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 or assets of any corporation, partnership, limited liability company, firm or association.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2"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12.6.      </w:t>
      </w:r>
      <w:r>
        <w:rPr>
          <w:rFonts w:ascii="Tahoma;Geneva;sans-serif" w:hAnsi="Tahoma;Geneva;sans-serif"/>
          <w:b w:val="false"/>
          <w:i w:val="false"/>
          <w:caps w:val="false"/>
          <w:smallCaps w:val="false"/>
          <w:color w:val="000000"/>
          <w:spacing w:val="2"/>
          <w:sz w:val="20"/>
          <w:u w:val="single"/>
        </w:rPr>
        <w:t>Compliance with Laws</w:t>
      </w:r>
      <w:r>
        <w:rPr>
          <w:rFonts w:ascii="Tahoma;Geneva;sans-serif" w:hAnsi="Tahoma;Geneva;sans-serif"/>
          <w:b w:val="false"/>
          <w:i w:val="false"/>
          <w:caps w:val="false"/>
          <w:smallCaps w:val="false"/>
          <w:color w:val="000000"/>
          <w:spacing w:val="2"/>
          <w:sz w:val="20"/>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12.7.      </w:t>
      </w:r>
      <w:r>
        <w:rPr>
          <w:rFonts w:ascii="Tahoma;Geneva;sans-serif" w:hAnsi="Tahoma;Geneva;sans-serif"/>
          <w:b w:val="false"/>
          <w:i w:val="false"/>
          <w:caps w:val="false"/>
          <w:smallCaps w:val="false"/>
          <w:color w:val="000000"/>
          <w:spacing w:val="2"/>
          <w:sz w:val="20"/>
          <w:u w:val="single"/>
        </w:rPr>
        <w:t>Titles and Headings, References to Sections of Applicable Law</w:t>
      </w:r>
      <w:r>
        <w:rPr>
          <w:rFonts w:ascii="Tahoma;Geneva;sans-serif" w:hAnsi="Tahoma;Geneva;sans-serif"/>
          <w:b w:val="false"/>
          <w:i w:val="false"/>
          <w:caps w:val="false"/>
          <w:smallCaps w:val="false"/>
          <w:color w:val="000000"/>
          <w:spacing w:val="2"/>
          <w:sz w:val="20"/>
        </w:rPr>
        <w:t>.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12.8.      </w:t>
      </w:r>
      <w:r>
        <w:rPr>
          <w:rFonts w:ascii="Tahoma;Geneva;sans-serif" w:hAnsi="Tahoma;Geneva;sans-serif"/>
          <w:b w:val="false"/>
          <w:i w:val="false"/>
          <w:caps w:val="false"/>
          <w:smallCaps w:val="false"/>
          <w:color w:val="000000"/>
          <w:spacing w:val="2"/>
          <w:sz w:val="20"/>
          <w:u w:val="single"/>
        </w:rPr>
        <w:t>Governing Law</w:t>
      </w:r>
      <w:r>
        <w:rPr>
          <w:rFonts w:ascii="Tahoma;Geneva;sans-serif" w:hAnsi="Tahoma;Geneva;sans-serif"/>
          <w:b w:val="false"/>
          <w:i w:val="false"/>
          <w:caps w:val="false"/>
          <w:smallCaps w:val="false"/>
          <w:color w:val="000000"/>
          <w:spacing w:val="2"/>
          <w:sz w:val="20"/>
        </w:rPr>
        <w:t>. The Plan and any Programs and Award Agreements hereunder shall be administered, interpreted and enforced under the internal laws of the State of Delaware without regard to conflicts of laws thereof or of any other jurisdiction.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12.9.      </w:t>
      </w:r>
      <w:r>
        <w:rPr>
          <w:rFonts w:ascii="Tahoma;Geneva;sans-serif" w:hAnsi="Tahoma;Geneva;sans-serif"/>
          <w:b w:val="false"/>
          <w:i w:val="false"/>
          <w:caps w:val="false"/>
          <w:smallCaps w:val="false"/>
          <w:color w:val="000000"/>
          <w:spacing w:val="2"/>
          <w:sz w:val="20"/>
          <w:u w:val="single"/>
        </w:rPr>
        <w:t>Section 409A</w:t>
      </w:r>
      <w:r>
        <w:rPr>
          <w:rFonts w:ascii="Tahoma;Geneva;sans-serif" w:hAnsi="Tahoma;Geneva;sans-serif"/>
          <w:b w:val="false"/>
          <w:i w:val="false"/>
          <w:caps w:val="false"/>
          <w:smallCaps w:val="false"/>
          <w:color w:val="000000"/>
          <w:spacing w:val="2"/>
          <w:sz w:val="20"/>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12.10.      </w:t>
      </w:r>
      <w:r>
        <w:rPr>
          <w:rFonts w:ascii="Tahoma;Geneva;sans-serif" w:hAnsi="Tahoma;Geneva;sans-serif"/>
          <w:b w:val="false"/>
          <w:i w:val="false"/>
          <w:caps w:val="false"/>
          <w:smallCaps w:val="false"/>
          <w:color w:val="000000"/>
          <w:spacing w:val="2"/>
          <w:sz w:val="20"/>
          <w:u w:val="single"/>
        </w:rPr>
        <w:t>Unfunded Status of Awards</w:t>
      </w:r>
      <w:r>
        <w:rPr>
          <w:rFonts w:ascii="Tahoma;Geneva;sans-serif" w:hAnsi="Tahoma;Geneva;sans-serif"/>
          <w:b w:val="false"/>
          <w:i w:val="false"/>
          <w:caps w:val="false"/>
          <w:smallCaps w:val="false"/>
          <w:color w:val="000000"/>
          <w:spacing w:val="2"/>
          <w:sz w:val="20"/>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1646"/>
        <w:gridCol w:w="109"/>
        <w:gridCol w:w="109"/>
        <w:gridCol w:w="286"/>
        <w:gridCol w:w="109"/>
        <w:gridCol w:w="109"/>
        <w:gridCol w:w="762"/>
        <w:gridCol w:w="154"/>
      </w:tblGrid>
      <w:tr>
        <w:trPr/>
        <w:tc>
          <w:tcPr>
            <w:tcW w:w="124"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52500" cy="171450"/>
                  <wp:effectExtent l="0" t="0" r="0" b="0"/>
                  <wp:docPr id="761"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346" descr=""/>
                          <pic:cNvPicPr>
                            <a:picLocks noChangeAspect="1" noChangeArrowheads="1"/>
                          </pic:cNvPicPr>
                        </pic:nvPicPr>
                        <pic:blipFill>
                          <a:blip r:embed="rId347"/>
                          <a:stretch>
                            <a:fillRect/>
                          </a:stretch>
                        </pic:blipFill>
                        <pic:spPr bwMode="auto">
                          <a:xfrm>
                            <a:off x="0" y="0"/>
                            <a:ext cx="952500" cy="171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2" w:type="dxa"/>
            <w:tcBorders/>
            <w:tcMar>
              <w:top w:w="28" w:type="dxa"/>
              <w:left w:w="28" w:type="dxa"/>
              <w:bottom w:w="28" w:type="dxa"/>
              <w:right w:w="28" w:type="dxa"/>
            </w:tcMar>
            <w:vAlign w:val="center"/>
          </w:tcPr>
          <w:p>
            <w:pPr>
              <w:pStyle w:val="TableContents"/>
              <w:bidi w:val="0"/>
              <w:spacing w:lineRule="atLeast" w:line="240" w:before="0" w:after="0"/>
              <w:ind w:left="0" w:right="0" w:hanging="0"/>
              <w:jc w:val="right"/>
              <w:rPr>
                <w:color w:val="702076"/>
              </w:rPr>
            </w:pPr>
            <w:r>
              <w:rPr>
                <w:color w:val="702076"/>
                <w:spacing w:val="0"/>
                <w:bdr w:val="single" w:sz="96" w:space="1" w:color="702076"/>
              </w:rPr>
              <w:t> </w:t>
            </w:r>
            <w:r>
              <w:rPr>
                <w:color w:val="000000"/>
                <w:spacing w:val="2"/>
              </w:rPr>
              <w:t> </w:t>
            </w:r>
            <w:r>
              <w:rPr>
                <w:rFonts w:ascii="Arial Narrow;Arial;Tahoma;Geneva;sans-serif" w:hAnsi="Arial Narrow;Arial;Tahoma;Geneva;sans-serif"/>
                <w:b/>
                <w:color w:val="702076"/>
                <w:spacing w:val="11"/>
              </w:rPr>
              <w:t>B-19</w:t>
            </w:r>
            <w:r>
              <w:rPr>
                <w:color w:val="702076"/>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173" w:right="0" w:hanging="0"/>
        <w:jc w:val="right"/>
        <w:rPr>
          <w:caps w:val="false"/>
          <w:smallCaps w:val="false"/>
          <w:color w:val="000000"/>
        </w:rPr>
      </w:pPr>
      <w:r>
        <w:rPr>
          <w:caps w:val="false"/>
          <w:smallCaps w:val="false"/>
          <w:color w:val="000000"/>
        </w:rPr>
        <w:drawing>
          <wp:inline distT="0" distB="0" distL="0" distR="0">
            <wp:extent cx="1219200" cy="1181100"/>
            <wp:effectExtent l="0" t="0" r="0" b="0"/>
            <wp:docPr id="762"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347" descr=""/>
                    <pic:cNvPicPr>
                      <a:picLocks noChangeAspect="1" noChangeArrowheads="1"/>
                    </pic:cNvPicPr>
                  </pic:nvPicPr>
                  <pic:blipFill>
                    <a:blip r:embed="rId348"/>
                    <a:stretch>
                      <a:fillRect/>
                    </a:stretch>
                  </pic:blipFill>
                  <pic:spPr bwMode="auto">
                    <a:xfrm>
                      <a:off x="0" y="0"/>
                      <a:ext cx="12192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7520"/>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12.11.      </w:t>
      </w:r>
      <w:r>
        <w:rPr>
          <w:rFonts w:ascii="Tahoma;Geneva;sans-serif" w:hAnsi="Tahoma;Geneva;sans-serif"/>
          <w:b w:val="false"/>
          <w:i w:val="false"/>
          <w:caps w:val="false"/>
          <w:smallCaps w:val="false"/>
          <w:color w:val="000000"/>
          <w:spacing w:val="2"/>
          <w:sz w:val="20"/>
          <w:u w:val="single"/>
        </w:rPr>
        <w:t>Indemnification</w:t>
      </w:r>
      <w:r>
        <w:rPr>
          <w:rFonts w:ascii="Tahoma;Geneva;sans-serif" w:hAnsi="Tahoma;Geneva;sans-serif"/>
          <w:b w:val="false"/>
          <w:i w:val="false"/>
          <w:caps w:val="false"/>
          <w:smallCaps w:val="false"/>
          <w:color w:val="000000"/>
          <w:spacing w:val="2"/>
          <w:sz w:val="20"/>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ahoma;Geneva;sans-serif" w:hAnsi="Tahoma;Geneva;sans-serif"/>
          <w:b w:val="false"/>
          <w:i w:val="false"/>
          <w:caps w:val="false"/>
          <w:smallCaps w:val="false"/>
          <w:color w:val="000000"/>
          <w:spacing w:val="2"/>
          <w:sz w:val="20"/>
          <w:u w:val="single"/>
        </w:rPr>
        <w:t>provided</w:t>
      </w:r>
      <w:r>
        <w:rPr>
          <w:rFonts w:ascii="Tahoma;Geneva;sans-serif" w:hAnsi="Tahoma;Geneva;sans-serif"/>
          <w:b w:val="false"/>
          <w:i w:val="false"/>
          <w:caps w:val="false"/>
          <w:smallCaps w:val="false"/>
          <w:color w:val="000000"/>
          <w:spacing w:val="2"/>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12.12.      </w:t>
      </w:r>
      <w:r>
        <w:rPr>
          <w:rFonts w:ascii="Tahoma;Geneva;sans-serif" w:hAnsi="Tahoma;Geneva;sans-serif"/>
          <w:b w:val="false"/>
          <w:i w:val="false"/>
          <w:caps w:val="false"/>
          <w:smallCaps w:val="false"/>
          <w:color w:val="000000"/>
          <w:spacing w:val="2"/>
          <w:sz w:val="20"/>
          <w:u w:val="single"/>
        </w:rPr>
        <w:t>Relationship to other Benefits</w:t>
      </w:r>
      <w:r>
        <w:rPr>
          <w:rFonts w:ascii="Tahoma;Geneva;sans-serif" w:hAnsi="Tahoma;Geneva;sans-serif"/>
          <w:b w:val="false"/>
          <w:i w:val="false"/>
          <w:caps w:val="false"/>
          <w:smallCaps w:val="false"/>
          <w:color w:val="000000"/>
          <w:spacing w:val="2"/>
          <w:sz w:val="20"/>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ind w:left="1173" w:right="0" w:firstLine="72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12.13.      </w:t>
      </w:r>
      <w:r>
        <w:rPr>
          <w:rFonts w:ascii="Tahoma;Geneva;sans-serif" w:hAnsi="Tahoma;Geneva;sans-serif"/>
          <w:b w:val="false"/>
          <w:i w:val="false"/>
          <w:caps w:val="false"/>
          <w:smallCaps w:val="false"/>
          <w:color w:val="000000"/>
          <w:spacing w:val="2"/>
          <w:sz w:val="20"/>
          <w:u w:val="single"/>
        </w:rPr>
        <w:t>Expenses</w:t>
      </w:r>
      <w:r>
        <w:rPr>
          <w:rFonts w:ascii="Tahoma;Geneva;sans-serif" w:hAnsi="Tahoma;Geneva;sans-serif"/>
          <w:b w:val="false"/>
          <w:i w:val="false"/>
          <w:caps w:val="false"/>
          <w:smallCaps w:val="false"/>
          <w:color w:val="000000"/>
          <w:spacing w:val="2"/>
          <w:sz w:val="20"/>
        </w:rPr>
        <w:t>. The expenses of administering the Plan shall be borne by the Company and its Subsidiaries.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center"/>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          *</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08" w:type="dxa"/>
        <w:jc w:val="left"/>
        <w:tblInd w:w="1173" w:type="dxa"/>
        <w:tblLayout w:type="fixed"/>
        <w:tblCellMar>
          <w:top w:w="0" w:type="dxa"/>
          <w:left w:w="0" w:type="dxa"/>
          <w:bottom w:w="0" w:type="dxa"/>
          <w:right w:w="0" w:type="dxa"/>
        </w:tblCellMar>
      </w:tblPr>
      <w:tblGrid>
        <w:gridCol w:w="124"/>
        <w:gridCol w:w="762"/>
        <w:gridCol w:w="109"/>
        <w:gridCol w:w="109"/>
        <w:gridCol w:w="286"/>
        <w:gridCol w:w="109"/>
        <w:gridCol w:w="109"/>
        <w:gridCol w:w="1646"/>
        <w:gridCol w:w="154"/>
      </w:tblGrid>
      <w:tr>
        <w:trPr/>
        <w:tc>
          <w:tcPr>
            <w:tcW w:w="124"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lineRule="atLeast" w:line="240" w:before="0" w:after="0"/>
              <w:ind w:left="0" w:right="0" w:hanging="0"/>
              <w:jc w:val="left"/>
              <w:rPr>
                <w:rFonts w:ascii="Arial Narrow;Arial;Tahoma;Geneva;sans-serif" w:hAnsi="Arial Narrow;Arial;Tahoma;Geneva;sans-serif"/>
                <w:b/>
                <w:color w:val="702076"/>
              </w:rPr>
            </w:pPr>
            <w:r>
              <w:rPr>
                <w:rFonts w:ascii="Arial Narrow;Arial;Tahoma;Geneva;sans-serif" w:hAnsi="Arial Narrow;Arial;Tahoma;Geneva;sans-serif"/>
                <w:b/>
                <w:color w:val="702076"/>
                <w:spacing w:val="11"/>
              </w:rPr>
              <w:t>B-20</w:t>
            </w:r>
            <w:r>
              <w:rPr>
                <w:rFonts w:ascii="Arial Narrow;Arial;Tahoma;Geneva;sans-serif" w:hAnsi="Arial Narrow;Arial;Tahoma;Geneva;sans-serif"/>
                <w:b/>
                <w:color w:val="000000"/>
                <w:spacing w:val="2"/>
              </w:rPr>
              <w:t> </w:t>
            </w:r>
            <w:r>
              <w:rPr>
                <w:rFonts w:ascii="Arial Narrow;Arial;Tahoma;Geneva;sans-serif" w:hAnsi="Arial Narrow;Arial;Tahoma;Geneva;sans-serif"/>
                <w:b/>
                <w:color w:val="702076"/>
                <w:spacing w:val="0"/>
                <w:bdr w:val="single" w:sz="96" w:space="1" w:color="702076"/>
              </w:rPr>
              <w:t> </w:t>
            </w:r>
            <w:r>
              <w:rPr>
                <w:rFonts w:ascii="Arial Narrow;Arial;Tahoma;Geneva;sans-serif" w:hAnsi="Arial Narrow;Arial;Tahoma;Geneva;sans-serif"/>
                <w:b/>
                <w:color w:val="70207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6" w:type="dxa"/>
            <w:tcBorders/>
            <w:tcMar>
              <w:top w:w="28" w:type="dxa"/>
              <w:left w:w="28" w:type="dxa"/>
              <w:bottom w:w="28" w:type="dxa"/>
              <w:right w:w="28" w:type="dxa"/>
            </w:tcMar>
            <w:vAlign w:val="center"/>
          </w:tcPr>
          <w:p>
            <w:pPr>
              <w:pStyle w:val="TableContents"/>
              <w:bidi w:val="0"/>
              <w:spacing w:before="0" w:after="0"/>
              <w:jc w:val="right"/>
              <w:rPr/>
            </w:pPr>
            <w:r>
              <w:rPr/>
              <w:drawing>
                <wp:inline distT="0" distB="0" distL="0" distR="0">
                  <wp:extent cx="952500" cy="171450"/>
                  <wp:effectExtent l="0" t="0" r="0" b="0"/>
                  <wp:docPr id="763"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348" descr=""/>
                          <pic:cNvPicPr>
                            <a:picLocks noChangeAspect="1" noChangeArrowheads="1"/>
                          </pic:cNvPicPr>
                        </pic:nvPicPr>
                        <pic:blipFill>
                          <a:blip r:embed="rId349"/>
                          <a:stretch>
                            <a:fillRect/>
                          </a:stretch>
                        </pic:blipFill>
                        <pic:spPr bwMode="auto">
                          <a:xfrm>
                            <a:off x="0" y="0"/>
                            <a:ext cx="952500" cy="1714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764"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349" descr=""/>
                    <pic:cNvPicPr>
                      <a:picLocks noChangeAspect="1" noChangeArrowheads="1"/>
                    </pic:cNvPicPr>
                  </pic:nvPicPr>
                  <pic:blipFill>
                    <a:blip r:embed="rId350"/>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LivaNova Plc 20 Eastbourne Terrace London, W2 6LG United Kingdom T +44 203 325 0660 www.livanova.com</w:t>
      </w:r>
      <w:r>
        <w:rPr>
          <w:rFonts w:ascii="Tahoma;Geneva;sans-serif" w:hAnsi="Tahoma;Genev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765"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350" descr=""/>
                    <pic:cNvPicPr>
                      <a:picLocks noChangeAspect="1" noChangeArrowheads="1"/>
                    </pic:cNvPicPr>
                  </pic:nvPicPr>
                  <pic:blipFill>
                    <a:blip r:embed="rId35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MMMMMMMMMMMM ENDORSEMENT_LINE SACKPACK 000000000.000000 ext000000000.000000 ext000000000.000000 ext C123456789000000000.000000 ext000000000.000000 ext000000000.000000 ext MR A SAMPLE DESIGNATION (IF ANY) ADD 1ADD 2ADD 3ADD 4ADD 5ADD 6 Your vote matters – here’s how to vote!You may vote online or by phone instead of mailing this card.Votes submitted electronically must be received by the start of the meeting.OnlineGo to www.envisionreports.com/LIVN or scan the QR code — login details are located in the shaded bar below.PhoneCall toll free 1-800-652-VOTE (8683) within the USA, US territories and Canada Use a black ink pen. Mark your votes with an X as shown in this example. Please do not write outside the designated areas.T IF VOTING BY MAIL, SIGN, DETACH AND RETURN THE BOTTOM PORTION IN THE ENCLOSED ENVELOPE.T Proposals — The Board of Directors recommends a vote FOR all nominees and FOR Proposals 2 – 12. MMMMMMM C 1234567890J N T1 U P X6 4 9 7 0 5 MR A SAMPLE (THIS AREA IS SET UP TO ACCOMMODATE 140 CHARACTERS) MR A SAMPLE AND MR A SAMPLE AND MR A SAMPLE AND MR A SAMPLE AND MR A SAMPLE AND MR A SAMPLE AND MR A SAMPLE AND MR A SAMPLE AND 044H3E</w:t>
      </w:r>
      <w:r>
        <w:rPr>
          <w:rFonts w:ascii="Tahoma;Geneva;sans-serif" w:hAnsi="Tahoma;Genev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766"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351" descr=""/>
                    <pic:cNvPicPr>
                      <a:picLocks noChangeAspect="1" noChangeArrowheads="1"/>
                    </pic:cNvPicPr>
                  </pic:nvPicPr>
                  <pic:blipFill>
                    <a:blip r:embed="rId352"/>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both"/>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1.Ordinary Resolution: To elect, by separate resolutions, each of the following ten (10) directors for a term expiring at the AGM to be held in 2026 (“2026 AGM”):01 J. Christopher Barry 02 Francesco Bianchi 03 Stacy Enxing Seng 04 William Kozy05 Vladimir Makatsaria 06 Dr. Sharon O’Kane 07 Susan Podlogar08 Todd Schermerhorn09 Brooke Story10 Peter Wilver2.Ordinary Resolution: To approve, on an advisory basis, the Company’s compensation of its named executive officers (“US Say on Pay”).3.Ordinary Resolution: To ratify the appointment of PricewaterhouseCoopers LLP, a Delaware limited liability partnership (“PwC-US”), as the Company’s independent registered public accounting firm for 2025.4.Ordinary Resolution: To approve the Second Amended and Restated LivaNova PLC 2022 Incentive Award Plan.5.Ordinary Resolution: To approve the LivaNova PLC 2025 Director Incentive Award Plan.6.Ordinary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£10,904,831, provided that:(A)(unless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and(B)this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7.Special Resolution: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£10,904,831, provided that:(A)(unless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and(B)this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powers.8.Ordinary Resolution: To approve, on an advisory basis, the United Kingdom (“UK”) directors’ remuneration report in the form set out in the Company’s UK annual report (the “UK Annual Report”) for the period ended December 31, 2024.9.Ordinary Resolution: To approve the directors’ remuneration policy contained in the directors’ remuneration report as set forth in the UK Annual Report for the period ended December 31, 2024.10.Ordinary Resolution: To receive and adopt the Company’s audited UK statutory accounts for the year ended December 31, 2024, together with the reports of the directors and auditors thereon.11.Ordinary Resolution: To re-appoint PricewaterhouseCoopers LLP, a limited liability partnership organized under the laws of England (“PwC-UK”), as the Company’s UK statutory auditor for 2025.12.Ordinary Resolution: To authorize the directors and/or the Audit and Compliance Committee to determine the remuneration of the Company’s UK statutory auditor. The LivaNova PLC 2025 Annual General Meeting will be held onJune 11, 2025, 3:00 pm British Summer Time/10:00 am Eastern Time, virtually at www.meetnow.global/MFSFQWM.To access the virtual meeting, you must have the information that is printed in the shaded bar located on the reverse side of this form.T IF VOTING BY MAIL, SIGN, DETACH AND RETURN THE BOTTOM PORTION IN THE ENCLOSED ENVELOPE.TNotice of 2025 Annual General MeetingProxy Solicited by Board of Directors for 2025 Annual General MeetingThe shareholder hereby appoints the duly appointed Chair of the Board of Directors of LivaNova PLC as proxy during the 2025 Annual General Meeting, with the power to appoint his/her substitute, and hereby authorizes such proxy to attend, speak and vote on his/her behalf, as designated on the reverse side of this ballot, and upon such other business as may properly come before the meeting, or any adjournment or postponement thereof, all of the Ordinary Shares that the shareholder is entitled to vote at the LivaNova PLC 2025 Annual General Meeting to be held at 3:00 pm BST on June 11, 2025 virtually at www.meetnow.global/MFSFQWM. By returning this card, the shareholder acknowledges receipt of the proxy statement (including the notice of the Annual General Meeting). A shareholder may appoint a proxy of his or her choice if a proxy other than the Chair is preferred, by striking the words: “the duly appointed Chair of the Board of Directors of LivaNova PLC” above and inserting the name of his/her proxy in the space provided. A proxy need not be a member of the Company but should appear at the meeting to represent the shareholder. The shareholder revokes any previous proxy or proxies given for such shares. The shareholder ratifies and confirms any actions taken by the proxy or his/her substitute, holding the shares by virtue of this executed card. IF NO DIRECTION AS TO THE MANNER OF VOTING THE PROXY IS MADE, THE PROXY WILL BE VOTED “FOR” EVERY NOMINEE AND “FOR” PROPOSALS 2-12.Completion and return of a proxy card or submission of proxy instructions will not prevent a shareholder from attending the meeting and voting.To appoint more than one proxy, (an) additional proxy card(s) may be obtained from your bank, broker or other nominee. Please indicate next to the proxy holder’s name the number of shares in relation to which s/he is authorized to act as your proxy. Please also indicate by ticking the box provided if the proxy instructions are one of the multiple instructions being given. All forms must be signed and returned together in the same envelope.You are encouraged to specify your choices by marking the appropriate boxes (see reverse side) but you need not mark any boxes if you wish to vote in accordance with the Board of Directors’ recommendations.This proxy, when properly executed, will be voted in the manner directed herein. The Board of Directors recommends a vote “FOR” all nominees and “FOR” proposals 2-12. In his/her discretion, the proxy is authorized to vote upon such other business as may properly come before the meeting.IF VOTING BY MAIL, YOU MUST COMPLETE SECTIONS A - C ON BOTH SIDES OF THIS CARD.(Items to be voted appear on reverse side) Authorized Signatures — This section must be completed for your vote to count. Please date and sign below.Please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box.Change of Address — Please print new address below.Comments — Please print your comments below.</w:t>
      </w:r>
      <w:r>
        <w:rPr>
          <w:rFonts w:ascii="Tahoma;Geneva;sans-serif" w:hAnsi="Tahoma;Genev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Arial"/>
    <w:charset w:val="01"/>
    <w:family w:val="auto"/>
    <w:pitch w:val="default"/>
  </w:font>
  <w:font w:name="Tahoma">
    <w:altName w:val="Geneva"/>
    <w:charset w:val="01"/>
    <w:family w:val="auto"/>
    <w:pitch w:val="default"/>
  </w:font>
  <w:font w:name="Helvetica">
    <w:altName w:val="Arial"/>
    <w:charset w:val="01"/>
    <w:family w:val="auto"/>
    <w:pitch w:val="default"/>
  </w:font>
  <w:font w:name="Times New Roman">
    <w:altName w:val="Times"/>
    <w:charset w:val="01"/>
    <w:family w:val="auto"/>
    <w:pitch w:val="default"/>
  </w:font>
  <w:font w:name="Arial">
    <w:altName w:val="Tahom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7.jpeg"/><Relationship Id="rId13" Type="http://schemas.openxmlformats.org/officeDocument/2006/relationships/image" Target="media/image9.jpeg"/><Relationship Id="rId14" Type="http://schemas.openxmlformats.org/officeDocument/2006/relationships/image" Target="media/image8.jpeg"/><Relationship Id="rId15" Type="http://schemas.openxmlformats.org/officeDocument/2006/relationships/image" Target="media/image7.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4.jpeg"/><Relationship Id="rId20" Type="http://schemas.openxmlformats.org/officeDocument/2006/relationships/image" Target="media/image8.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7.jpeg"/><Relationship Id="rId28" Type="http://schemas.openxmlformats.org/officeDocument/2006/relationships/image" Target="media/image13.jpeg"/><Relationship Id="rId29" Type="http://schemas.openxmlformats.org/officeDocument/2006/relationships/image" Target="media/image8.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7.jpeg"/><Relationship Id="rId33" Type="http://schemas.openxmlformats.org/officeDocument/2006/relationships/image" Target="media/image8.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image" Target="media/image7.jpeg"/><Relationship Id="rId37" Type="http://schemas.openxmlformats.org/officeDocument/2006/relationships/image" Target="media/image8.jpeg"/><Relationship Id="rId38" Type="http://schemas.openxmlformats.org/officeDocument/2006/relationships/image" Target="media/image7.jpeg"/><Relationship Id="rId39" Type="http://schemas.openxmlformats.org/officeDocument/2006/relationships/image" Target="media/image8.jpeg"/><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7.jpeg"/><Relationship Id="rId45" Type="http://schemas.openxmlformats.org/officeDocument/2006/relationships/image" Target="media/image8.jpeg"/><Relationship Id="rId46" Type="http://schemas.openxmlformats.org/officeDocument/2006/relationships/image" Target="media/image7.jpeg"/><Relationship Id="rId47" Type="http://schemas.openxmlformats.org/officeDocument/2006/relationships/image" Target="media/image8.jpeg"/><Relationship Id="rId48" Type="http://schemas.openxmlformats.org/officeDocument/2006/relationships/image" Target="media/image7.jpeg"/><Relationship Id="rId49" Type="http://schemas.openxmlformats.org/officeDocument/2006/relationships/image" Target="media/image8.jpeg"/><Relationship Id="rId50" Type="http://schemas.openxmlformats.org/officeDocument/2006/relationships/image" Target="media/image7.jpeg"/><Relationship Id="rId51" Type="http://schemas.openxmlformats.org/officeDocument/2006/relationships/image" Target="media/image8.jpeg"/><Relationship Id="rId52" Type="http://schemas.openxmlformats.org/officeDocument/2006/relationships/image" Target="media/image7.jpeg"/><Relationship Id="rId53" Type="http://schemas.openxmlformats.org/officeDocument/2006/relationships/image" Target="media/image8.jpeg"/><Relationship Id="rId54" Type="http://schemas.openxmlformats.org/officeDocument/2006/relationships/image" Target="media/image7.jpeg"/><Relationship Id="rId55" Type="http://schemas.openxmlformats.org/officeDocument/2006/relationships/image" Target="media/image8.jpeg"/><Relationship Id="rId56" Type="http://schemas.openxmlformats.org/officeDocument/2006/relationships/image" Target="media/image7.jpeg"/><Relationship Id="rId57" Type="http://schemas.openxmlformats.org/officeDocument/2006/relationships/image" Target="media/image8.jpeg"/><Relationship Id="rId58" Type="http://schemas.openxmlformats.org/officeDocument/2006/relationships/image" Target="media/image7.jpeg"/><Relationship Id="rId59" Type="http://schemas.openxmlformats.org/officeDocument/2006/relationships/image" Target="media/image8.jpeg"/><Relationship Id="rId60" Type="http://schemas.openxmlformats.org/officeDocument/2006/relationships/image" Target="media/image7.jpeg"/><Relationship Id="rId61" Type="http://schemas.openxmlformats.org/officeDocument/2006/relationships/image" Target="media/image8.jpeg"/><Relationship Id="rId62" Type="http://schemas.openxmlformats.org/officeDocument/2006/relationships/image" Target="media/image7.jpeg"/><Relationship Id="rId63" Type="http://schemas.openxmlformats.org/officeDocument/2006/relationships/image" Target="media/image14.jpeg"/><Relationship Id="rId64" Type="http://schemas.openxmlformats.org/officeDocument/2006/relationships/image" Target="media/image15.jpeg"/><Relationship Id="rId65" Type="http://schemas.openxmlformats.org/officeDocument/2006/relationships/image" Target="media/image16.jpeg"/><Relationship Id="rId66" Type="http://schemas.openxmlformats.org/officeDocument/2006/relationships/image" Target="media/image8.jpeg"/><Relationship Id="rId67" Type="http://schemas.openxmlformats.org/officeDocument/2006/relationships/image" Target="media/image7.jpeg"/><Relationship Id="rId68" Type="http://schemas.openxmlformats.org/officeDocument/2006/relationships/image" Target="media/image17.jpeg"/><Relationship Id="rId69" Type="http://schemas.openxmlformats.org/officeDocument/2006/relationships/image" Target="media/image18.jpeg"/><Relationship Id="rId70" Type="http://schemas.openxmlformats.org/officeDocument/2006/relationships/image" Target="media/image19.jpeg"/><Relationship Id="rId71" Type="http://schemas.openxmlformats.org/officeDocument/2006/relationships/image" Target="media/image8.jpeg"/><Relationship Id="rId72" Type="http://schemas.openxmlformats.org/officeDocument/2006/relationships/image" Target="media/image7.jpeg"/><Relationship Id="rId73" Type="http://schemas.openxmlformats.org/officeDocument/2006/relationships/image" Target="media/image20.jpeg"/><Relationship Id="rId74" Type="http://schemas.openxmlformats.org/officeDocument/2006/relationships/image" Target="media/image21.jpeg"/><Relationship Id="rId75" Type="http://schemas.openxmlformats.org/officeDocument/2006/relationships/image" Target="media/image22.jpeg"/><Relationship Id="rId76" Type="http://schemas.openxmlformats.org/officeDocument/2006/relationships/image" Target="media/image8.jpeg"/><Relationship Id="rId77" Type="http://schemas.openxmlformats.org/officeDocument/2006/relationships/image" Target="media/image7.jpeg"/><Relationship Id="rId78" Type="http://schemas.openxmlformats.org/officeDocument/2006/relationships/image" Target="media/image23.jpeg"/><Relationship Id="rId79" Type="http://schemas.openxmlformats.org/officeDocument/2006/relationships/image" Target="media/image8.jpeg"/><Relationship Id="rId80" Type="http://schemas.openxmlformats.org/officeDocument/2006/relationships/image" Target="media/image7.jpeg"/><Relationship Id="rId81" Type="http://schemas.openxmlformats.org/officeDocument/2006/relationships/image" Target="media/image8.jpeg"/><Relationship Id="rId82" Type="http://schemas.openxmlformats.org/officeDocument/2006/relationships/image" Target="media/image7.jpeg"/><Relationship Id="rId83" Type="http://schemas.openxmlformats.org/officeDocument/2006/relationships/image" Target="media/image8.jpeg"/><Relationship Id="rId84" Type="http://schemas.openxmlformats.org/officeDocument/2006/relationships/image" Target="media/image7.jpeg"/><Relationship Id="rId85" Type="http://schemas.openxmlformats.org/officeDocument/2006/relationships/image" Target="media/image8.jpeg"/><Relationship Id="rId86" Type="http://schemas.openxmlformats.org/officeDocument/2006/relationships/image" Target="media/image7.jpeg"/><Relationship Id="rId87" Type="http://schemas.openxmlformats.org/officeDocument/2006/relationships/image" Target="media/image8.jpeg"/><Relationship Id="rId88" Type="http://schemas.openxmlformats.org/officeDocument/2006/relationships/image" Target="media/image7.jpeg"/><Relationship Id="rId89" Type="http://schemas.openxmlformats.org/officeDocument/2006/relationships/image" Target="media/image24.jpeg"/><Relationship Id="rId90" Type="http://schemas.openxmlformats.org/officeDocument/2006/relationships/image" Target="media/image8.jpeg"/><Relationship Id="rId91" Type="http://schemas.openxmlformats.org/officeDocument/2006/relationships/image" Target="media/image7.jpeg"/><Relationship Id="rId92" Type="http://schemas.openxmlformats.org/officeDocument/2006/relationships/image" Target="media/image8.jpeg"/><Relationship Id="rId93" Type="http://schemas.openxmlformats.org/officeDocument/2006/relationships/image" Target="media/image7.jpeg"/><Relationship Id="rId94" Type="http://schemas.openxmlformats.org/officeDocument/2006/relationships/image" Target="media/image8.jpeg"/><Relationship Id="rId95" Type="http://schemas.openxmlformats.org/officeDocument/2006/relationships/image" Target="media/image7.jpeg"/><Relationship Id="rId96" Type="http://schemas.openxmlformats.org/officeDocument/2006/relationships/image" Target="media/image8.jpeg"/><Relationship Id="rId97" Type="http://schemas.openxmlformats.org/officeDocument/2006/relationships/image" Target="media/image7.jpeg"/><Relationship Id="rId98" Type="http://schemas.openxmlformats.org/officeDocument/2006/relationships/image" Target="media/image8.jpeg"/><Relationship Id="rId99" Type="http://schemas.openxmlformats.org/officeDocument/2006/relationships/image" Target="media/image7.jpeg"/><Relationship Id="rId100" Type="http://schemas.openxmlformats.org/officeDocument/2006/relationships/image" Target="media/image8.jpeg"/><Relationship Id="rId101" Type="http://schemas.openxmlformats.org/officeDocument/2006/relationships/image" Target="media/image7.jpeg"/><Relationship Id="rId102" Type="http://schemas.openxmlformats.org/officeDocument/2006/relationships/image" Target="media/image8.jpeg"/><Relationship Id="rId103" Type="http://schemas.openxmlformats.org/officeDocument/2006/relationships/image" Target="media/image7.jpeg"/><Relationship Id="rId104" Type="http://schemas.openxmlformats.org/officeDocument/2006/relationships/image" Target="media/image8.jpeg"/><Relationship Id="rId105" Type="http://schemas.openxmlformats.org/officeDocument/2006/relationships/image" Target="media/image7.jpeg"/><Relationship Id="rId106" Type="http://schemas.openxmlformats.org/officeDocument/2006/relationships/image" Target="media/image8.jpeg"/><Relationship Id="rId107" Type="http://schemas.openxmlformats.org/officeDocument/2006/relationships/image" Target="media/image7.jpeg"/><Relationship Id="rId108" Type="http://schemas.openxmlformats.org/officeDocument/2006/relationships/image" Target="media/image8.jpeg"/><Relationship Id="rId109" Type="http://schemas.openxmlformats.org/officeDocument/2006/relationships/image" Target="media/image7.jpeg"/><Relationship Id="rId110" Type="http://schemas.openxmlformats.org/officeDocument/2006/relationships/image" Target="media/image8.jpeg"/><Relationship Id="rId111" Type="http://schemas.openxmlformats.org/officeDocument/2006/relationships/image" Target="media/image7.jpeg"/><Relationship Id="rId112" Type="http://schemas.openxmlformats.org/officeDocument/2006/relationships/image" Target="media/image8.jpeg"/><Relationship Id="rId113" Type="http://schemas.openxmlformats.org/officeDocument/2006/relationships/image" Target="media/image7.jpeg"/><Relationship Id="rId114" Type="http://schemas.openxmlformats.org/officeDocument/2006/relationships/image" Target="media/image8.jpeg"/><Relationship Id="rId115" Type="http://schemas.openxmlformats.org/officeDocument/2006/relationships/image" Target="media/image7.jpeg"/><Relationship Id="rId116" Type="http://schemas.openxmlformats.org/officeDocument/2006/relationships/image" Target="media/image8.jpeg"/><Relationship Id="rId117" Type="http://schemas.openxmlformats.org/officeDocument/2006/relationships/image" Target="media/image7.jpeg"/><Relationship Id="rId118" Type="http://schemas.openxmlformats.org/officeDocument/2006/relationships/image" Target="media/image8.jpeg"/><Relationship Id="rId119" Type="http://schemas.openxmlformats.org/officeDocument/2006/relationships/image" Target="media/image7.jpeg"/><Relationship Id="rId120" Type="http://schemas.openxmlformats.org/officeDocument/2006/relationships/image" Target="media/image8.jpeg"/><Relationship Id="rId121" Type="http://schemas.openxmlformats.org/officeDocument/2006/relationships/image" Target="media/image7.jpeg"/><Relationship Id="rId122" Type="http://schemas.openxmlformats.org/officeDocument/2006/relationships/image" Target="media/image8.jpeg"/><Relationship Id="rId123" Type="http://schemas.openxmlformats.org/officeDocument/2006/relationships/image" Target="media/image7.jpeg"/><Relationship Id="rId124" Type="http://schemas.openxmlformats.org/officeDocument/2006/relationships/image" Target="media/image8.jpeg"/><Relationship Id="rId125" Type="http://schemas.openxmlformats.org/officeDocument/2006/relationships/image" Target="media/image7.jpeg"/><Relationship Id="rId126" Type="http://schemas.openxmlformats.org/officeDocument/2006/relationships/image" Target="media/image8.jpeg"/><Relationship Id="rId127" Type="http://schemas.openxmlformats.org/officeDocument/2006/relationships/image" Target="media/image7.jpeg"/><Relationship Id="rId128" Type="http://schemas.openxmlformats.org/officeDocument/2006/relationships/image" Target="media/image8.jpeg"/><Relationship Id="rId129" Type="http://schemas.openxmlformats.org/officeDocument/2006/relationships/image" Target="media/image7.jpeg"/><Relationship Id="rId130" Type="http://schemas.openxmlformats.org/officeDocument/2006/relationships/image" Target="media/image8.jpeg"/><Relationship Id="rId131" Type="http://schemas.openxmlformats.org/officeDocument/2006/relationships/image" Target="media/image7.jpeg"/><Relationship Id="rId132" Type="http://schemas.openxmlformats.org/officeDocument/2006/relationships/image" Target="media/image8.jpeg"/><Relationship Id="rId133" Type="http://schemas.openxmlformats.org/officeDocument/2006/relationships/image" Target="media/image7.jpeg"/><Relationship Id="rId134" Type="http://schemas.openxmlformats.org/officeDocument/2006/relationships/image" Target="media/image8.jpeg"/><Relationship Id="rId135" Type="http://schemas.openxmlformats.org/officeDocument/2006/relationships/image" Target="media/image7.jpeg"/><Relationship Id="rId136" Type="http://schemas.openxmlformats.org/officeDocument/2006/relationships/image" Target="media/image8.jpeg"/><Relationship Id="rId137" Type="http://schemas.openxmlformats.org/officeDocument/2006/relationships/image" Target="media/image7.jpeg"/><Relationship Id="rId138" Type="http://schemas.openxmlformats.org/officeDocument/2006/relationships/image" Target="media/image8.jpeg"/><Relationship Id="rId139" Type="http://schemas.openxmlformats.org/officeDocument/2006/relationships/image" Target="media/image7.jpeg"/><Relationship Id="rId140" Type="http://schemas.openxmlformats.org/officeDocument/2006/relationships/image" Target="media/image8.jpeg"/><Relationship Id="rId141" Type="http://schemas.openxmlformats.org/officeDocument/2006/relationships/image" Target="media/image7.jpeg"/><Relationship Id="rId142" Type="http://schemas.openxmlformats.org/officeDocument/2006/relationships/image" Target="media/image8.jpeg"/><Relationship Id="rId143" Type="http://schemas.openxmlformats.org/officeDocument/2006/relationships/image" Target="media/image7.jpeg"/><Relationship Id="rId144" Type="http://schemas.openxmlformats.org/officeDocument/2006/relationships/image" Target="media/image8.jpeg"/><Relationship Id="rId145" Type="http://schemas.openxmlformats.org/officeDocument/2006/relationships/image" Target="media/image7.jpeg"/><Relationship Id="rId146" Type="http://schemas.openxmlformats.org/officeDocument/2006/relationships/image" Target="media/image8.jpeg"/><Relationship Id="rId147" Type="http://schemas.openxmlformats.org/officeDocument/2006/relationships/image" Target="media/image7.jpeg"/><Relationship Id="rId148" Type="http://schemas.openxmlformats.org/officeDocument/2006/relationships/image" Target="media/image8.jpeg"/><Relationship Id="rId149" Type="http://schemas.openxmlformats.org/officeDocument/2006/relationships/image" Target="media/image7.jpeg"/><Relationship Id="rId150" Type="http://schemas.openxmlformats.org/officeDocument/2006/relationships/image" Target="media/image8.jpeg"/><Relationship Id="rId151" Type="http://schemas.openxmlformats.org/officeDocument/2006/relationships/image" Target="media/image7.jpeg"/><Relationship Id="rId152" Type="http://schemas.openxmlformats.org/officeDocument/2006/relationships/image" Target="media/image8.jpeg"/><Relationship Id="rId153" Type="http://schemas.openxmlformats.org/officeDocument/2006/relationships/image" Target="media/image7.jpeg"/><Relationship Id="rId154" Type="http://schemas.openxmlformats.org/officeDocument/2006/relationships/image" Target="media/image8.jpeg"/><Relationship Id="rId155" Type="http://schemas.openxmlformats.org/officeDocument/2006/relationships/image" Target="media/image7.jpeg"/><Relationship Id="rId156" Type="http://schemas.openxmlformats.org/officeDocument/2006/relationships/image" Target="media/image8.jpeg"/><Relationship Id="rId157" Type="http://schemas.openxmlformats.org/officeDocument/2006/relationships/image" Target="media/image7.jpeg"/><Relationship Id="rId158" Type="http://schemas.openxmlformats.org/officeDocument/2006/relationships/image" Target="media/image8.jpeg"/><Relationship Id="rId159" Type="http://schemas.openxmlformats.org/officeDocument/2006/relationships/image" Target="media/image7.jpeg"/><Relationship Id="rId160" Type="http://schemas.openxmlformats.org/officeDocument/2006/relationships/image" Target="media/image25.jpeg"/><Relationship Id="rId161" Type="http://schemas.openxmlformats.org/officeDocument/2006/relationships/image" Target="media/image8.jpeg"/><Relationship Id="rId162" Type="http://schemas.openxmlformats.org/officeDocument/2006/relationships/image" Target="media/image7.jpeg"/><Relationship Id="rId163" Type="http://schemas.openxmlformats.org/officeDocument/2006/relationships/image" Target="media/image26.jpeg"/><Relationship Id="rId164" Type="http://schemas.openxmlformats.org/officeDocument/2006/relationships/image" Target="media/image8.jpeg"/><Relationship Id="rId165" Type="http://schemas.openxmlformats.org/officeDocument/2006/relationships/image" Target="media/image7.jpeg"/><Relationship Id="rId166" Type="http://schemas.openxmlformats.org/officeDocument/2006/relationships/image" Target="media/image27.jpeg"/><Relationship Id="rId167" Type="http://schemas.openxmlformats.org/officeDocument/2006/relationships/image" Target="media/image8.jpeg"/><Relationship Id="rId168" Type="http://schemas.openxmlformats.org/officeDocument/2006/relationships/image" Target="media/image7.jpeg"/><Relationship Id="rId169" Type="http://schemas.openxmlformats.org/officeDocument/2006/relationships/image" Target="media/image8.jpeg"/><Relationship Id="rId170" Type="http://schemas.openxmlformats.org/officeDocument/2006/relationships/image" Target="media/image7.jpeg"/><Relationship Id="rId171" Type="http://schemas.openxmlformats.org/officeDocument/2006/relationships/image" Target="media/image8.jpeg"/><Relationship Id="rId172" Type="http://schemas.openxmlformats.org/officeDocument/2006/relationships/image" Target="media/image7.jpeg"/><Relationship Id="rId173" Type="http://schemas.openxmlformats.org/officeDocument/2006/relationships/image" Target="media/image8.jpeg"/><Relationship Id="rId174" Type="http://schemas.openxmlformats.org/officeDocument/2006/relationships/image" Target="media/image7.jpeg"/><Relationship Id="rId175" Type="http://schemas.openxmlformats.org/officeDocument/2006/relationships/image" Target="media/image8.jpeg"/><Relationship Id="rId176" Type="http://schemas.openxmlformats.org/officeDocument/2006/relationships/image" Target="media/image7.jpeg"/><Relationship Id="rId177" Type="http://schemas.openxmlformats.org/officeDocument/2006/relationships/image" Target="media/image8.jpeg"/><Relationship Id="rId178" Type="http://schemas.openxmlformats.org/officeDocument/2006/relationships/image" Target="media/image7.jpeg"/><Relationship Id="rId179" Type="http://schemas.openxmlformats.org/officeDocument/2006/relationships/image" Target="media/image8.jpeg"/><Relationship Id="rId180" Type="http://schemas.openxmlformats.org/officeDocument/2006/relationships/image" Target="media/image7.jpeg"/><Relationship Id="rId181" Type="http://schemas.openxmlformats.org/officeDocument/2006/relationships/image" Target="media/image8.jpeg"/><Relationship Id="rId182" Type="http://schemas.openxmlformats.org/officeDocument/2006/relationships/image" Target="media/image7.jpeg"/><Relationship Id="rId183" Type="http://schemas.openxmlformats.org/officeDocument/2006/relationships/image" Target="media/image8.jpeg"/><Relationship Id="rId184" Type="http://schemas.openxmlformats.org/officeDocument/2006/relationships/image" Target="media/image7.jpeg"/><Relationship Id="rId185" Type="http://schemas.openxmlformats.org/officeDocument/2006/relationships/image" Target="media/image8.jpeg"/><Relationship Id="rId186" Type="http://schemas.openxmlformats.org/officeDocument/2006/relationships/image" Target="media/image7.jpeg"/><Relationship Id="rId187" Type="http://schemas.openxmlformats.org/officeDocument/2006/relationships/image" Target="media/image8.jpeg"/><Relationship Id="rId188" Type="http://schemas.openxmlformats.org/officeDocument/2006/relationships/image" Target="media/image7.jpeg"/><Relationship Id="rId189" Type="http://schemas.openxmlformats.org/officeDocument/2006/relationships/image" Target="media/image8.jpeg"/><Relationship Id="rId190" Type="http://schemas.openxmlformats.org/officeDocument/2006/relationships/image" Target="media/image7.jpeg"/><Relationship Id="rId191" Type="http://schemas.openxmlformats.org/officeDocument/2006/relationships/image" Target="media/image8.jpeg"/><Relationship Id="rId192" Type="http://schemas.openxmlformats.org/officeDocument/2006/relationships/image" Target="media/image7.jpeg"/><Relationship Id="rId193" Type="http://schemas.openxmlformats.org/officeDocument/2006/relationships/image" Target="media/image8.jpeg"/><Relationship Id="rId194" Type="http://schemas.openxmlformats.org/officeDocument/2006/relationships/image" Target="media/image7.jpeg"/><Relationship Id="rId195" Type="http://schemas.openxmlformats.org/officeDocument/2006/relationships/image" Target="media/image8.jpeg"/><Relationship Id="rId196" Type="http://schemas.openxmlformats.org/officeDocument/2006/relationships/image" Target="media/image7.jpeg"/><Relationship Id="rId197" Type="http://schemas.openxmlformats.org/officeDocument/2006/relationships/image" Target="media/image8.jpeg"/><Relationship Id="rId198" Type="http://schemas.openxmlformats.org/officeDocument/2006/relationships/image" Target="media/image7.jpeg"/><Relationship Id="rId199" Type="http://schemas.openxmlformats.org/officeDocument/2006/relationships/image" Target="media/image8.jpeg"/><Relationship Id="rId200" Type="http://schemas.openxmlformats.org/officeDocument/2006/relationships/image" Target="media/image7.jpeg"/><Relationship Id="rId201" Type="http://schemas.openxmlformats.org/officeDocument/2006/relationships/image" Target="media/image8.jpeg"/><Relationship Id="rId202" Type="http://schemas.openxmlformats.org/officeDocument/2006/relationships/image" Target="media/image7.jpeg"/><Relationship Id="rId203" Type="http://schemas.openxmlformats.org/officeDocument/2006/relationships/image" Target="media/image8.jpeg"/><Relationship Id="rId204" Type="http://schemas.openxmlformats.org/officeDocument/2006/relationships/image" Target="media/image7.jpeg"/><Relationship Id="rId205" Type="http://schemas.openxmlformats.org/officeDocument/2006/relationships/image" Target="media/image8.jpeg"/><Relationship Id="rId206" Type="http://schemas.openxmlformats.org/officeDocument/2006/relationships/image" Target="media/image7.jpeg"/><Relationship Id="rId207" Type="http://schemas.openxmlformats.org/officeDocument/2006/relationships/image" Target="media/image8.jpeg"/><Relationship Id="rId208" Type="http://schemas.openxmlformats.org/officeDocument/2006/relationships/image" Target="media/image7.jpeg"/><Relationship Id="rId209" Type="http://schemas.openxmlformats.org/officeDocument/2006/relationships/image" Target="media/image8.jpeg"/><Relationship Id="rId210" Type="http://schemas.openxmlformats.org/officeDocument/2006/relationships/image" Target="media/image7.jpeg"/><Relationship Id="rId211" Type="http://schemas.openxmlformats.org/officeDocument/2006/relationships/image" Target="media/image8.jpeg"/><Relationship Id="rId212" Type="http://schemas.openxmlformats.org/officeDocument/2006/relationships/image" Target="media/image7.jpeg"/><Relationship Id="rId213" Type="http://schemas.openxmlformats.org/officeDocument/2006/relationships/image" Target="media/image8.jpeg"/><Relationship Id="rId214" Type="http://schemas.openxmlformats.org/officeDocument/2006/relationships/image" Target="media/image7.jpeg"/><Relationship Id="rId215" Type="http://schemas.openxmlformats.org/officeDocument/2006/relationships/image" Target="media/image8.jpeg"/><Relationship Id="rId216" Type="http://schemas.openxmlformats.org/officeDocument/2006/relationships/image" Target="media/image7.jpeg"/><Relationship Id="rId217" Type="http://schemas.openxmlformats.org/officeDocument/2006/relationships/image" Target="media/image8.jpeg"/><Relationship Id="rId218" Type="http://schemas.openxmlformats.org/officeDocument/2006/relationships/image" Target="media/image7.jpeg"/><Relationship Id="rId219" Type="http://schemas.openxmlformats.org/officeDocument/2006/relationships/image" Target="media/image8.jpeg"/><Relationship Id="rId220" Type="http://schemas.openxmlformats.org/officeDocument/2006/relationships/image" Target="media/image7.jpeg"/><Relationship Id="rId221" Type="http://schemas.openxmlformats.org/officeDocument/2006/relationships/image" Target="media/image8.jpeg"/><Relationship Id="rId222" Type="http://schemas.openxmlformats.org/officeDocument/2006/relationships/image" Target="media/image7.jpeg"/><Relationship Id="rId223" Type="http://schemas.openxmlformats.org/officeDocument/2006/relationships/image" Target="media/image8.jpeg"/><Relationship Id="rId224" Type="http://schemas.openxmlformats.org/officeDocument/2006/relationships/image" Target="media/image7.jpeg"/><Relationship Id="rId225" Type="http://schemas.openxmlformats.org/officeDocument/2006/relationships/image" Target="media/image8.jpeg"/><Relationship Id="rId226" Type="http://schemas.openxmlformats.org/officeDocument/2006/relationships/image" Target="media/image7.jpeg"/><Relationship Id="rId227" Type="http://schemas.openxmlformats.org/officeDocument/2006/relationships/image" Target="media/image8.jpeg"/><Relationship Id="rId228" Type="http://schemas.openxmlformats.org/officeDocument/2006/relationships/image" Target="media/image7.jpeg"/><Relationship Id="rId229" Type="http://schemas.openxmlformats.org/officeDocument/2006/relationships/image" Target="media/image8.jpeg"/><Relationship Id="rId230" Type="http://schemas.openxmlformats.org/officeDocument/2006/relationships/image" Target="media/image7.jpeg"/><Relationship Id="rId231" Type="http://schemas.openxmlformats.org/officeDocument/2006/relationships/image" Target="media/image8.jpeg"/><Relationship Id="rId232" Type="http://schemas.openxmlformats.org/officeDocument/2006/relationships/image" Target="media/image7.jpeg"/><Relationship Id="rId233" Type="http://schemas.openxmlformats.org/officeDocument/2006/relationships/image" Target="media/image8.jpeg"/><Relationship Id="rId234" Type="http://schemas.openxmlformats.org/officeDocument/2006/relationships/image" Target="media/image7.jpeg"/><Relationship Id="rId235" Type="http://schemas.openxmlformats.org/officeDocument/2006/relationships/image" Target="media/image8.jpeg"/><Relationship Id="rId236" Type="http://schemas.openxmlformats.org/officeDocument/2006/relationships/image" Target="media/image7.jpeg"/><Relationship Id="rId237" Type="http://schemas.openxmlformats.org/officeDocument/2006/relationships/image" Target="media/image8.jpeg"/><Relationship Id="rId238" Type="http://schemas.openxmlformats.org/officeDocument/2006/relationships/image" Target="media/image7.jpeg"/><Relationship Id="rId239" Type="http://schemas.openxmlformats.org/officeDocument/2006/relationships/image" Target="media/image8.jpeg"/><Relationship Id="rId240" Type="http://schemas.openxmlformats.org/officeDocument/2006/relationships/image" Target="media/image7.jpeg"/><Relationship Id="rId241" Type="http://schemas.openxmlformats.org/officeDocument/2006/relationships/image" Target="media/image8.jpeg"/><Relationship Id="rId242" Type="http://schemas.openxmlformats.org/officeDocument/2006/relationships/image" Target="media/image7.jpeg"/><Relationship Id="rId243" Type="http://schemas.openxmlformats.org/officeDocument/2006/relationships/image" Target="media/image8.jpeg"/><Relationship Id="rId244" Type="http://schemas.openxmlformats.org/officeDocument/2006/relationships/image" Target="media/image7.jpeg"/><Relationship Id="rId245" Type="http://schemas.openxmlformats.org/officeDocument/2006/relationships/image" Target="media/image8.jpeg"/><Relationship Id="rId246" Type="http://schemas.openxmlformats.org/officeDocument/2006/relationships/image" Target="media/image7.jpeg"/><Relationship Id="rId247" Type="http://schemas.openxmlformats.org/officeDocument/2006/relationships/image" Target="media/image8.jpeg"/><Relationship Id="rId248" Type="http://schemas.openxmlformats.org/officeDocument/2006/relationships/image" Target="media/image7.jpeg"/><Relationship Id="rId249" Type="http://schemas.openxmlformats.org/officeDocument/2006/relationships/image" Target="media/image8.jpeg"/><Relationship Id="rId250" Type="http://schemas.openxmlformats.org/officeDocument/2006/relationships/image" Target="media/image7.jpeg"/><Relationship Id="rId251" Type="http://schemas.openxmlformats.org/officeDocument/2006/relationships/image" Target="media/image8.jpeg"/><Relationship Id="rId252" Type="http://schemas.openxmlformats.org/officeDocument/2006/relationships/image" Target="media/image7.jpeg"/><Relationship Id="rId253" Type="http://schemas.openxmlformats.org/officeDocument/2006/relationships/image" Target="media/image8.jpeg"/><Relationship Id="rId254" Type="http://schemas.openxmlformats.org/officeDocument/2006/relationships/image" Target="media/image7.jpeg"/><Relationship Id="rId255" Type="http://schemas.openxmlformats.org/officeDocument/2006/relationships/image" Target="media/image8.jpeg"/><Relationship Id="rId256" Type="http://schemas.openxmlformats.org/officeDocument/2006/relationships/image" Target="media/image7.jpeg"/><Relationship Id="rId257" Type="http://schemas.openxmlformats.org/officeDocument/2006/relationships/image" Target="media/image8.jpeg"/><Relationship Id="rId258" Type="http://schemas.openxmlformats.org/officeDocument/2006/relationships/image" Target="media/image7.jpeg"/><Relationship Id="rId259" Type="http://schemas.openxmlformats.org/officeDocument/2006/relationships/image" Target="media/image8.jpeg"/><Relationship Id="rId260" Type="http://schemas.openxmlformats.org/officeDocument/2006/relationships/image" Target="media/image7.jpeg"/><Relationship Id="rId261" Type="http://schemas.openxmlformats.org/officeDocument/2006/relationships/image" Target="media/image8.jpeg"/><Relationship Id="rId262" Type="http://schemas.openxmlformats.org/officeDocument/2006/relationships/image" Target="media/image7.jpeg"/><Relationship Id="rId263" Type="http://schemas.openxmlformats.org/officeDocument/2006/relationships/image" Target="media/image8.jpeg"/><Relationship Id="rId264" Type="http://schemas.openxmlformats.org/officeDocument/2006/relationships/image" Target="media/image7.jpeg"/><Relationship Id="rId265" Type="http://schemas.openxmlformats.org/officeDocument/2006/relationships/image" Target="media/image8.jpeg"/><Relationship Id="rId266" Type="http://schemas.openxmlformats.org/officeDocument/2006/relationships/image" Target="media/image7.jpeg"/><Relationship Id="rId267" Type="http://schemas.openxmlformats.org/officeDocument/2006/relationships/image" Target="media/image8.jpeg"/><Relationship Id="rId268" Type="http://schemas.openxmlformats.org/officeDocument/2006/relationships/image" Target="media/image7.jpeg"/><Relationship Id="rId269" Type="http://schemas.openxmlformats.org/officeDocument/2006/relationships/image" Target="media/image8.jpeg"/><Relationship Id="rId270" Type="http://schemas.openxmlformats.org/officeDocument/2006/relationships/image" Target="media/image7.jpeg"/><Relationship Id="rId271" Type="http://schemas.openxmlformats.org/officeDocument/2006/relationships/image" Target="media/image8.jpeg"/><Relationship Id="rId272" Type="http://schemas.openxmlformats.org/officeDocument/2006/relationships/image" Target="media/image7.jpeg"/><Relationship Id="rId273" Type="http://schemas.openxmlformats.org/officeDocument/2006/relationships/image" Target="media/image8.jpeg"/><Relationship Id="rId274" Type="http://schemas.openxmlformats.org/officeDocument/2006/relationships/image" Target="media/image7.jpeg"/><Relationship Id="rId275" Type="http://schemas.openxmlformats.org/officeDocument/2006/relationships/image" Target="media/image8.jpeg"/><Relationship Id="rId276" Type="http://schemas.openxmlformats.org/officeDocument/2006/relationships/image" Target="media/image7.jpeg"/><Relationship Id="rId277" Type="http://schemas.openxmlformats.org/officeDocument/2006/relationships/image" Target="media/image8.jpeg"/><Relationship Id="rId278" Type="http://schemas.openxmlformats.org/officeDocument/2006/relationships/image" Target="media/image7.jpeg"/><Relationship Id="rId279" Type="http://schemas.openxmlformats.org/officeDocument/2006/relationships/image" Target="media/image8.jpeg"/><Relationship Id="rId280" Type="http://schemas.openxmlformats.org/officeDocument/2006/relationships/image" Target="media/image7.jpeg"/><Relationship Id="rId281" Type="http://schemas.openxmlformats.org/officeDocument/2006/relationships/image" Target="media/image8.jpeg"/><Relationship Id="rId282" Type="http://schemas.openxmlformats.org/officeDocument/2006/relationships/image" Target="media/image7.jpeg"/><Relationship Id="rId283" Type="http://schemas.openxmlformats.org/officeDocument/2006/relationships/image" Target="media/image8.jpeg"/><Relationship Id="rId284" Type="http://schemas.openxmlformats.org/officeDocument/2006/relationships/image" Target="media/image7.jpeg"/><Relationship Id="rId285" Type="http://schemas.openxmlformats.org/officeDocument/2006/relationships/image" Target="media/image8.jpeg"/><Relationship Id="rId286" Type="http://schemas.openxmlformats.org/officeDocument/2006/relationships/image" Target="media/image7.jpeg"/><Relationship Id="rId287" Type="http://schemas.openxmlformats.org/officeDocument/2006/relationships/image" Target="media/image8.jpeg"/><Relationship Id="rId288" Type="http://schemas.openxmlformats.org/officeDocument/2006/relationships/image" Target="media/image7.jpeg"/><Relationship Id="rId289" Type="http://schemas.openxmlformats.org/officeDocument/2006/relationships/image" Target="media/image8.jpeg"/><Relationship Id="rId290" Type="http://schemas.openxmlformats.org/officeDocument/2006/relationships/image" Target="media/image7.jpeg"/><Relationship Id="rId291" Type="http://schemas.openxmlformats.org/officeDocument/2006/relationships/image" Target="media/image8.jpeg"/><Relationship Id="rId292" Type="http://schemas.openxmlformats.org/officeDocument/2006/relationships/image" Target="media/image7.jpeg"/><Relationship Id="rId293" Type="http://schemas.openxmlformats.org/officeDocument/2006/relationships/image" Target="media/image8.jpeg"/><Relationship Id="rId294" Type="http://schemas.openxmlformats.org/officeDocument/2006/relationships/image" Target="media/image7.jpeg"/><Relationship Id="rId295" Type="http://schemas.openxmlformats.org/officeDocument/2006/relationships/image" Target="media/image8.jpeg"/><Relationship Id="rId296" Type="http://schemas.openxmlformats.org/officeDocument/2006/relationships/image" Target="media/image7.jpeg"/><Relationship Id="rId297" Type="http://schemas.openxmlformats.org/officeDocument/2006/relationships/image" Target="media/image8.jpeg"/><Relationship Id="rId298" Type="http://schemas.openxmlformats.org/officeDocument/2006/relationships/image" Target="media/image7.jpeg"/><Relationship Id="rId299" Type="http://schemas.openxmlformats.org/officeDocument/2006/relationships/image" Target="media/image8.jpeg"/><Relationship Id="rId300" Type="http://schemas.openxmlformats.org/officeDocument/2006/relationships/image" Target="media/image7.jpeg"/><Relationship Id="rId301" Type="http://schemas.openxmlformats.org/officeDocument/2006/relationships/image" Target="media/image8.jpeg"/><Relationship Id="rId302" Type="http://schemas.openxmlformats.org/officeDocument/2006/relationships/image" Target="media/image7.jpeg"/><Relationship Id="rId303" Type="http://schemas.openxmlformats.org/officeDocument/2006/relationships/image" Target="media/image8.jpeg"/><Relationship Id="rId304" Type="http://schemas.openxmlformats.org/officeDocument/2006/relationships/image" Target="media/image7.jpeg"/><Relationship Id="rId305" Type="http://schemas.openxmlformats.org/officeDocument/2006/relationships/image" Target="media/image8.jpeg"/><Relationship Id="rId306" Type="http://schemas.openxmlformats.org/officeDocument/2006/relationships/image" Target="media/image7.jpeg"/><Relationship Id="rId307" Type="http://schemas.openxmlformats.org/officeDocument/2006/relationships/image" Target="media/image8.jpeg"/><Relationship Id="rId308" Type="http://schemas.openxmlformats.org/officeDocument/2006/relationships/image" Target="media/image7.jpeg"/><Relationship Id="rId309" Type="http://schemas.openxmlformats.org/officeDocument/2006/relationships/image" Target="media/image8.jpeg"/><Relationship Id="rId310" Type="http://schemas.openxmlformats.org/officeDocument/2006/relationships/image" Target="media/image7.jpeg"/><Relationship Id="rId311" Type="http://schemas.openxmlformats.org/officeDocument/2006/relationships/image" Target="media/image8.jpeg"/><Relationship Id="rId312" Type="http://schemas.openxmlformats.org/officeDocument/2006/relationships/image" Target="media/image7.jpeg"/><Relationship Id="rId313" Type="http://schemas.openxmlformats.org/officeDocument/2006/relationships/image" Target="media/image8.jpeg"/><Relationship Id="rId314" Type="http://schemas.openxmlformats.org/officeDocument/2006/relationships/image" Target="media/image7.jpeg"/><Relationship Id="rId315" Type="http://schemas.openxmlformats.org/officeDocument/2006/relationships/image" Target="media/image8.jpeg"/><Relationship Id="rId316" Type="http://schemas.openxmlformats.org/officeDocument/2006/relationships/image" Target="media/image7.jpeg"/><Relationship Id="rId317" Type="http://schemas.openxmlformats.org/officeDocument/2006/relationships/image" Target="media/image8.jpeg"/><Relationship Id="rId318" Type="http://schemas.openxmlformats.org/officeDocument/2006/relationships/image" Target="media/image7.jpeg"/><Relationship Id="rId319" Type="http://schemas.openxmlformats.org/officeDocument/2006/relationships/image" Target="media/image8.jpeg"/><Relationship Id="rId320" Type="http://schemas.openxmlformats.org/officeDocument/2006/relationships/image" Target="media/image7.jpeg"/><Relationship Id="rId321" Type="http://schemas.openxmlformats.org/officeDocument/2006/relationships/image" Target="media/image8.jpeg"/><Relationship Id="rId322" Type="http://schemas.openxmlformats.org/officeDocument/2006/relationships/image" Target="media/image7.jpeg"/><Relationship Id="rId323" Type="http://schemas.openxmlformats.org/officeDocument/2006/relationships/image" Target="media/image8.jpeg"/><Relationship Id="rId324" Type="http://schemas.openxmlformats.org/officeDocument/2006/relationships/image" Target="media/image7.jpeg"/><Relationship Id="rId325" Type="http://schemas.openxmlformats.org/officeDocument/2006/relationships/image" Target="media/image8.jpeg"/><Relationship Id="rId326" Type="http://schemas.openxmlformats.org/officeDocument/2006/relationships/image" Target="media/image7.jpeg"/><Relationship Id="rId327" Type="http://schemas.openxmlformats.org/officeDocument/2006/relationships/image" Target="media/image8.jpeg"/><Relationship Id="rId328" Type="http://schemas.openxmlformats.org/officeDocument/2006/relationships/image" Target="media/image7.jpeg"/><Relationship Id="rId329" Type="http://schemas.openxmlformats.org/officeDocument/2006/relationships/image" Target="media/image8.jpeg"/><Relationship Id="rId330" Type="http://schemas.openxmlformats.org/officeDocument/2006/relationships/image" Target="media/image7.jpeg"/><Relationship Id="rId331" Type="http://schemas.openxmlformats.org/officeDocument/2006/relationships/image" Target="media/image8.jpeg"/><Relationship Id="rId332" Type="http://schemas.openxmlformats.org/officeDocument/2006/relationships/image" Target="media/image7.jpeg"/><Relationship Id="rId333" Type="http://schemas.openxmlformats.org/officeDocument/2006/relationships/image" Target="media/image8.jpeg"/><Relationship Id="rId334" Type="http://schemas.openxmlformats.org/officeDocument/2006/relationships/image" Target="media/image7.jpeg"/><Relationship Id="rId335" Type="http://schemas.openxmlformats.org/officeDocument/2006/relationships/image" Target="media/image8.jpeg"/><Relationship Id="rId336" Type="http://schemas.openxmlformats.org/officeDocument/2006/relationships/image" Target="media/image7.jpeg"/><Relationship Id="rId337" Type="http://schemas.openxmlformats.org/officeDocument/2006/relationships/image" Target="media/image8.jpeg"/><Relationship Id="rId338" Type="http://schemas.openxmlformats.org/officeDocument/2006/relationships/image" Target="media/image7.jpeg"/><Relationship Id="rId339" Type="http://schemas.openxmlformats.org/officeDocument/2006/relationships/image" Target="media/image8.jpeg"/><Relationship Id="rId340" Type="http://schemas.openxmlformats.org/officeDocument/2006/relationships/image" Target="media/image7.jpeg"/><Relationship Id="rId341" Type="http://schemas.openxmlformats.org/officeDocument/2006/relationships/image" Target="media/image8.jpeg"/><Relationship Id="rId342" Type="http://schemas.openxmlformats.org/officeDocument/2006/relationships/image" Target="media/image7.jpeg"/><Relationship Id="rId343" Type="http://schemas.openxmlformats.org/officeDocument/2006/relationships/image" Target="media/image8.jpeg"/><Relationship Id="rId344" Type="http://schemas.openxmlformats.org/officeDocument/2006/relationships/image" Target="media/image7.jpeg"/><Relationship Id="rId345" Type="http://schemas.openxmlformats.org/officeDocument/2006/relationships/image" Target="media/image8.jpeg"/><Relationship Id="rId346" Type="http://schemas.openxmlformats.org/officeDocument/2006/relationships/image" Target="media/image7.jpeg"/><Relationship Id="rId347" Type="http://schemas.openxmlformats.org/officeDocument/2006/relationships/image" Target="media/image8.jpeg"/><Relationship Id="rId348" Type="http://schemas.openxmlformats.org/officeDocument/2006/relationships/image" Target="media/image7.jpeg"/><Relationship Id="rId349" Type="http://schemas.openxmlformats.org/officeDocument/2006/relationships/image" Target="media/image8.jpeg"/><Relationship Id="rId350" Type="http://schemas.openxmlformats.org/officeDocument/2006/relationships/image" Target="media/image28.jpeg"/><Relationship Id="rId351" Type="http://schemas.openxmlformats.org/officeDocument/2006/relationships/image" Target="media/image29.jpeg"/><Relationship Id="rId352" Type="http://schemas.openxmlformats.org/officeDocument/2006/relationships/image" Target="media/image30.jpeg"/><Relationship Id="rId353" Type="http://schemas.openxmlformats.org/officeDocument/2006/relationships/fontTable" Target="fontTable.xml"/><Relationship Id="rId3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92098</Words>
  <Characters>488781</Characters>
  <CharactersWithSpaces>602949</CharactersWithSpaces>
  <Paragraphs>22258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