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 4, 2022</w:t>
      </w:r>
    </w:p>
    <w:p>
      <w:pPr>
        <w:spacing w:after="0" w:line="287" w:lineRule="exact"/>
        <w:rPr>
          <w:sz w:val="24"/>
          <w:szCs w:val="24"/>
          <w:color w:val="auto"/>
        </w:rPr>
      </w:pPr>
    </w:p>
    <w:p>
      <w:pPr>
        <w:ind w:right="2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March 31, 2022, which was filed with the Securities and Exchange Commission on May 4, 2022. The disclosure can be found within Part II, Item 5. </w:t>
      </w: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xml:space="preserve"> in the Quarterly Report on Form 10-Q.</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27940</wp:posOffset>
            </wp:positionV>
            <wp:extent cx="5203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5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Damien McDonald</w:t>
      </w:r>
    </w:p>
    <w:p>
      <w:pPr>
        <w:spacing w:after="0" w:line="5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2022-05-04T12:57:14Z</dcterms:created>
  <dcterms:modified xsi:type="dcterms:W3CDTF">2022-05-04T12:57:14Z</dcterms:modified>
</cp:coreProperties>
</file>