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1719" w:firstLine="648"/>
        <w:spacing w:after="0" w:line="253" w:lineRule="auto"/>
        <w:rPr>
          <w:sz w:val="20"/>
          <w:szCs w:val="20"/>
          <w:color w:val="auto"/>
        </w:rPr>
      </w:pPr>
      <w:r>
        <w:rPr>
          <w:rFonts w:ascii="Times New Roman" w:cs="Times New Roman" w:eastAsia="Times New Roman" w:hAnsi="Times New Roman"/>
          <w:sz w:val="18"/>
          <w:szCs w:val="18"/>
          <w:color w:val="auto"/>
        </w:rPr>
        <w:t>On November 23, 2022, LivaNova PLC (the “Company”) learned that the independent Statistical Analysis Committee advised that trial enrollment in the Company’s RECOVER difficult-to-treat depression trial should continue on from 400 to 425 unipolar patients, in line with the protocol. As has been previously discussed, the study was designed with frequent interim analyses, which occur every 25 patients. The interim analysis assesses if predictive probability of success has been reached for the unipolar cohort of the study, at which point the randomized controlled trial enrollment will cease and future patients will be enrolled into the prospective open label longitudinal study for that cohort. After the last patient enrolled into the RCT has completed 12 months of follow-up, a final analysis will be conducted on the complete dataset for that respective cohort. The trial, if successful, will be used to support a peer-reviewed article and reconsideration of reimbursement for VNS Therapy™ by the U.S. Centers for Medicare &amp; Medicaid Services for the treatment of depression that is difficult to treat.</w:t>
      </w:r>
    </w:p>
    <w:p>
      <w:pPr>
        <w:spacing w:after="0" w:line="221" w:lineRule="exact"/>
        <w:rPr>
          <w:sz w:val="20"/>
          <w:szCs w:val="20"/>
          <w:color w:val="auto"/>
        </w:rPr>
      </w:pPr>
    </w:p>
    <w:p>
      <w:pPr>
        <w:ind w:right="1779" w:firstLine="648"/>
        <w:spacing w:after="0" w:line="256"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 by specific reference in such filing that such information is to be considered “filed” or incorporated by reference therein.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Times New Roman" w:cs="Times New Roman" w:eastAsia="Times New Roman" w:hAnsi="Times New Roman"/>
          <w:sz w:val="18"/>
          <w:szCs w:val="18"/>
          <w:color w:val="auto"/>
        </w:rPr>
        <w:t>Date: November 28,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Chief Legal Officer</w:t>
      </w:r>
    </w:p>
    <w:sectPr>
      <w:pgSz w:w="11900" w:h="16838" w:orient="portrait"/>
      <w:cols w:equalWidth="0" w:num="1">
        <w:col w:w="10940"/>
      </w:cols>
      <w:pgMar w:left="320" w:top="10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2022-11-28T07:03:02Z</dcterms:created>
  <dcterms:modified xsi:type="dcterms:W3CDTF">2022-11-28T07:03:02Z</dcterms:modified>
</cp:coreProperties>
</file>