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Times New Roman" w:cs="Times New Roman" w:eastAsia="Times New Roman" w:hAnsi="Times New Roman"/>
          <w:sz w:val="16"/>
          <w:szCs w:val="16"/>
          <w:b w:val="1"/>
          <w:bCs w:val="1"/>
          <w:color w:val="auto"/>
        </w:rPr>
        <w:t>UNITED STATES</w:t>
      </w:r>
    </w:p>
    <w:p>
      <w:pPr>
        <w:ind w:left="3980"/>
        <w:spacing w:after="0" w:line="193" w:lineRule="auto"/>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line="207" w:lineRule="auto"/>
        <w:rPr>
          <w:sz w:val="20"/>
          <w:szCs w:val="20"/>
          <w:color w:val="auto"/>
        </w:rPr>
      </w:pPr>
      <w:r>
        <w:rPr>
          <w:rFonts w:ascii="Times New Roman" w:cs="Times New Roman" w:eastAsia="Times New Roman" w:hAnsi="Times New Roman"/>
          <w:sz w:val="16"/>
          <w:szCs w:val="16"/>
          <w:b w:val="1"/>
          <w:bCs w:val="1"/>
          <w:color w:val="auto"/>
        </w:rPr>
        <w:t>Washington, D.C. 20549</w:t>
      </w:r>
    </w:p>
    <w:p>
      <w:pPr>
        <w:ind w:left="5120"/>
        <w:spacing w:after="0"/>
        <w:rPr>
          <w:sz w:val="20"/>
          <w:szCs w:val="20"/>
          <w:color w:val="auto"/>
        </w:rPr>
      </w:pPr>
      <w:r>
        <w:rPr>
          <w:rFonts w:ascii="Times New Roman" w:cs="Times New Roman" w:eastAsia="Times New Roman" w:hAnsi="Times New Roman"/>
          <w:sz w:val="8"/>
          <w:szCs w:val="8"/>
          <w:color w:val="auto"/>
        </w:rPr>
        <w:t>_________________________</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(Mark One)</w:t>
      </w:r>
    </w:p>
    <w:p>
      <w:pPr>
        <w:spacing w:after="0" w:line="124" w:lineRule="exact"/>
        <w:rPr>
          <w:sz w:val="24"/>
          <w:szCs w:val="24"/>
          <w:color w:val="auto"/>
        </w:rPr>
      </w:pPr>
    </w:p>
    <w:p>
      <w:pPr>
        <w:ind w:left="4500" w:right="2380" w:hanging="2039"/>
        <w:spacing w:after="0" w:line="196" w:lineRule="auto"/>
        <w:tabs>
          <w:tab w:leader="none" w:pos="2690" w:val="left"/>
        </w:tabs>
        <w:numPr>
          <w:ilvl w:val="1"/>
          <w:numId w:val="1"/>
        </w:numPr>
        <w:rPr>
          <w:rFonts w:ascii="MS PGothic" w:cs="MS PGothic" w:eastAsia="MS PGothic" w:hAnsi="MS PGothic"/>
          <w:sz w:val="25"/>
          <w:szCs w:val="25"/>
          <w:color w:val="auto"/>
          <w:vertAlign w:val="superscript"/>
        </w:rPr>
      </w:pPr>
      <w:r>
        <w:rPr>
          <w:rFonts w:ascii="Times New Roman" w:cs="Times New Roman" w:eastAsia="Times New Roman" w:hAnsi="Times New Roman"/>
          <w:sz w:val="13"/>
          <w:szCs w:val="13"/>
          <w:b w:val="1"/>
          <w:bCs w:val="1"/>
          <w:color w:val="auto"/>
        </w:rPr>
        <w:t xml:space="preserve">ANNUAL REPORT PURSUANT TO SECTION 13 OR 15(d) OF THE SECURITIES EXCHANGE ACT OF 1934 </w:t>
      </w:r>
      <w:r>
        <w:rPr>
          <w:rFonts w:ascii="Times New Roman" w:cs="Times New Roman" w:eastAsia="Times New Roman" w:hAnsi="Times New Roman"/>
          <w:sz w:val="13"/>
          <w:szCs w:val="13"/>
          <w:color w:val="auto"/>
        </w:rPr>
        <w:t>For the fiscal year ended December 31, 2024</w:t>
      </w:r>
    </w:p>
    <w:p>
      <w:pPr>
        <w:ind w:left="5580"/>
        <w:spacing w:after="0"/>
        <w:rPr>
          <w:rFonts w:ascii="MS PGothic" w:cs="MS PGothic" w:eastAsia="MS PGothic" w:hAnsi="MS PGothic"/>
          <w:sz w:val="25"/>
          <w:szCs w:val="25"/>
          <w:color w:val="auto"/>
          <w:vertAlign w:val="superscript"/>
        </w:rPr>
      </w:pPr>
      <w:r>
        <w:rPr>
          <w:rFonts w:ascii="Times New Roman" w:cs="Times New Roman" w:eastAsia="Times New Roman" w:hAnsi="Times New Roman"/>
          <w:sz w:val="13"/>
          <w:szCs w:val="13"/>
          <w:b w:val="1"/>
          <w:bCs w:val="1"/>
          <w:color w:val="auto"/>
        </w:rPr>
        <w:t>or</w:t>
      </w:r>
    </w:p>
    <w:p>
      <w:pPr>
        <w:spacing w:after="0" w:line="118" w:lineRule="exact"/>
        <w:rPr>
          <w:rFonts w:ascii="MS PGothic" w:cs="MS PGothic" w:eastAsia="MS PGothic" w:hAnsi="MS PGothic"/>
          <w:sz w:val="25"/>
          <w:szCs w:val="25"/>
          <w:color w:val="auto"/>
          <w:vertAlign w:val="superscript"/>
        </w:rPr>
      </w:pPr>
    </w:p>
    <w:p>
      <w:pPr>
        <w:ind w:left="4400" w:right="2240" w:hanging="2070"/>
        <w:spacing w:after="0" w:line="196" w:lineRule="auto"/>
        <w:tabs>
          <w:tab w:leader="none" w:pos="2550" w:val="left"/>
        </w:tabs>
        <w:numPr>
          <w:ilvl w:val="0"/>
          <w:numId w:val="1"/>
        </w:numPr>
        <w:rPr>
          <w:rFonts w:ascii="MS PGothic" w:cs="MS PGothic" w:eastAsia="MS PGothic" w:hAnsi="MS PGothic"/>
          <w:sz w:val="25"/>
          <w:szCs w:val="25"/>
          <w:color w:val="auto"/>
          <w:vertAlign w:val="superscript"/>
        </w:rPr>
      </w:pPr>
      <w:r>
        <w:rPr>
          <w:rFonts w:ascii="Times New Roman" w:cs="Times New Roman" w:eastAsia="Times New Roman" w:hAnsi="Times New Roman"/>
          <w:sz w:val="13"/>
          <w:szCs w:val="13"/>
          <w:b w:val="1"/>
          <w:bCs w:val="1"/>
          <w:color w:val="auto"/>
        </w:rPr>
        <w:t xml:space="preserve">TRANSITION REPORT PURSUANT TO SECTION 13 OR 15(d) OF THE SECURITIES EXCHANGE ACT OF 1934 </w:t>
      </w:r>
      <w:r>
        <w:rPr>
          <w:rFonts w:ascii="Times New Roman" w:cs="Times New Roman" w:eastAsia="Times New Roman" w:hAnsi="Times New Roman"/>
          <w:sz w:val="13"/>
          <w:szCs w:val="13"/>
          <w:color w:val="auto"/>
        </w:rPr>
        <w:t>For the transition period from ______ to 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2832735</wp:posOffset>
            </wp:positionH>
            <wp:positionV relativeFrom="paragraph">
              <wp:posOffset>13970</wp:posOffset>
            </wp:positionV>
            <wp:extent cx="1509395" cy="3365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9395" cy="33655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LivaNova PLC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(Exact name of registrant as specified in its charter)</w:t>
      </w:r>
    </w:p>
    <w:p>
      <w:pPr>
        <w:spacing w:after="0" w:line="1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b w:val="1"/>
          <w:bCs w:val="1"/>
          <w:color w:val="auto"/>
        </w:rPr>
        <w:t xml:space="preserve">England and Wales </w:t>
      </w:r>
      <w:r>
        <w:rPr>
          <w:rFonts w:ascii="Times New Roman" w:cs="Times New Roman" w:eastAsia="Times New Roman" w:hAnsi="Times New Roman"/>
          <w:sz w:val="11"/>
          <w:szCs w:val="11"/>
          <w:i w:val="1"/>
          <w:iCs w:val="1"/>
          <w:color w:val="FFFFFF"/>
        </w:rPr>
        <w:t>...................</w:t>
      </w:r>
      <w:r>
        <w:rPr>
          <w:rFonts w:ascii="Times New Roman" w:cs="Times New Roman" w:eastAsia="Times New Roman" w:hAnsi="Times New Roman"/>
          <w:sz w:val="11"/>
          <w:szCs w:val="11"/>
          <w:b w:val="1"/>
          <w:bCs w:val="1"/>
          <w:color w:val="auto"/>
        </w:rPr>
        <w:t xml:space="preserve"> 98-1268150</w:t>
      </w:r>
    </w:p>
    <w:p>
      <w:pPr>
        <w:spacing w:after="0" w:line="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1"/>
          <w:szCs w:val="11"/>
          <w:i w:val="1"/>
          <w:iCs w:val="1"/>
          <w:color w:val="auto"/>
        </w:rPr>
        <w:t xml:space="preserve">(State or other jurisdiction of </w:t>
      </w:r>
      <w:r>
        <w:rPr>
          <w:rFonts w:ascii="Times New Roman" w:cs="Times New Roman" w:eastAsia="Times New Roman" w:hAnsi="Times New Roman"/>
          <w:sz w:val="11"/>
          <w:szCs w:val="11"/>
          <w:i w:val="1"/>
          <w:iCs w:val="1"/>
          <w:color w:val="FFFFFF"/>
        </w:rPr>
        <w:t>..........</w:t>
      </w:r>
      <w:r>
        <w:rPr>
          <w:rFonts w:ascii="Times New Roman" w:cs="Times New Roman" w:eastAsia="Times New Roman" w:hAnsi="Times New Roman"/>
          <w:sz w:val="11"/>
          <w:szCs w:val="11"/>
          <w:i w:val="1"/>
          <w:iCs w:val="1"/>
          <w:color w:val="auto"/>
        </w:rPr>
        <w:t xml:space="preserve"> (I.R.S. Employer</w:t>
      </w: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1"/>
          <w:szCs w:val="11"/>
          <w:i w:val="1"/>
          <w:iCs w:val="1"/>
          <w:color w:val="auto"/>
        </w:rPr>
        <w:t xml:space="preserve">incorporation or organization) </w:t>
      </w:r>
      <w:r>
        <w:rPr>
          <w:rFonts w:ascii="Times New Roman" w:cs="Times New Roman" w:eastAsia="Times New Roman" w:hAnsi="Times New Roman"/>
          <w:sz w:val="11"/>
          <w:szCs w:val="11"/>
          <w:i w:val="1"/>
          <w:iCs w:val="1"/>
          <w:color w:val="FFFFFF"/>
        </w:rPr>
        <w:t>........</w:t>
      </w:r>
      <w:r>
        <w:rPr>
          <w:rFonts w:ascii="Times New Roman" w:cs="Times New Roman" w:eastAsia="Times New Roman" w:hAnsi="Times New Roman"/>
          <w:sz w:val="11"/>
          <w:szCs w:val="11"/>
          <w:i w:val="1"/>
          <w:iCs w:val="1"/>
          <w:color w:val="auto"/>
        </w:rPr>
        <w:t xml:space="preserve"> Identification No.)</w:t>
      </w:r>
    </w:p>
    <w:p>
      <w:pPr>
        <w:spacing w:after="0" w:line="1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1"/>
          <w:szCs w:val="11"/>
          <w:b w:val="1"/>
          <w:bCs w:val="1"/>
          <w:color w:val="auto"/>
        </w:rPr>
        <w:t>20 Eastbourne Terrace, London, United Kingdom</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b w:val="1"/>
          <w:bCs w:val="1"/>
          <w:color w:val="auto"/>
        </w:rPr>
        <w:t xml:space="preserve"> W2 6LG</w:t>
      </w:r>
    </w:p>
    <w:p>
      <w:pPr>
        <w:spacing w:after="0" w:line="1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1"/>
          <w:szCs w:val="11"/>
          <w:i w:val="1"/>
          <w:iCs w:val="1"/>
          <w:color w:val="auto"/>
        </w:rPr>
        <w:t xml:space="preserve">(Address of principal executive offices) </w:t>
      </w:r>
      <w:r>
        <w:rPr>
          <w:rFonts w:ascii="Times New Roman" w:cs="Times New Roman" w:eastAsia="Times New Roman" w:hAnsi="Times New Roman"/>
          <w:sz w:val="11"/>
          <w:szCs w:val="11"/>
          <w:i w:val="1"/>
          <w:iCs w:val="1"/>
          <w:color w:val="FFFFFF"/>
        </w:rPr>
        <w:t>.......................</w:t>
      </w:r>
      <w:r>
        <w:rPr>
          <w:rFonts w:ascii="Times New Roman" w:cs="Times New Roman" w:eastAsia="Times New Roman" w:hAnsi="Times New Roman"/>
          <w:sz w:val="11"/>
          <w:szCs w:val="11"/>
          <w:i w:val="1"/>
          <w:iCs w:val="1"/>
          <w:color w:val="auto"/>
        </w:rPr>
        <w:t xml:space="preserve"> (Zip Code)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 xml:space="preserve">Registrant’s telephone number, including area code: </w:t>
      </w:r>
      <w:r>
        <w:rPr>
          <w:rFonts w:ascii="Times New Roman" w:cs="Times New Roman" w:eastAsia="Times New Roman" w:hAnsi="Times New Roman"/>
          <w:sz w:val="11"/>
          <w:szCs w:val="11"/>
          <w:b w:val="1"/>
          <w:bCs w:val="1"/>
          <w:color w:val="auto"/>
        </w:rPr>
        <w:t>(44) (0) 203 325-0660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86995</wp:posOffset>
            </wp:positionV>
            <wp:extent cx="712978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9780" cy="13335"/>
                    </a:xfrm>
                    <a:prstGeom prst="rect">
                      <a:avLst/>
                    </a:prstGeom>
                    <a:noFill/>
                  </pic:spPr>
                </pic:pic>
              </a:graphicData>
            </a:graphic>
          </wp:anchor>
        </w:drawing>
      </w:r>
    </w:p>
    <w:p>
      <w:pPr>
        <w:spacing w:after="0" w:line="205" w:lineRule="exact"/>
        <w:rPr>
          <w:sz w:val="24"/>
          <w:szCs w:val="24"/>
          <w:color w:val="auto"/>
        </w:rPr>
      </w:pPr>
    </w:p>
    <w:tbl>
      <w:tblPr>
        <w:tblLayout w:type="fixed"/>
        <w:tblInd w:w="2000" w:type="dxa"/>
        <w:tblCellMar>
          <w:top w:w="0" w:type="dxa"/>
          <w:left w:w="0" w:type="dxa"/>
          <w:bottom w:w="0" w:type="dxa"/>
          <w:right w:w="0" w:type="dxa"/>
        </w:tblCellMar>
      </w:tblPr>
      <w:tr>
        <w:trPr>
          <w:trHeight w:val="147"/>
        </w:trPr>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18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200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Title of each class</w:t>
            </w:r>
          </w:p>
        </w:tc>
        <w:tc>
          <w:tcPr>
            <w:tcW w:w="720" w:type="dxa"/>
            <w:vAlign w:val="bottom"/>
          </w:tcPr>
          <w:p>
            <w:pPr>
              <w:spacing w:after="0"/>
              <w:rPr>
                <w:sz w:val="18"/>
                <w:szCs w:val="18"/>
                <w:color w:val="auto"/>
              </w:rPr>
            </w:pPr>
          </w:p>
        </w:tc>
        <w:tc>
          <w:tcPr>
            <w:tcW w:w="318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color w:val="auto"/>
              </w:rPr>
              <w:t>Trading Symbol(s)</w:t>
            </w: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20"/>
        </w:trPr>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73"/>
        </w:trPr>
        <w:tc>
          <w:tcPr>
            <w:tcW w:w="212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color w:val="auto"/>
              </w:rPr>
              <w:t>Ordinary Shares - £1.00 par value per share</w:t>
            </w:r>
          </w:p>
        </w:tc>
        <w:tc>
          <w:tcPr>
            <w:tcW w:w="1100" w:type="dxa"/>
            <w:vAlign w:val="bottom"/>
          </w:tcPr>
          <w:p>
            <w:pPr>
              <w:spacing w:after="0"/>
              <w:rPr>
                <w:sz w:val="15"/>
                <w:szCs w:val="15"/>
                <w:color w:val="auto"/>
              </w:rPr>
            </w:pPr>
          </w:p>
        </w:tc>
        <w:tc>
          <w:tcPr>
            <w:tcW w:w="2080" w:type="dxa"/>
            <w:vAlign w:val="bottom"/>
            <w:gridSpan w:val="3"/>
          </w:tcPr>
          <w:p>
            <w:pPr>
              <w:jc w:val="center"/>
              <w:ind w:right="1240"/>
              <w:spacing w:after="0"/>
              <w:rPr>
                <w:sz w:val="20"/>
                <w:szCs w:val="20"/>
                <w:color w:val="auto"/>
              </w:rPr>
            </w:pPr>
            <w:r>
              <w:rPr>
                <w:rFonts w:ascii="Times New Roman" w:cs="Times New Roman" w:eastAsia="Times New Roman" w:hAnsi="Times New Roman"/>
                <w:sz w:val="11"/>
                <w:szCs w:val="11"/>
                <w:color w:val="auto"/>
              </w:rPr>
              <w:t>LIVN</w:t>
            </w: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The Nasdaq Stock Market LLC</w:t>
            </w:r>
          </w:p>
        </w:tc>
      </w:tr>
      <w:tr>
        <w:trPr>
          <w:trHeight w:val="210"/>
        </w:trPr>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12(g) of the Act: None</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ind w:right="5240"/>
        <w:spacing w:after="0" w:line="170"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jc w:val="both"/>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jc w:val="both"/>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460" w:type="dxa"/>
            <w:vAlign w:val="bottom"/>
          </w:tcPr>
          <w:p>
            <w:pPr>
              <w:ind w:left="200"/>
              <w:spacing w:after="0" w:line="111" w:lineRule="exact"/>
              <w:rPr>
                <w:sz w:val="20"/>
                <w:szCs w:val="20"/>
                <w:color w:val="auto"/>
              </w:rPr>
            </w:pPr>
            <w:r>
              <w:rPr>
                <w:rFonts w:ascii="MS PGothic" w:cs="MS PGothic" w:eastAsia="MS PGothic" w:hAnsi="MS PGothic"/>
                <w:sz w:val="11"/>
                <w:szCs w:val="11"/>
                <w:color w:val="auto"/>
              </w:rPr>
              <w:t>☑</w:t>
            </w:r>
          </w:p>
        </w:tc>
        <w:tc>
          <w:tcPr>
            <w:tcW w:w="17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Accelerated filer</w:t>
            </w:r>
          </w:p>
        </w:tc>
        <w:tc>
          <w:tcPr>
            <w:tcW w:w="400" w:type="dxa"/>
            <w:vAlign w:val="bottom"/>
          </w:tcPr>
          <w:p>
            <w:pPr>
              <w:ind w:left="3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0"/>
        </w:trPr>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460" w:type="dxa"/>
            <w:vAlign w:val="bottom"/>
          </w:tcPr>
          <w:p>
            <w:pPr>
              <w:ind w:left="200"/>
              <w:spacing w:after="0" w:line="111" w:lineRule="exact"/>
              <w:rPr>
                <w:sz w:val="20"/>
                <w:szCs w:val="20"/>
                <w:color w:val="auto"/>
              </w:rPr>
            </w:pPr>
            <w:r>
              <w:rPr>
                <w:rFonts w:ascii="MS PGothic" w:cs="MS PGothic" w:eastAsia="MS PGothic" w:hAnsi="MS PGothic"/>
                <w:sz w:val="11"/>
                <w:szCs w:val="11"/>
                <w:color w:val="auto"/>
              </w:rPr>
              <w:t>☐</w:t>
            </w:r>
          </w:p>
        </w:tc>
        <w:tc>
          <w:tcPr>
            <w:tcW w:w="17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400" w:type="dxa"/>
            <w:vAlign w:val="bottom"/>
          </w:tcPr>
          <w:p>
            <w:pPr>
              <w:ind w:left="3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460" w:type="dxa"/>
            <w:vAlign w:val="bottom"/>
          </w:tcPr>
          <w:p>
            <w:pPr>
              <w:ind w:left="200"/>
              <w:spacing w:after="0" w:line="111" w:lineRule="exact"/>
              <w:rPr>
                <w:sz w:val="20"/>
                <w:szCs w:val="20"/>
                <w:color w:val="auto"/>
              </w:rPr>
            </w:pPr>
            <w:r>
              <w:rPr>
                <w:rFonts w:ascii="MS PGothic" w:cs="MS PGothic" w:eastAsia="MS PGothic" w:hAnsi="MS PGothic"/>
                <w:sz w:val="11"/>
                <w:szCs w:val="11"/>
                <w:color w:val="auto"/>
              </w:rPr>
              <w:t>☐</w:t>
            </w:r>
          </w:p>
        </w:tc>
        <w:tc>
          <w:tcPr>
            <w:tcW w:w="1720" w:type="dxa"/>
            <w:vAlign w:val="bottom"/>
          </w:tcPr>
          <w:p>
            <w:pPr>
              <w:spacing w:after="0"/>
              <w:rPr>
                <w:sz w:val="16"/>
                <w:szCs w:val="16"/>
                <w:color w:val="auto"/>
              </w:rPr>
            </w:pPr>
          </w:p>
        </w:tc>
        <w:tc>
          <w:tcPr>
            <w:tcW w:w="400" w:type="dxa"/>
            <w:vAlign w:val="bottom"/>
          </w:tcPr>
          <w:p>
            <w:pPr>
              <w:spacing w:after="0"/>
              <w:rPr>
                <w:sz w:val="16"/>
                <w:szCs w:val="16"/>
                <w:color w:val="auto"/>
              </w:rPr>
            </w:pPr>
          </w:p>
        </w:tc>
      </w:tr>
    </w:tbl>
    <w:p>
      <w:pPr>
        <w:spacing w:after="0" w:line="90" w:lineRule="exact"/>
        <w:rPr>
          <w:sz w:val="24"/>
          <w:szCs w:val="24"/>
          <w:color w:val="auto"/>
        </w:rPr>
      </w:pPr>
    </w:p>
    <w:p>
      <w:pPr>
        <w:jc w:val="both"/>
        <w:spacing w:after="0" w:line="152"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51" w:lineRule="exact"/>
        <w:rPr>
          <w:sz w:val="24"/>
          <w:szCs w:val="24"/>
          <w:color w:val="auto"/>
        </w:rPr>
      </w:pPr>
    </w:p>
    <w:p>
      <w:pPr>
        <w:jc w:val="both"/>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28" w:lineRule="exact"/>
        <w:rPr>
          <w:sz w:val="24"/>
          <w:szCs w:val="24"/>
          <w:color w:val="auto"/>
        </w:rPr>
      </w:pPr>
    </w:p>
    <w:p>
      <w:pPr>
        <w:jc w:val="both"/>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aggregate market value of the voting and non-voting common equity held by non-affiliates of the registrant was approximately $3.0 billion (based on the closing price of these shares on the Nasdaq Global Select Market on June 30, 2024, the last</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business day of the most recently completed second fiscal quarter). For purposes of this calculation, ordinary shares held by persons who hold more than 5% of the outstanding ordinary shares and shares held by executive officers and directors of the</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registrant have been excluded as such persons may be deemed to be affiliates.</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February 18, 2025, 54,351,765 ordinary shares were outstanding.</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35"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1"/>
          <w:szCs w:val="11"/>
          <w:color w:val="auto"/>
        </w:rPr>
        <w:t>Portions of the definitive proxy statement of LivaNova PLC for the 2025 Annual General Meeting of Shareholders, which will be filed within 120 days of December 31, 2024, are incorporated by reference into Part III of this Annual Report on Form 10-K.</w:t>
      </w:r>
    </w:p>
    <w:p>
      <w:pPr>
        <w:spacing w:after="0" w:line="39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82"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80" w:type="dxa"/>
            <w:vAlign w:val="bottom"/>
          </w:tcPr>
          <w:p>
            <w:pPr>
              <w:ind w:left="4080"/>
              <w:spacing w:after="0"/>
              <w:rPr>
                <w:sz w:val="20"/>
                <w:szCs w:val="20"/>
                <w:color w:val="auto"/>
              </w:rPr>
            </w:pPr>
            <w:r>
              <w:rPr>
                <w:rFonts w:ascii="Times New Roman" w:cs="Times New Roman" w:eastAsia="Times New Roman" w:hAnsi="Times New Roman"/>
                <w:sz w:val="17"/>
                <w:szCs w:val="17"/>
                <w:b w:val="1"/>
                <w:bCs w:val="1"/>
                <w:color w:val="auto"/>
              </w:rPr>
              <w:t>LIVANOVA PLC</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97"/>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80" w:type="dxa"/>
            <w:vAlign w:val="bottom"/>
          </w:tcPr>
          <w:p>
            <w:pPr>
              <w:ind w:left="38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9"/>
        </w:trPr>
        <w:tc>
          <w:tcPr>
            <w:tcW w:w="9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Item</w:t>
            </w: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tcPr>
          <w:p>
            <w:pPr>
              <w:spacing w:after="0"/>
              <w:rPr>
                <w:sz w:val="24"/>
                <w:szCs w:val="24"/>
                <w:color w:val="auto"/>
              </w:rPr>
            </w:pPr>
          </w:p>
        </w:tc>
        <w:tc>
          <w:tcPr>
            <w:tcW w:w="1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1"/>
        </w:trPr>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Definitions</w:t>
            </w:r>
          </w:p>
        </w:tc>
        <w:tc>
          <w:tcPr>
            <w:tcW w:w="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85"/>
              </w:rPr>
              <w:t>3</w:t>
            </w:r>
          </w:p>
        </w:tc>
      </w:tr>
      <w:tr>
        <w:trPr>
          <w:trHeight w:val="180"/>
        </w:trPr>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Intellectual Property, Trademarks, and Trade Names</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85"/>
              </w:rPr>
              <w:t>7</w:t>
            </w:r>
          </w:p>
        </w:tc>
      </w:tr>
      <w:tr>
        <w:trPr>
          <w:trHeight w:val="180"/>
        </w:trPr>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Cautionary Note About Forward-Looking Statements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85"/>
              </w:rPr>
              <w:t>8</w:t>
            </w:r>
          </w:p>
        </w:tc>
      </w:tr>
      <w:tr>
        <w:trPr>
          <w:trHeight w:val="180"/>
        </w:trPr>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r>
      <w:tr>
        <w:trPr>
          <w:trHeight w:val="171"/>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4"/>
              </w:rPr>
              <w:t>1.</w:t>
            </w:r>
          </w:p>
        </w:tc>
        <w:tc>
          <w:tcPr>
            <w:tcW w:w="80" w:type="dxa"/>
            <w:vAlign w:val="bottom"/>
            <w:shd w:val="clear" w:color="auto" w:fill="CCEEFF"/>
          </w:tcPr>
          <w:p>
            <w:pPr>
              <w:spacing w:after="0"/>
              <w:rPr>
                <w:sz w:val="14"/>
                <w:szCs w:val="14"/>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Business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85"/>
              </w:rPr>
              <w:t>9</w:t>
            </w:r>
          </w:p>
        </w:tc>
      </w:tr>
      <w:tr>
        <w:trPr>
          <w:trHeight w:val="180"/>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0000FF"/>
              </w:rPr>
              <w:t>1A.</w:t>
            </w: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Risk Factors</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19</w:t>
            </w:r>
          </w:p>
        </w:tc>
      </w:tr>
      <w:tr>
        <w:trPr>
          <w:trHeight w:val="180"/>
        </w:trPr>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0000FF"/>
              </w:rPr>
              <w:t>1B.</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33</w:t>
            </w:r>
          </w:p>
        </w:tc>
      </w:tr>
      <w:tr>
        <w:trPr>
          <w:trHeight w:val="180"/>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0000FF"/>
              </w:rPr>
              <w:t>1C.</w:t>
            </w: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Cybersecurity</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34</w:t>
            </w:r>
          </w:p>
        </w:tc>
      </w:tr>
      <w:tr>
        <w:trPr>
          <w:trHeight w:val="180"/>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4"/>
              </w:rPr>
              <w:t>2.</w:t>
            </w:r>
          </w:p>
        </w:tc>
        <w:tc>
          <w:tcPr>
            <w:tcW w:w="80" w:type="dxa"/>
            <w:vAlign w:val="bottom"/>
            <w:shd w:val="clear" w:color="auto" w:fill="CCEEFF"/>
          </w:tcPr>
          <w:p>
            <w:pPr>
              <w:spacing w:after="0"/>
              <w:rPr>
                <w:sz w:val="15"/>
                <w:szCs w:val="15"/>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Properties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35</w:t>
            </w:r>
          </w:p>
        </w:tc>
      </w:tr>
      <w:tr>
        <w:trPr>
          <w:trHeight w:val="180"/>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4"/>
              </w:rPr>
              <w:t>3.</w:t>
            </w:r>
          </w:p>
        </w:tc>
        <w:tc>
          <w:tcPr>
            <w:tcW w:w="80" w:type="dxa"/>
            <w:vAlign w:val="bottom"/>
          </w:tcPr>
          <w:p>
            <w:pPr>
              <w:spacing w:after="0"/>
              <w:rPr>
                <w:sz w:val="15"/>
                <w:szCs w:val="15"/>
                <w:color w:val="auto"/>
              </w:rPr>
            </w:pP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Legal Proceedings</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35</w:t>
            </w:r>
          </w:p>
        </w:tc>
      </w:tr>
      <w:tr>
        <w:trPr>
          <w:trHeight w:val="180"/>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4"/>
              </w:rPr>
              <w:t>4.</w:t>
            </w:r>
          </w:p>
        </w:tc>
        <w:tc>
          <w:tcPr>
            <w:tcW w:w="80" w:type="dxa"/>
            <w:vAlign w:val="bottom"/>
            <w:shd w:val="clear" w:color="auto" w:fill="CCEEFF"/>
          </w:tcPr>
          <w:p>
            <w:pPr>
              <w:spacing w:after="0"/>
              <w:rPr>
                <w:sz w:val="15"/>
                <w:szCs w:val="15"/>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35</w:t>
            </w:r>
          </w:p>
        </w:tc>
      </w:tr>
      <w:tr>
        <w:trPr>
          <w:trHeight w:val="180"/>
        </w:trPr>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r>
      <w:tr>
        <w:trPr>
          <w:trHeight w:val="171"/>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4"/>
              </w:rPr>
              <w:t>5.</w:t>
            </w:r>
          </w:p>
        </w:tc>
        <w:tc>
          <w:tcPr>
            <w:tcW w:w="80" w:type="dxa"/>
            <w:vAlign w:val="bottom"/>
            <w:shd w:val="clear" w:color="auto" w:fill="CCEEFF"/>
          </w:tcPr>
          <w:p>
            <w:pPr>
              <w:spacing w:after="0"/>
              <w:rPr>
                <w:sz w:val="14"/>
                <w:szCs w:val="14"/>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36</w:t>
            </w:r>
          </w:p>
        </w:tc>
      </w:tr>
      <w:tr>
        <w:trPr>
          <w:trHeight w:val="180"/>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4"/>
              </w:rPr>
              <w:t>6.</w:t>
            </w:r>
          </w:p>
        </w:tc>
        <w:tc>
          <w:tcPr>
            <w:tcW w:w="80" w:type="dxa"/>
            <w:vAlign w:val="bottom"/>
          </w:tcPr>
          <w:p>
            <w:pPr>
              <w:spacing w:after="0"/>
              <w:rPr>
                <w:sz w:val="15"/>
                <w:szCs w:val="15"/>
                <w:color w:val="auto"/>
              </w:rPr>
            </w:pP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[Reserved]</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36</w:t>
            </w:r>
          </w:p>
        </w:tc>
      </w:tr>
      <w:tr>
        <w:trPr>
          <w:trHeight w:val="180"/>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4"/>
              </w:rPr>
              <w:t>7.</w:t>
            </w:r>
          </w:p>
        </w:tc>
        <w:tc>
          <w:tcPr>
            <w:tcW w:w="80" w:type="dxa"/>
            <w:vAlign w:val="bottom"/>
            <w:shd w:val="clear" w:color="auto" w:fill="CCEEFF"/>
          </w:tcPr>
          <w:p>
            <w:pPr>
              <w:spacing w:after="0"/>
              <w:rPr>
                <w:sz w:val="15"/>
                <w:szCs w:val="15"/>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37</w:t>
            </w:r>
          </w:p>
        </w:tc>
      </w:tr>
      <w:tr>
        <w:trPr>
          <w:trHeight w:val="180"/>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0000FF"/>
              </w:rPr>
              <w:t>7A.</w:t>
            </w: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47</w:t>
            </w:r>
          </w:p>
        </w:tc>
      </w:tr>
      <w:tr>
        <w:trPr>
          <w:trHeight w:val="180"/>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4"/>
              </w:rPr>
              <w:t>8.</w:t>
            </w:r>
          </w:p>
        </w:tc>
        <w:tc>
          <w:tcPr>
            <w:tcW w:w="80" w:type="dxa"/>
            <w:vAlign w:val="bottom"/>
            <w:shd w:val="clear" w:color="auto" w:fill="CCEEFF"/>
          </w:tcPr>
          <w:p>
            <w:pPr>
              <w:spacing w:after="0"/>
              <w:rPr>
                <w:sz w:val="15"/>
                <w:szCs w:val="15"/>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47</w:t>
            </w:r>
          </w:p>
        </w:tc>
      </w:tr>
      <w:tr>
        <w:trPr>
          <w:trHeight w:val="180"/>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4"/>
              </w:rPr>
              <w:t>9.</w:t>
            </w:r>
          </w:p>
        </w:tc>
        <w:tc>
          <w:tcPr>
            <w:tcW w:w="80" w:type="dxa"/>
            <w:vAlign w:val="bottom"/>
          </w:tcPr>
          <w:p>
            <w:pPr>
              <w:spacing w:after="0"/>
              <w:rPr>
                <w:sz w:val="15"/>
                <w:szCs w:val="15"/>
                <w:color w:val="auto"/>
              </w:rPr>
            </w:pP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47</w:t>
            </w:r>
          </w:p>
        </w:tc>
      </w:tr>
      <w:tr>
        <w:trPr>
          <w:trHeight w:val="180"/>
        </w:trPr>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0000FF"/>
              </w:rPr>
              <w:t>9A.</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Controls and Procedures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47</w:t>
            </w:r>
          </w:p>
        </w:tc>
      </w:tr>
      <w:tr>
        <w:trPr>
          <w:trHeight w:val="180"/>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0000FF"/>
              </w:rPr>
              <w:t>9B.</w:t>
            </w: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Other Information</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48</w:t>
            </w:r>
          </w:p>
        </w:tc>
      </w:tr>
      <w:tr>
        <w:trPr>
          <w:trHeight w:val="180"/>
        </w:trPr>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0000FF"/>
              </w:rPr>
              <w:t>9C.</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48</w:t>
            </w:r>
          </w:p>
        </w:tc>
      </w:tr>
      <w:tr>
        <w:trPr>
          <w:trHeight w:val="180"/>
        </w:trPr>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r>
      <w:tr>
        <w:trPr>
          <w:trHeight w:val="171"/>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rPr>
              <w:t>10.</w:t>
            </w:r>
          </w:p>
        </w:tc>
        <w:tc>
          <w:tcPr>
            <w:tcW w:w="80" w:type="dxa"/>
            <w:vAlign w:val="bottom"/>
            <w:shd w:val="clear" w:color="auto" w:fill="CCEEFF"/>
          </w:tcPr>
          <w:p>
            <w:pPr>
              <w:spacing w:after="0"/>
              <w:rPr>
                <w:sz w:val="14"/>
                <w:szCs w:val="14"/>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49</w:t>
            </w:r>
          </w:p>
        </w:tc>
      </w:tr>
      <w:tr>
        <w:trPr>
          <w:trHeight w:val="180"/>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11.</w:t>
            </w:r>
          </w:p>
        </w:tc>
        <w:tc>
          <w:tcPr>
            <w:tcW w:w="80" w:type="dxa"/>
            <w:vAlign w:val="bottom"/>
          </w:tcPr>
          <w:p>
            <w:pPr>
              <w:spacing w:after="0"/>
              <w:rPr>
                <w:sz w:val="15"/>
                <w:szCs w:val="15"/>
                <w:color w:val="auto"/>
              </w:rPr>
            </w:pP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Executive Compensation</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49</w:t>
            </w:r>
          </w:p>
        </w:tc>
      </w:tr>
      <w:tr>
        <w:trPr>
          <w:trHeight w:val="180"/>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rPr>
              <w:t>12.</w:t>
            </w:r>
          </w:p>
        </w:tc>
        <w:tc>
          <w:tcPr>
            <w:tcW w:w="80" w:type="dxa"/>
            <w:vAlign w:val="bottom"/>
            <w:shd w:val="clear" w:color="auto" w:fill="CCEEFF"/>
          </w:tcPr>
          <w:p>
            <w:pPr>
              <w:spacing w:after="0"/>
              <w:rPr>
                <w:sz w:val="15"/>
                <w:szCs w:val="15"/>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49</w:t>
            </w:r>
          </w:p>
        </w:tc>
      </w:tr>
      <w:tr>
        <w:trPr>
          <w:trHeight w:val="180"/>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13.</w:t>
            </w:r>
          </w:p>
        </w:tc>
        <w:tc>
          <w:tcPr>
            <w:tcW w:w="80" w:type="dxa"/>
            <w:vAlign w:val="bottom"/>
          </w:tcPr>
          <w:p>
            <w:pPr>
              <w:spacing w:after="0"/>
              <w:rPr>
                <w:sz w:val="15"/>
                <w:szCs w:val="15"/>
                <w:color w:val="auto"/>
              </w:rPr>
            </w:pP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49</w:t>
            </w:r>
          </w:p>
        </w:tc>
      </w:tr>
      <w:tr>
        <w:trPr>
          <w:trHeight w:val="180"/>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rPr>
              <w:t>14.</w:t>
            </w:r>
          </w:p>
        </w:tc>
        <w:tc>
          <w:tcPr>
            <w:tcW w:w="80" w:type="dxa"/>
            <w:vAlign w:val="bottom"/>
            <w:shd w:val="clear" w:color="auto" w:fill="CCEEFF"/>
          </w:tcPr>
          <w:p>
            <w:pPr>
              <w:spacing w:after="0"/>
              <w:rPr>
                <w:sz w:val="15"/>
                <w:szCs w:val="15"/>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49</w:t>
            </w:r>
          </w:p>
        </w:tc>
      </w:tr>
      <w:tr>
        <w:trPr>
          <w:trHeight w:val="180"/>
        </w:trPr>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r>
      <w:tr>
        <w:trPr>
          <w:trHeight w:val="171"/>
        </w:trPr>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rPr>
              <w:t>15.</w:t>
            </w:r>
          </w:p>
        </w:tc>
        <w:tc>
          <w:tcPr>
            <w:tcW w:w="80" w:type="dxa"/>
            <w:vAlign w:val="bottom"/>
            <w:shd w:val="clear" w:color="auto" w:fill="CCEEFF"/>
          </w:tcPr>
          <w:p>
            <w:pPr>
              <w:spacing w:after="0"/>
              <w:rPr>
                <w:sz w:val="14"/>
                <w:szCs w:val="14"/>
                <w:color w:val="auto"/>
              </w:rPr>
            </w:pP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14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0000FF"/>
                <w:w w:val="99"/>
              </w:rPr>
              <w:t>50</w:t>
            </w:r>
          </w:p>
        </w:tc>
      </w:tr>
      <w:tr>
        <w:trPr>
          <w:trHeight w:val="184"/>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16.</w:t>
            </w:r>
          </w:p>
        </w:tc>
        <w:tc>
          <w:tcPr>
            <w:tcW w:w="80" w:type="dxa"/>
            <w:vAlign w:val="bottom"/>
          </w:tcPr>
          <w:p>
            <w:pPr>
              <w:spacing w:after="0"/>
              <w:rPr>
                <w:sz w:val="16"/>
                <w:szCs w:val="16"/>
                <w:color w:val="auto"/>
              </w:rPr>
            </w:pPr>
          </w:p>
        </w:tc>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Form 10-K Summary</w:t>
            </w:r>
          </w:p>
        </w:tc>
        <w:tc>
          <w:tcPr>
            <w:tcW w:w="14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53</w:t>
            </w:r>
          </w:p>
        </w:tc>
      </w:tr>
      <w:tr>
        <w:trPr>
          <w:trHeight w:val="664"/>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80" w:type="dxa"/>
            <w:vAlign w:val="bottom"/>
          </w:tcPr>
          <w:p>
            <w:pPr>
              <w:ind w:left="474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2"/>
        </w:trPr>
        <w:tc>
          <w:tcPr>
            <w:tcW w:w="8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8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01"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In this Annual Report on Form 10-K for the year ended December 31, 2024, the following terms and abbreviations have the meanings listed below. “LivaNova” and “the Company” refer to LivaNova PLC and its consolidated subsidiaries.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8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71"/>
        </w:trPr>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2015</w:t>
            </w:r>
          </w:p>
        </w:tc>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140" w:type="dxa"/>
            <w:vAlign w:val="bottom"/>
            <w:tcBorders>
              <w:top w:val="single" w:sz="8" w:color="CCEEFF"/>
            </w:tcBorders>
            <w:shd w:val="clear" w:color="auto" w:fill="CCEEFF"/>
          </w:tcPr>
          <w:p>
            <w:pPr>
              <w:spacing w:after="0"/>
              <w:rPr>
                <w:sz w:val="14"/>
                <w:szCs w:val="14"/>
                <w:color w:val="auto"/>
              </w:rPr>
            </w:pPr>
          </w:p>
        </w:tc>
        <w:tc>
          <w:tcPr>
            <w:tcW w:w="8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LivaNova PLC 2015 Incentive Award Plan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2015</w:t>
            </w: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 Amendment</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Amendment No. 2 to the LivaNova PLC 2015 Incentive Award Plan</w:t>
            </w:r>
          </w:p>
        </w:tc>
      </w:tr>
      <w:tr>
        <w:trPr>
          <w:trHeight w:val="144"/>
        </w:trPr>
        <w:tc>
          <w:tcPr>
            <w:tcW w:w="3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w w:val="99"/>
              </w:rPr>
              <w:t>2021</w:t>
            </w:r>
          </w:p>
        </w:tc>
        <w:tc>
          <w:tcPr>
            <w:tcW w:w="210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First Lien Credit Agreement</w:t>
            </w:r>
          </w:p>
        </w:tc>
        <w:tc>
          <w:tcPr>
            <w:tcW w:w="88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First Lien Credit Agreement between LivaNova PLC and its wholly-owned subsidiary, LivaNova USA, Inc., and Goldman Sachs Bank USA, as First Lien</w:t>
            </w:r>
          </w:p>
        </w:tc>
      </w:tr>
      <w:tr>
        <w:trPr>
          <w:trHeight w:val="184"/>
        </w:trPr>
        <w:tc>
          <w:tcPr>
            <w:tcW w:w="3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Administrative Agent and First Lien Collateral Agent, entered into on August 13, 2021</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2022</w:t>
            </w: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The year ended December 31, 2022</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2022</w:t>
            </w: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LivaNova PLC 2022 Incentive Award Plan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2022</w:t>
            </w: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Restructuring Plan</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 plan, initiated during the second quarter of 2022, to implement a cost-optimization and cost reduction program to adapt to current economic conditions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2023</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year ended December 31, 2023</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2024</w:t>
            </w: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The year ended December 31, 2024</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2024</w:t>
            </w: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Plan</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 plan, initiated during the first quarter of 2024, to enhance LivaNova’s focus on its core Cardiopulmonary and Neuromodulation segments</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Capped Calls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Privately-negotiated capped call transactions entered into with certain financial institutions</w:t>
            </w:r>
          </w:p>
        </w:tc>
      </w:tr>
      <w:tr>
        <w:trPr>
          <w:trHeight w:val="144"/>
        </w:trPr>
        <w:tc>
          <w:tcPr>
            <w:tcW w:w="3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w w:val="99"/>
              </w:rPr>
              <w:t>2025</w:t>
            </w:r>
          </w:p>
        </w:tc>
        <w:tc>
          <w:tcPr>
            <w:tcW w:w="210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Notes</w:t>
            </w:r>
          </w:p>
        </w:tc>
        <w:tc>
          <w:tcPr>
            <w:tcW w:w="88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$287.5 million aggregate principal amount 3.00% unsecured cash exchangeable senior notes due 2025 by private placement to qualified institutional buyers</w:t>
            </w:r>
          </w:p>
        </w:tc>
      </w:tr>
      <w:tr>
        <w:trPr>
          <w:trHeight w:val="184"/>
        </w:trPr>
        <w:tc>
          <w:tcPr>
            <w:tcW w:w="3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pursuant to Rule 144A under the Securities Act, issued by LivaNova USA on June 17, 2020</w:t>
            </w:r>
          </w:p>
        </w:tc>
      </w:tr>
      <w:tr>
        <w:trPr>
          <w:trHeight w:val="144"/>
        </w:trPr>
        <w:tc>
          <w:tcPr>
            <w:tcW w:w="3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w w:val="99"/>
              </w:rPr>
              <w:t>2025</w:t>
            </w:r>
          </w:p>
        </w:tc>
        <w:tc>
          <w:tcPr>
            <w:tcW w:w="210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Notes Repurchase Transaction</w:t>
            </w:r>
          </w:p>
        </w:tc>
        <w:tc>
          <w:tcPr>
            <w:tcW w:w="88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Repurchase of $230.0 million aggregate principal amount of the 2025 Notes in privately-negotiated transactions from proceeds from the issuance of the</w:t>
            </w:r>
          </w:p>
        </w:tc>
      </w:tr>
      <w:tr>
        <w:trPr>
          <w:trHeight w:val="184"/>
        </w:trPr>
        <w:tc>
          <w:tcPr>
            <w:tcW w:w="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2029 Notes</w:t>
            </w:r>
          </w:p>
        </w:tc>
      </w:tr>
      <w:tr>
        <w:trPr>
          <w:trHeight w:val="181"/>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Proxy Statement</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Definitive Proxy Statement for the annual meeting of shareholders scheduled for June 11, 2025</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2029</w:t>
            </w: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Capped Calls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Privately-negotiated capped call transactions entered into with certain financial institutions</w:t>
            </w:r>
          </w:p>
        </w:tc>
      </w:tr>
      <w:tr>
        <w:trPr>
          <w:trHeight w:val="144"/>
        </w:trPr>
        <w:tc>
          <w:tcPr>
            <w:tcW w:w="3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w w:val="99"/>
              </w:rPr>
              <w:t>2029</w:t>
            </w:r>
          </w:p>
        </w:tc>
        <w:tc>
          <w:tcPr>
            <w:tcW w:w="210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Notes</w:t>
            </w:r>
          </w:p>
        </w:tc>
        <w:tc>
          <w:tcPr>
            <w:tcW w:w="88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$345.0 million aggregate principal amount 2.50% unsecured convertible senior notes due 2029 by private placement to qualified institutional buyers</w:t>
            </w:r>
          </w:p>
        </w:tc>
      </w:tr>
      <w:tr>
        <w:trPr>
          <w:trHeight w:val="184"/>
        </w:trPr>
        <w:tc>
          <w:tcPr>
            <w:tcW w:w="3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pursuant to Rule 144A under the Securities Act, issued by LivaNova PLC on March 8, 2024</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A&amp;R 2022 Plan</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Amended and Restated LivaNova PLC 2022 Incentive Award Plan</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A&amp;R 2022 Plan Amendment</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Amendment No. 1 to the Amended and Restated LivaNova PLC 2022 Incentive Award Plan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ACS</w:t>
            </w: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Advanced Circulatory Support</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ALung</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ALung Technologies, Inc.</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AOCI</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APAC</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Asia-Pacific</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Accounting Standards Codification</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ASMs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Anti-seizure medications</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ASU</w:t>
            </w: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Accounting Standards Update</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Audit Committee</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LivaNova’s Audit and Compliance Committee</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Barclays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Barclays Bank Ireland PLC</w:t>
            </w:r>
          </w:p>
        </w:tc>
      </w:tr>
      <w:tr>
        <w:trPr>
          <w:trHeight w:val="144"/>
        </w:trPr>
        <w:tc>
          <w:tcPr>
            <w:tcW w:w="242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Bridge Loan Facility</w:t>
            </w:r>
          </w:p>
        </w:tc>
        <w:tc>
          <w:tcPr>
            <w:tcW w:w="88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Incremental Facility Amendment No. 1 to the 2021 First Lien Credit Agreement, relating to a €200 million bridge loan facility, dated February 24, 2022,</w:t>
            </w:r>
          </w:p>
        </w:tc>
      </w:tr>
      <w:tr>
        <w:trPr>
          <w:trHeight w:val="184"/>
        </w:trPr>
        <w:tc>
          <w:tcPr>
            <w:tcW w:w="3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and repaid on July 6, 2022</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Capped Call Transactions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The 2025 Capped Calls and the 2029 Capped Calls</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CCPA</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California Consumer Privacy Act</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CE Mark</w:t>
            </w:r>
          </w:p>
        </w:tc>
        <w:tc>
          <w:tcPr>
            <w:tcW w:w="8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Conformité Européenne, French for “European Conformity”</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CED</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Coverage with Evidence Development</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CEO</w:t>
            </w: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CFO</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CISO</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Chief Information Security Officer</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CLO</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Legal Officer</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4"/>
              </w:rPr>
              <w:t>CMS</w:t>
            </w: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The U.S. Centers for Medicare &amp; Medicaid Services</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Code of Conduct</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LivaNova PLC’s Code of Ethics and Business Conduct</w:t>
            </w:r>
          </w:p>
        </w:tc>
      </w:tr>
      <w:tr>
        <w:trPr>
          <w:trHeight w:val="668"/>
        </w:trPr>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6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3</w:t>
            </w:r>
          </w:p>
        </w:tc>
      </w:tr>
      <w:tr>
        <w:trPr>
          <w:trHeight w:val="182"/>
        </w:trPr>
        <w:tc>
          <w:tcPr>
            <w:tcW w:w="320" w:type="dxa"/>
            <w:vAlign w:val="bottom"/>
            <w:tcBorders>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8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71"/>
        </w:trPr>
        <w:tc>
          <w:tcPr>
            <w:tcW w:w="2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CODM</w:t>
            </w:r>
          </w:p>
        </w:tc>
        <w:tc>
          <w:tcPr>
            <w:tcW w:w="140" w:type="dxa"/>
            <w:vAlign w:val="bottom"/>
          </w:tcPr>
          <w:p>
            <w:pPr>
              <w:spacing w:after="0"/>
              <w:rPr>
                <w:sz w:val="14"/>
                <w:szCs w:val="14"/>
                <w:color w:val="auto"/>
              </w:rPr>
            </w:pPr>
          </w:p>
        </w:tc>
        <w:tc>
          <w:tcPr>
            <w:tcW w:w="8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Chief Operating Decision Maker</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Court of Appeal</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Court of Appeal in Milan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CPB</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Cardiopulmonary bypass</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CSRD</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EU Corporate Sustainability Reporting Directive (2022/2464)</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Cyberonics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Cyberonics, Inc.</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Delayed Draw Term Facility</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$50.0 million delayed draw term facility under the 2021 First Lien Credit Agreement resulting from the Incremental Facility Amendment No. 2</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DRE</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Drug-resistant epilepsy</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DTC</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Depository Trust Company</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DTD</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Difficult-to-treat depression</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ECJ</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European Court of Justice</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ECMO</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Extracorporeal membrane oxygenation</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bifurcated embedded derivatives associated with the 2025 Notes and 2029 Notes, collectively</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EPA</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U.S. Environmental Protection Agency</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Employee Share Purchase Plan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ESRS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European Sustainability Reporting Standards</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EtO</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Ethylene oxide</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European Union</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Securities Exchange Act of 1934, as amended</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False Claims Act</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U.S. False Claims Act</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FCPA</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U.S. Foreign Corrupt Practices Act of 1977</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FDA</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Food and Drug Administration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FIFO</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First-in-first-out</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exchange rate</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GDPR</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General Data Protection Regulation</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Hemolung</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Hemolung Respiratory Assist System</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HHS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The U.S. Department of Health &amp; Human Services</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HIPAA</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 Insurance Portability and Accountability Act of 1996</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HITECH</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Health Information Technology and Clinical Health Act</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HLM</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Heart-lung machine</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IBR</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Incremental borrowing rate</w:t>
            </w:r>
          </w:p>
        </w:tc>
      </w:tr>
      <w:tr>
        <w:trPr>
          <w:trHeight w:val="138"/>
        </w:trPr>
        <w:tc>
          <w:tcPr>
            <w:tcW w:w="242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ImThera</w:t>
            </w:r>
          </w:p>
        </w:tc>
        <w:tc>
          <w:tcPr>
            <w:tcW w:w="88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ImThera Medical, Inc., acquired by LivaNova in 2018, a company developing an implantable neurostimulation device system for the treatment of</w:t>
            </w:r>
          </w:p>
        </w:tc>
      </w:tr>
      <w:tr>
        <w:trPr>
          <w:trHeight w:val="191"/>
        </w:trPr>
        <w:tc>
          <w:tcPr>
            <w:tcW w:w="2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obstructive sleep apnea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Initial Term Facility</w:t>
            </w:r>
          </w:p>
        </w:tc>
        <w:tc>
          <w:tcPr>
            <w:tcW w:w="9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$300.0 million term facility under the 2021 First Lien Credit Agreement, resulting from the Incremental Facility Amendment No. 2</w:t>
            </w:r>
          </w:p>
        </w:tc>
      </w:tr>
      <w:tr>
        <w:trPr>
          <w:trHeight w:val="181"/>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IPR&amp;D</w:t>
            </w:r>
          </w:p>
        </w:tc>
        <w:tc>
          <w:tcPr>
            <w:tcW w:w="94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In-Process Research and Development</w:t>
            </w:r>
          </w:p>
        </w:tc>
      </w:tr>
      <w:tr>
        <w:trPr>
          <w:trHeight w:val="18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IRC</w:t>
            </w:r>
          </w:p>
        </w:tc>
        <w:tc>
          <w:tcPr>
            <w:tcW w:w="9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U.S. Internal Revenue Code</w:t>
            </w:r>
          </w:p>
        </w:tc>
      </w:tr>
      <w:tr>
        <w:trPr>
          <w:trHeight w:val="18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w:t>
            </w:r>
          </w:p>
        </w:tc>
        <w:tc>
          <w:tcPr>
            <w:tcW w:w="94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Information security</w:t>
            </w:r>
          </w:p>
        </w:tc>
      </w:tr>
      <w:tr>
        <w:trPr>
          <w:trHeight w:val="18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ISDA</w:t>
            </w:r>
          </w:p>
        </w:tc>
        <w:tc>
          <w:tcPr>
            <w:tcW w:w="9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International Swaps and Derivatives Association, Inc.</w:t>
            </w:r>
          </w:p>
        </w:tc>
      </w:tr>
      <w:tr>
        <w:trPr>
          <w:trHeight w:val="18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ISIN</w:t>
            </w:r>
          </w:p>
        </w:tc>
        <w:tc>
          <w:tcPr>
            <w:tcW w:w="94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National Inspectorate for Nuclear Safety and Radiation Protection, a sub-body of the Italian Ministry of Economic Development</w:t>
            </w:r>
          </w:p>
        </w:tc>
      </w:tr>
      <w:tr>
        <w:trPr>
          <w:trHeight w:val="18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ISMS</w:t>
            </w:r>
          </w:p>
        </w:tc>
        <w:tc>
          <w:tcPr>
            <w:tcW w:w="9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Information Security Management System</w:t>
            </w:r>
          </w:p>
        </w:tc>
      </w:tr>
      <w:tr>
        <w:trPr>
          <w:trHeight w:val="18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ISO</w:t>
            </w:r>
          </w:p>
        </w:tc>
        <w:tc>
          <w:tcPr>
            <w:tcW w:w="94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International Organization for Standardization</w:t>
            </w:r>
          </w:p>
        </w:tc>
      </w:tr>
      <w:tr>
        <w:trPr>
          <w:trHeight w:val="18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w:t>
            </w:r>
          </w:p>
        </w:tc>
        <w:tc>
          <w:tcPr>
            <w:tcW w:w="9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Information technology</w:t>
            </w:r>
          </w:p>
        </w:tc>
      </w:tr>
      <w:tr>
        <w:trPr>
          <w:trHeight w:val="18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LivaNova PLC</w:t>
            </w:r>
          </w:p>
        </w:tc>
        <w:tc>
          <w:tcPr>
            <w:tcW w:w="94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 public limited company organized under the laws of England and Wales on February 20, 2015</w:t>
            </w:r>
          </w:p>
        </w:tc>
      </w:tr>
      <w:tr>
        <w:trPr>
          <w:trHeight w:val="668"/>
        </w:trPr>
        <w:tc>
          <w:tcPr>
            <w:tcW w:w="1800" w:type="dxa"/>
            <w:vAlign w:val="bottom"/>
          </w:tcPr>
          <w:p>
            <w:pPr>
              <w:spacing w:after="0"/>
              <w:rPr>
                <w:sz w:val="24"/>
                <w:szCs w:val="24"/>
                <w:color w:val="auto"/>
              </w:rPr>
            </w:pPr>
          </w:p>
        </w:tc>
        <w:tc>
          <w:tcPr>
            <w:tcW w:w="9480" w:type="dxa"/>
            <w:vAlign w:val="bottom"/>
          </w:tcPr>
          <w:p>
            <w:pPr>
              <w:ind w:left="3880"/>
              <w:spacing w:after="0"/>
              <w:rPr>
                <w:sz w:val="20"/>
                <w:szCs w:val="20"/>
                <w:color w:val="auto"/>
              </w:rPr>
            </w:pPr>
            <w:r>
              <w:rPr>
                <w:rFonts w:ascii="Times New Roman" w:cs="Times New Roman" w:eastAsia="Times New Roman" w:hAnsi="Times New Roman"/>
                <w:sz w:val="14"/>
                <w:szCs w:val="14"/>
                <w:color w:val="auto"/>
              </w:rPr>
              <w:t>4</w:t>
            </w:r>
          </w:p>
        </w:tc>
      </w:tr>
      <w:tr>
        <w:trPr>
          <w:trHeight w:val="182"/>
        </w:trPr>
        <w:tc>
          <w:tcPr>
            <w:tcW w:w="1800" w:type="dxa"/>
            <w:vAlign w:val="bottom"/>
            <w:tcBorders>
              <w:bottom w:val="single" w:sz="8" w:color="9A9A9A"/>
            </w:tcBorders>
          </w:tcPr>
          <w:p>
            <w:pPr>
              <w:spacing w:after="0"/>
              <w:rPr>
                <w:sz w:val="15"/>
                <w:szCs w:val="15"/>
                <w:color w:val="auto"/>
              </w:rPr>
            </w:pPr>
          </w:p>
        </w:tc>
        <w:tc>
          <w:tcPr>
            <w:tcW w:w="94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8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71"/>
        </w:trPr>
        <w:tc>
          <w:tcPr>
            <w:tcW w:w="2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LivaNova USA</w:t>
            </w:r>
          </w:p>
        </w:tc>
        <w:tc>
          <w:tcPr>
            <w:tcW w:w="140" w:type="dxa"/>
            <w:vAlign w:val="bottom"/>
          </w:tcPr>
          <w:p>
            <w:pPr>
              <w:spacing w:after="0"/>
              <w:rPr>
                <w:sz w:val="14"/>
                <w:szCs w:val="14"/>
                <w:color w:val="auto"/>
              </w:rPr>
            </w:pPr>
          </w:p>
        </w:tc>
        <w:tc>
          <w:tcPr>
            <w:tcW w:w="8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LivaNova USA, Inc.</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LSM</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LivaNova Site Management S.r.l.</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MDD</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Medical Device Directive</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MDL</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multi-district litigation in the U.S. District Court for the Middle District of Pennsylvania</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MDR</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EU Medical Device Regulation</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MedTech</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Medical technology</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Mitral</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Mitral Holdco S.à r.l.</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MRI</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Magnetic resonance imaging</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Nasdaq</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NCD</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National coverage determination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NFRD</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Non-Financial Reporting Directive (2014/95/EU)</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NIST</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National Institute of Standards and Technology</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OCI</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OECD</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Organisation for Economic Co-operation and Development</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 Counterparties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Certain financial institutions with whom LivaNova USA or LivaNova PLC, as applicable, has entered into the 2025 Capped Calls and 2029 Capped Calls</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OSA</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Obstructive sleep apnea</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OSPREY clinical trial</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LivaNova’s clinical trial, “Treating Obstructive Sleep Apnea using Targeted Hypoglossal Neurostimulation”</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Phosphorylcholine</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Pillar Two</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Organisation for Economic Co-operation and Development Global Anti-Base Erosion Model Rules (Pillar Two)</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 Committee</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Qualified Plan Committee</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PMA</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Pre-market approval</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PMP</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Polymethylpentene</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PP&amp;E</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Administrations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Italian Ministry of the Environment and other Italian government agencies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R&amp;D</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r>
      <w:tr>
        <w:trPr>
          <w:trHeight w:val="138"/>
        </w:trPr>
        <w:tc>
          <w:tcPr>
            <w:tcW w:w="242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RECOVER clinical study</w:t>
            </w:r>
          </w:p>
        </w:tc>
        <w:tc>
          <w:tcPr>
            <w:tcW w:w="88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LivaNova’s clinical study “A Prospective, Multi-center, Randomized Controlled Blinded Trial Demonstrating the Safety and Effectiveness of VNS Therapy</w:t>
            </w:r>
          </w:p>
        </w:tc>
      </w:tr>
      <w:tr>
        <w:trPr>
          <w:trHeight w:val="191"/>
        </w:trPr>
        <w:tc>
          <w:tcPr>
            <w:tcW w:w="2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System as Adjunctive Therapy Versus a No Stimulation Control in Subjects With Treatment-Resistant Depression”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Report</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This Annual Report on Form 10-K</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S&amp;P</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Standard &amp; Poor’s</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SARs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appreciation rights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SDRT</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UK Stamp Duty Reserve Tax</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Act</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U.S. Securities Act of 1933, as amended</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SG&amp;A</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SNIA</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SNIA S.p.A.</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SNIA Litigation Guarantee</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 first demand bank guarantee of €270.0 million in connection with the SNIA environmental litigation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Sorin</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Sorin S.p.A.</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Term Facilities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The Initial Term Facility, together with the Delayed Draw Term Facility</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LivaNova PLC Employee Benefit Trust</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GAAP</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Generally Accepted Accounting Principles in the U.S.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UK</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UK Bribery Act</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UK Bribery Act of 2010</w:t>
            </w:r>
          </w:p>
        </w:tc>
      </w:tr>
      <w:tr>
        <w:trPr>
          <w:trHeight w:val="668"/>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6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5</w:t>
            </w:r>
          </w:p>
        </w:tc>
      </w:tr>
      <w:tr>
        <w:trPr>
          <w:trHeight w:val="182"/>
        </w:trPr>
        <w:tc>
          <w:tcPr>
            <w:tcW w:w="22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8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71"/>
        </w:trPr>
        <w:tc>
          <w:tcPr>
            <w:tcW w:w="2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USD</w:t>
            </w:r>
          </w:p>
        </w:tc>
        <w:tc>
          <w:tcPr>
            <w:tcW w:w="140" w:type="dxa"/>
            <w:vAlign w:val="bottom"/>
          </w:tcPr>
          <w:p>
            <w:pPr>
              <w:spacing w:after="0"/>
              <w:rPr>
                <w:sz w:val="14"/>
                <w:szCs w:val="14"/>
                <w:color w:val="auto"/>
              </w:rPr>
            </w:pPr>
          </w:p>
        </w:tc>
        <w:tc>
          <w:tcPr>
            <w:tcW w:w="8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U.S. dollar</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UTPR</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Undertaxed profits rule</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VNS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Vagus nerve stimulation</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VNS Therapy</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LivaNova Vagus Nerve Stimulation Therapy</w:t>
            </w:r>
          </w:p>
        </w:tc>
      </w:tr>
      <w:tr>
        <w:trPr>
          <w:trHeight w:val="18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WACC</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cost of capital</w:t>
            </w:r>
          </w:p>
        </w:tc>
      </w:tr>
    </w:tbl>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6" w:name="page7"/>
    <w:bookmarkEnd w:id="6"/>
    <w:p>
      <w:pPr>
        <w:ind w:left="2960"/>
        <w:spacing w:after="0"/>
        <w:rPr>
          <w:sz w:val="20"/>
          <w:szCs w:val="20"/>
          <w:color w:val="auto"/>
        </w:rPr>
      </w:pPr>
      <w:r>
        <w:rPr>
          <w:rFonts w:ascii="Times New Roman" w:cs="Times New Roman" w:eastAsia="Times New Roman" w:hAnsi="Times New Roman"/>
          <w:sz w:val="17"/>
          <w:szCs w:val="17"/>
          <w:b w:val="1"/>
          <w:bCs w:val="1"/>
          <w:color w:val="auto"/>
        </w:rPr>
        <w:t>INTELLECTUAL PROPERTY, TRADEMARKS, AND TRADE NAMES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Report may contain references to LivaNova’s proprietary intellectual property, including among others:</w:t>
      </w:r>
    </w:p>
    <w:p>
      <w:pPr>
        <w:spacing w:after="0" w:line="72" w:lineRule="exact"/>
        <w:rPr>
          <w:sz w:val="20"/>
          <w:szCs w:val="20"/>
          <w:color w:val="auto"/>
        </w:rPr>
      </w:pPr>
    </w:p>
    <w:p>
      <w:pPr>
        <w:ind w:left="520" w:hanging="260"/>
        <w:spacing w:after="0" w:line="223"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LivaNova’s Neuromodulation systems, the VNS Therapy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System, and LivaNova’s proprietary pulse generator products: Model 102 (Pulse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102R (Pulse Duo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103 (Demipulse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104 (Demipulse Duo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106 (AspireSR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1000 (SenTiva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Model 1000-D (SenTiva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Duo), and Model 8103 (Symmetry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w:t>
      </w:r>
    </w:p>
    <w:p>
      <w:pPr>
        <w:ind w:left="520" w:hanging="260"/>
        <w:spacing w:after="0"/>
        <w:tabs>
          <w:tab w:leader="none" w:pos="5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Trademarks for LivaNova’s Cardiopulmonary products and systems: Essenz</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S5</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S5 Pro</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B-Capta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Inspire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Heartlink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XTRA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3T Heater-Cooler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Connect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and Revolution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w:t>
      </w:r>
    </w:p>
    <w:p>
      <w:pPr>
        <w:spacing w:after="0" w:line="56" w:lineRule="exact"/>
        <w:rPr>
          <w:rFonts w:ascii="Times New Roman" w:cs="Times New Roman" w:eastAsia="Times New Roman" w:hAnsi="Times New Roman"/>
          <w:sz w:val="13"/>
          <w:szCs w:val="13"/>
          <w:color w:val="auto"/>
        </w:rPr>
      </w:pPr>
    </w:p>
    <w:p>
      <w:pPr>
        <w:ind w:left="520" w:hanging="260"/>
        <w:spacing w:after="0" w:line="211"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LivaNova’s advanced circulatory support systems: TandemLife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TandemHeart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TandemLung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ProtekDuo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4"/>
          <w:szCs w:val="14"/>
          <w:color w:val="auto"/>
        </w:rPr>
        <w:t xml:space="preserve"> LifeSPARC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ALung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Hemolung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Respiratory Dialysis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and ActivMix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w:t>
      </w: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LivaNova’s obstructive sleep apnea system: ImThera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and aura6000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w:t>
      </w:r>
    </w:p>
    <w:p>
      <w:pPr>
        <w:spacing w:after="0" w:line="1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4"/>
          <w:szCs w:val="14"/>
          <w:color w:val="auto"/>
        </w:rPr>
        <w:t xml:space="preserve">These trademarks and trade names are the property of LivaNova or the property of LivaNova’s consolidated subsidiaries and are protected under applicable intellectual property laws. Solely for convenience, LivaNova’s trademarks and trade names referred to in this Report may appear without the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symbol, but such references are not intended to indicate in any way that the Company will not assert, to the fullest extent under applicable law, LivaNova’s rights to these trademarks and trade names.</w:t>
      </w: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ABOUT FORWARD-LOOKING STATEMENTS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Certain statements in this Report,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Report, and include, but are not limited to, the following risks and uncertainties: volatility in the global market and worldwide economic conditions, including as caused by the invasion of Ukraine, the evolving instability in the Middle East, inflation, changing interest rates, foreign exchange fluctuations, and changes to existing trade agreements and relationships between the U.S. and other countries, including the implementation of tariffs, trade restrictions, and sanctions; risks relating to supply chain pressures; cybersecurity incidents or other disruptions to the Company’s information technology systems or those of third parties with which the Company interacts; costs of complying with privacy and security of personal information requirements and laws; changes in technology, including the development of superior or alternative technology or devices by competitors and/or competition from providers of alternative medical therapies; failure of R&amp;D investments or investment collaborations to be successful;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key personnel, succession plan, and negotiate with local works councils; failure to obtain approvals or reimbursement in relation to the Company’s products; unfavorable results from clinical studies or failure to meet milestones; pending or existing climate change; global healthcare policy changes that may lead to restricted access and pricing as well as payback requirements and limited reimbursement; changes or reduction in reimbursement for the Company’s products or failure to comply with rules relating to reimbursement of healthcare goods and services; failure to comply with rules relating to healthcare goods and services as well as anti-bribery laws; product liability, intellectual property, shareholder-related,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risks relating to the Company’s indebtedness; failure of divestitures and/or new acquisitions to further the Company’s strategic objectives or strengthen the Company’s existing businesses; the potential for impairments of intangible assets, goodwill, and other long-lived assets; changes in tax laws and regulations, including exposure to additional income tax liabilities; effectiveness of the Company’s internal controls over financial reporting; changes in the Company’s profitability and/or failure to manage costs and expenses; fluctuations in future quarterly operating results and/or variations in revenue and operating expenses relative to estimates; and other unknown or unpredictable factors that could harm the Company’s financial performance.</w:t>
      </w:r>
    </w:p>
    <w:p>
      <w:pPr>
        <w:spacing w:after="0" w:line="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See also the section titled “Risk Factors” (refer to Part I, Item 1A of this Report) for further discussion of certain risks and uncertainties that could cause actual results and events to differ materially from the forward-looking statements. All forward-looking statements in this Report are expressly qualified in their entirety by the cautionary statements set forth above. Forward-looking statements speak only as of the date of this Report, and LivaNova expressly disclaims any intention or obligation to update or revise any forward-looking statements, whether as a result of new information, future events, or otherwise. Readers are advised, however, to consult any further disclosures LivaNova makes on related subjects in its Quarterly Reports on Form 10-Q and Current Reports on Form 8-K. This cautionary note is applicable to all forward-looking statements contained in this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discussion and analysis should be read in conjunction with and are qualified in their entirety by reference to the discussions included in “Item 1A. Risk Factors,” “Item 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 and elsewhere in this Report.</w:t>
      </w: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the Business and Background</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PLC is a market-leading global medical technology company. The Company designs, develops, manufactures, markets, and sells products and therapies that are consistent with LivaNova’s mission to provide hope for patients and their families through medical technologies, delivering life-changing solutions in select neurological and cardiac conditions. LivaNova is a public limited company organized under the laws of England and Wales and is headquartered in London, England. LivaNova’s ordinary shares are listed for trading on the Nasdaq under the symbol “LIVN.”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 is comprised of two reportable segments: Cardiopulmonary and Neuromodulation. “Other” includes non-allocated corporate expenses and the non-cannula results of the Company’s former ACS segment, which was wound down during 2024.</w:t>
      </w:r>
    </w:p>
    <w:p>
      <w:pPr>
        <w:spacing w:after="0" w:line="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For further information regarding LivaNova’s reportable segments, historical financial information, and methodology for the presentation of financial results, please refer to “Part IV, Item 15. Exhibits and Financial Statement Schedules” of this Report.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Cardiopulmonary segment is engaged in the design, development, manufacture, marketing, and sale of cardiopulmonary products, including HLMs, oxygenators, autotransfusion systems, perfusion tubing systems, cannulae, and other related accessories. In particular, the Cardiopulmonary segment includes the Essenz Perfusion System, the Company’s next-generation HLM with an embedded patient monitor for tailored patient care strategies and sensing technology for data-driven decision-making during CPB procedures.</w:t>
      </w:r>
    </w:p>
    <w:p>
      <w:pPr>
        <w:spacing w:after="0" w:line="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CPB is frequently utilized in various heart-related procedures. This method allows the surgical team to oxygenate and circulate the patient's blood, providing the necessary conditions for the surgeon to operate on the heart. The procedures most commonly requiring CPB include traditional coronary artery bypass grafting and valve surgeries. LivaNova’s products enable CPB for neonatal, pediatric, and adult patients.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Heart-lung Machines</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HLM product group includes HLMs, heater-coolers, related cardiac surgery equipment and maintenance, and technical services. HLMs temporarily take over the heart and/or lung functions, providing/circulating blood and oxygen to the body, while the heart is stopped during a cardiac surgery procedure. Heater-coolers are used during surgeries to warm or cool patients as part of their care. They are especially important during surgeries involving the heart and lungs.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Oxygenators and Perfusion Tubing Systems</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oxygenators product group is comprised of disposable devices for extracorporeal circulation, including the Inspire systems. The Inspire range of products is comprised of 12 models that provide perfusionists with a customizable approach for the benefit of patients. Oxygenators exchange oxygen and carbon dioxide in the blood of patients during surgical procedures and are utilized by perfusionists during cardiac surgery in conjunction with an HLM and can also be utilized in ECMO.</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Autotransfusion Systems</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One of the key elements for a complete blood management strategy is autologous blood transfusion. The autotransfusion product group facilitates the collection, processing, and reinfusion of the patient’s own blood lost at the surgical site.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Cannulae</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cannulae product group is comprised of cardiopulmonary bypass cannulae, or tubing, which is a device used in cardiopulmonary surgery to cannulate the vessels, perfuse the coronary arteries, and interconnect the catheters and cannulae with an oxygenator.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Neuromodulation segment is engaged in the design, development, manufacture, marketing, and sale of devices that deliver neuromodulation therapy for treating DRE and DTD. LivaNova’s principal Neuromodulation product, the VNS Therapy System, consists of an implantable pulse generator and connective lead that stimulates the vagus nerve, surgical equipment to assist with the implant procedure, and equipment and instruction manuals that enable a treating physician to set parameters for a patient’s pulse generator. The lead does not need to be removed to replace a generator with a depleted battery. The</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9" w:name="page10"/>
    <w:bookmarkEnd w:id="9"/>
    <w:p>
      <w:pPr>
        <w:jc w:val="both"/>
        <w:spacing w:after="0" w:line="303" w:lineRule="auto"/>
        <w:rPr>
          <w:sz w:val="20"/>
          <w:szCs w:val="20"/>
          <w:color w:val="auto"/>
        </w:rPr>
      </w:pPr>
      <w:r>
        <w:rPr>
          <w:rFonts w:ascii="Times New Roman" w:cs="Times New Roman" w:eastAsia="Times New Roman" w:hAnsi="Times New Roman"/>
          <w:sz w:val="14"/>
          <w:szCs w:val="14"/>
          <w:color w:val="auto"/>
        </w:rPr>
        <w:t>Neuromodulation segment is also engaged in the development and management of clinical testing for LivaNova’s aura6000 System for treating OSA. The aura6000 device stimulates the hypoglossal nerve, which engages specific tongue and palate muscles to open the airway while a patient sleeps.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Epilepsy</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There are several broad types of treatment available to patients with epilepsy: multiple ASMs; various forms of the ketogenic diet; VNS; resective and ablative brain surgery; and intracranial neurostimulation. ASMs typically serve as a first-line treatment and are prescribed for virtually all patients diagnosed with epilepsy. After two ASMs fail to deliver seizure control, the epilepsy is characterized as drug-resistant and adjunctive non-drug options are considered, including VNS therapy, ketogenic diet, surgery, and other neuromodulation therapies.</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1997, LivaNova’s VNS Therapy System was the first medical device treatment approved by the FDA for the treatment of DRE and today is the only neuromodulation device approved for use in the U.S. in DRE patients as young as four years of age with partial onset or focal seizures. Other worldwide regulatory bodies have also approved the VNS Therapy System for treating patients with DRE, many without age or seizure-type restrictions. In 2020, CMS expanded reimbursement for VNS Therapy use in the treatment of Dravet Syndrome and, in January 2022, expanded reimbursement for VNS Therapy use in the treatment of Lennox-Gastaut Syndrome.</w:t>
      </w:r>
    </w:p>
    <w:p>
      <w:pPr>
        <w:spacing w:after="0" w:line="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distributes multiple VNS Therapy devices for the treatment of epilepsy, including Model 103 (Demipulse), Model 106 (AspireSR), Model 1000 (SenTiva), and Model 1000D (SenTiva Duo) pulse generators. LivaNova’s AspireSR and SenTiva implantable pulse generators provide the traditional benefits of VNS therapy but add an additional stimulation capability: closed loop stimulation (AutoStim), which responds to detection of changes in heart rate potentially indicative of a seizure. The SenTiva generator is the smallest and lightest VNS device capable of delivering responsive therapy for epilepsy and includes the additional flexibility of LivaNova’s Scheduled Programming and Day &amp; Night Programming capabilities. In 2017, the SenTiva and AspireSR VNS Therapy devices were approved by the FDA for expanded MRI access and similar CE Mark approval followed shortly thereafter.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Depression</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VNS Therapy received CE Mark approval in 2001 for treatment-resistant depression in the EU. In 2005, the FDA approved the VNS Therapy System for the adjunctive long-term treatment of chronic or recurrent depression for patients 18 years of age or older who are experiencing a major depressive episode and have not had an adequate response to four or more adequate antidepressant treatments. In 2007, CMS issued an NCD that vagus nerve stimulation is not covered for treatment-resistant depression, significantly limiting access for most patients.</w:t>
      </w:r>
    </w:p>
    <w:p>
      <w:pPr>
        <w:spacing w:after="0" w:line="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 xml:space="preserve">In 2017, the </w:t>
      </w:r>
      <w:r>
        <w:rPr>
          <w:rFonts w:ascii="Times New Roman" w:cs="Times New Roman" w:eastAsia="Times New Roman" w:hAnsi="Times New Roman"/>
          <w:sz w:val="14"/>
          <w:szCs w:val="14"/>
          <w:i w:val="1"/>
          <w:iCs w:val="1"/>
          <w:color w:val="auto"/>
        </w:rPr>
        <w:t>American Journal of Psychiatry</w:t>
      </w:r>
      <w:r>
        <w:rPr>
          <w:rFonts w:ascii="Times New Roman" w:cs="Times New Roman" w:eastAsia="Times New Roman" w:hAnsi="Times New Roman"/>
          <w:sz w:val="14"/>
          <w:szCs w:val="14"/>
          <w:color w:val="auto"/>
        </w:rPr>
        <w:t xml:space="preserve"> published the results of the longest and largest naturalistic study on treatments for patients experiencing DTD. The findings showed that the addition of the VNS Therapy System to traditional treatment was effective in significantly reducing symptoms of severe and chronic depression compared with traditional treatment alone and that VNS Therapy was well tolerated. Following the publication of these study results, LivaNova requested that CMS reconsider its previous NCD, and in 2018, CMS published a tracking sheet to reconsider.</w:t>
      </w:r>
    </w:p>
    <w:p>
      <w:pPr>
        <w:spacing w:after="0" w:line="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2019, CMS published its final decision on the reconsideration, concluding that CMS will cover the VNS Therapy System for Medicare beneficiaries with treatment-resistant depression through CED when offered in a CMS-approved, double-blind, randomized, placebo-controlled trial with a follow-up duration of at least one year. In this 2019 decision, CMS also agreed to cover a VNS Therapy System device replacement for Medicare beneficiaries already implanted with a device. The CED also included the possibility to extend the study to a prospective longitudinal registry.</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2019, CMS accepted the study protocol for LivaNova’s RECOVER clinical study and the first patient was enrolled. LivaNova’s RECOVER clinical study is examining up to 1,000 patients ages 18 or older who have unipolar or bipolar depression that is difficult to treat and is being carried out at up to 100 leading hospitals and medical centers across the U.S.</w:t>
      </w:r>
    </w:p>
    <w:p>
      <w:pPr>
        <w:spacing w:after="0" w:line="5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2023, LivaNova randomized the 500th unipolar depression patient into the RECOVER clinical study and completed enrollment in the unipolar cohort. In June 2024, the Company announced the preliminary results for the unipolar patient cohort. The study did not meet its primary endpoint for the unipolar cohort; however, statistically significant and clinically meaningful improvements were achieved in select secondary endpoints. No new safety issues were identified in the study.</w:t>
      </w:r>
    </w:p>
    <w:p>
      <w:pPr>
        <w:spacing w:after="0" w:line="5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 xml:space="preserve">In December 2024, </w:t>
      </w:r>
      <w:r>
        <w:rPr>
          <w:rFonts w:ascii="Times New Roman" w:cs="Times New Roman" w:eastAsia="Times New Roman" w:hAnsi="Times New Roman"/>
          <w:sz w:val="14"/>
          <w:szCs w:val="14"/>
          <w:i w:val="1"/>
          <w:iCs w:val="1"/>
          <w:color w:val="auto"/>
        </w:rPr>
        <w:t>Brain Stimulation</w:t>
      </w:r>
      <w:r>
        <w:rPr>
          <w:rFonts w:ascii="Times New Roman" w:cs="Times New Roman" w:eastAsia="Times New Roman" w:hAnsi="Times New Roman"/>
          <w:sz w:val="14"/>
          <w:szCs w:val="14"/>
          <w:color w:val="auto"/>
        </w:rPr>
        <w:t xml:space="preserve"> published two articles chronicling the unipolar cohort data set for the RECOVER clinical study. The articles concluded that active VNS Therapy, as compared with a no-stimulation control (or sham VNS Therapy), safely and effectively demonstrated clinically meaningful therapeutic effects on depressive symptoms and positive effects on quality of life and daily function. Analyses of secondary endpoints revealed antidepressant benefits significantly favoring active VNS Therapy as opposed to sham VNS Therapy as measured by ratings from on-site clinicians, patients themselves, and off-</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 w:name="page11"/>
    <w:bookmarkEnd w:id="10"/>
    <w:p>
      <w:pPr>
        <w:jc w:val="both"/>
        <w:spacing w:after="0" w:line="278" w:lineRule="auto"/>
        <w:rPr>
          <w:sz w:val="20"/>
          <w:szCs w:val="20"/>
          <w:color w:val="auto"/>
        </w:rPr>
      </w:pPr>
      <w:r>
        <w:rPr>
          <w:rFonts w:ascii="Times New Roman" w:cs="Times New Roman" w:eastAsia="Times New Roman" w:hAnsi="Times New Roman"/>
          <w:sz w:val="14"/>
          <w:szCs w:val="14"/>
          <w:color w:val="auto"/>
        </w:rPr>
        <w:t>site masked raters. These findings support the use of VNS Therapy in patients with DTD. Based upon these findings and the positive effects for those who received VNS Therapy, the Company conducted additional in-depth data analyses and expects to publish three additional critical manuscripts to report on the outcomes. The Company intends to continue pursuing CMS coverage while reducing investment in the DTD program in 2025.</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Obstructive Sleep Apnea</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In 2018, LivaNova acquired full ownership of ImThera, a company developing an implantable neurostimulation device system for the treatment of obstructive sleep apnea. The device stimulates the hypoglossal nerve, which engages specific tongue and palate muscles to open the airway while a patient sleeps.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2021, LivaNova received approval from the FDA to proceed with its investigational device exemption clinical study, the OSPREY clinical trial, and the first patient was implanted in March 2022 with the aura6000 System.</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November 2024, the Company announced the OSPREY clinical study met its primary endpoints for efficacy and safety. LivaNova plans to submit the PMA application within the first half of 2025.</w:t>
      </w:r>
    </w:p>
    <w:p>
      <w:pPr>
        <w:spacing w:after="0" w:line="25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For information on the contingent consideration arrangements associated with the ImThera acquisition, please refer to “Note 8. Fair Value Measurements” in the consolidated financial statements in this Report.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R&amp;D</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Company’s R&amp;D investment consists of product design and development expenses, including technology, software, clinical study programs, and regulatory activities. LivaNova’s markets are subject to rapid technological advances, and as such, product improvement, software advancements, and innovation are necessary to maintain market leadership. The Company directs its R&amp;D efforts toward maintaining or achieving technological leadership in each of its markets to help ensure that patients using the Company’s devices and therapies receive the most advanced and effective treatment available. LivaNova remains committed to developing technological enhancements and new uses for existing products, as well as less invasive and new technologies to address unmet patient needs. LivaNova continues to engage researchers to collect clinical and health economic evidence that supports regulatory filings and value dossiers and to establish the value proposition to patients, physicians, and payers for its current and future products.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Patents and Licenses</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relies on a combination of patents, trademarks, copyrights, trade secrets, and non-disclosure agreements to protect the Company’s intellectual property. LivaNova generally files patent applications in the U.S. and countries where patent protection for LivaNova’s technology is appropriate and available. It holds rights to patent properties throughout the world that cover various aspects of its technology. Patents typically have a 20-year term from the application filing date. In addition, LivaNova holds exclusive and non-exclusive licenses to a variety of third-party technologies covered by patents and pending patent applications. There can be no assurance that pending patent applications will result in the issuance of patents, that patents issued to or licensed by LivaNova will not be challenged or circumvented by competitors, or that these patents will be found to be valid or sufficiently broad to protect LivaNova’s technology or to provide the Company with a competitive advantage. LivaNova has also obtained certain trademarks and trade names for the Company’s products and maintains certain details about its processes, products, and strategies as trade secrets. In the aggregate, LivaNova considers these intellectual property assets to be of material importance to its business. LivaNova regularly reviews third-party patents and patent applications in an effort to protect its intellectual property and avoid disputes over proprietary rights.</w:t>
      </w:r>
    </w:p>
    <w:p>
      <w:pPr>
        <w:spacing w:after="0" w:line="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also relies on non-disclosure, confidentiality, and non-competition agreements with employees, consultants, and other parties to protect, in part, trade secrets and other proprietary technology. There can be no assurance that these agreements will not be breached or will be enforceable, that LivaNova will have adequate remedies for any breach, that others will not independently develop equivalent proprietary information, or that third parties will not otherwise gain access to LivaNova’s trade secrets and proprietary knowledge.</w:t>
      </w:r>
    </w:p>
    <w:p>
      <w:pPr>
        <w:spacing w:after="0" w:line="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additional information, please refer to “Item 1A. Risk Factors” of this Report, under the section entitled “</w:t>
      </w:r>
      <w:r>
        <w:rPr>
          <w:rFonts w:ascii="Times New Roman" w:cs="Times New Roman" w:eastAsia="Times New Roman" w:hAnsi="Times New Roman"/>
          <w:sz w:val="14"/>
          <w:szCs w:val="14"/>
          <w:i w:val="1"/>
          <w:iCs w:val="1"/>
          <w:color w:val="auto"/>
        </w:rPr>
        <w:t>LivaNova is substantially dependent on patent and other proprietary rights, and failing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protect such rights or to be successful in litigation related to LivaNova’s rights or the rights of others may result in the Company’s payment of significant monetary damages and/or royalty payments, negatively impact LivaNova’s ability to sell current or future products, or prohibit the Company from enforcing its patent and other proprietary rights against others.</w:t>
      </w:r>
      <w:r>
        <w:rPr>
          <w:rFonts w:ascii="Times New Roman" w:cs="Times New Roman" w:eastAsia="Times New Roman" w:hAnsi="Times New Roman"/>
          <w:sz w:val="14"/>
          <w:szCs w:val="14"/>
          <w:color w:val="auto"/>
        </w:rPr>
        <w:t>”</w:t>
      </w: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Markets and Distribution Methods</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sells its medical devices through a combination of direct sales representatives, agents, and independent distributors. Europe and the APAC region are the Company’s largest international markets, with net revenue from these regions representing 18% and 13%, respectively, of total net revenue during the year ended December 31, 2024.</w:t>
      </w:r>
    </w:p>
    <w:p>
      <w:pPr>
        <w:spacing w:after="0" w:line="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LivaNova’s marketing and sales strategy is focused on rapid, cost-effective delivery of high-quality products to a diverse group of customers worldwide, including perfusionists, neurologists, neurosurgeons and other physicians, hospitals, and other medical institutions and healthcare providers. To achieve this objective, LivaNova’s sales team develops and preserves appropriate working relationships with customers, and the Company cultivates and maintains close working relationships with professionals in the medical industry. These relationships provide LivaNova with a detailed understanding of therapeutic and diagnostic trends, developments, and emerging opportunities, which enable the Company to respond to the changing needs of providers and patients. LivaNova actively participates in medical conferences and conducts comprehensive training and educational activities to enhance its presence in the medical communities it serves. LivaNova believes that these activities also contribute to advancing the expertise of healthcare professionals.</w:t>
      </w:r>
    </w:p>
    <w:p>
      <w:pPr>
        <w:spacing w:after="0" w:line="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Hospitals and other medical device customers are seeking to reduce costs through various mechanisms, such as centralized purchasing and, in some cases, limiting the number of vendors that may participate in a given purchasing program. As a result, customer transactions have become increasingly competitive, which has led, and may continue to lead, to downward pricing pressure and an increase in the use of preferred vendors. LivaNova’s global customer base continues to evolve in response to these and other economic developments across the markets the Company serves.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 and Industry</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competes in the global medical device market with sales in more than 100 countries. This market is characterized by technological advances and scientific discoveries which can often trigger rapid changes in market dynamics. LivaNova’s competitors range from large manufacturers with multiple business lines to small manufacturers offering a limited selection of specialized products. LivaNova faces competition from, among others, providers of alternative medical therapies, pharmaceuticals, and surgical interventions.</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Physician advisories, regulatory safety alerts, and publications about LivaNova’s products, or competitor products, can cause major shifts in industry market share, reflecting the importance of product efficacy and quality in the medical device industry. In addition, developments in managed care, economically motivated customers, consolidation among healthcare providers, increased competition, and declining reimbursement rates may increasingly require LivaNova to compete on the basis of price. In order to continue to compete effectively, LivaNova will likely be required to continue to create or acquire advanced technology, incorporate this technology into proprietary products, obtain regulatory approvals in a timely manner, maintain high-quality manufacturing processes, and successfully market and sell these products.</w:t>
      </w:r>
    </w:p>
    <w:p>
      <w:pPr>
        <w:spacing w:after="0" w:line="6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primary medical device competitors in the Cardiopulmonary and Neuromodulation product groups are Terumo Medical Corporation, Maquet Medical Systems, Medtronic plc, Haemonetics Corporation, Spectrum Medical Limited, and NeuroPace, Inc., although not all competitors are present in all product lines.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Production, Quality Systems, and Raw Materials</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manufactures a majority of its products in facilities located in the U.S., Italy, Germany, Australia, and Brazil. LivaNova purchases raw materials and components used in its products from numerous suppliers located in various countries worldwide. For quality assurance, sole source availability, or cost effectiveness purposes, LivaNova may procure certain components and raw materials from a sole supplier. LivaNova takes countermeasures to reduce supply chain risks, including working with suppliers to ensure continuity of supply while maintaining high quality and reliability and working to minimize the instances in which the Company relies on a sole source. LivaNova’s quality systems, which define how its design, development, manufacturing, warehousing, and distribution processes ensure its products are safe and effective, are ISO 13485 certified. In addition, LivaNova utilizes environmental management systems and safety programs to protect the environment and the Company’s employees. LivaNova’s Mirandola, Italy plant is ISO 14001 and ISO 45001 certified, and its Munich, Germany plant is ISO 14001 certified. For additional information related to LivaNova’s manufacturing facilities, refer to “Item 2. Properties” in this Report.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 Regulation and Other Considerations</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medical devices are subject to extensive government regulation by numerous government agencies, both within and outside the U.S. These agencies require LivaNova to comply with laws and regulations governing the research, development, testing, manufacturing, labeling, pre-market clearance or approval, marketing, distribution, advertising, promotion, record keeping, reporting, tracking, importing, and exporting of LivaNova’s products. LivaNova’s business is also affected by data</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12" w:name="page13"/>
    <w:bookmarkEnd w:id="12"/>
    <w:p>
      <w:pPr>
        <w:jc w:val="both"/>
        <w:spacing w:after="0" w:line="303" w:lineRule="auto"/>
        <w:rPr>
          <w:sz w:val="20"/>
          <w:szCs w:val="20"/>
          <w:color w:val="auto"/>
        </w:rPr>
      </w:pPr>
      <w:r>
        <w:rPr>
          <w:rFonts w:ascii="Times New Roman" w:cs="Times New Roman" w:eastAsia="Times New Roman" w:hAnsi="Times New Roman"/>
          <w:sz w:val="14"/>
          <w:szCs w:val="14"/>
          <w:color w:val="auto"/>
        </w:rPr>
        <w:t>privacy and security laws, environmental health and safety regulations, and cost containment initiatives worldwide. LivaNova works to ensure compliance with such laws and regulations and continues to monitor the laws applicable to LivaNova, which are subject to changing and evolving interpretations.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Approval and Monitoring</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Many countries in which LivaNova sells its products subject the Company’s medical devices to their own product approval and requirements regarding performance, safety, and quality. For example, each medical device that LivaNova seeks to distribute commercially in the U.S. must receive 510(k) clearance or PMA from the FDA, unless specifically exempted by the agency. The 510(k) process, also known as pre-market notification, requires LivaNova to demonstrate that its new medical device is substantially equivalent to a legally marketed medical device. The PMA process, which is more costly and rigorous than the 510(k) process, requires LivaNova to demonstrate independently that a medical device is safe and effective for its intended use. One or more clinical studies may be required to support a 510(k) application and are almost always required to support a PMA application.</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EU has established a single regulatory product approval process, pursuant to which a CE Mark certifies conformity with all of the legal requirements of the regulatory process. To obtain a CE Mark, defined products must meet minimum standards of performance, safety, and quality based on, among other things, the evaluation of clinical data supporting the safety and performance of the products during normal conditions of use. The competent authorities of the EU countries separately regulate the clinical research for medical devices and the market surveillance of products placed on the market, and manufacturers with CE marked devices are subject to regular inspections to monitor compliance with the applicable directives and essential requirements. In 2017, for example, the EU published its MDR, which has resulted in significant additional pre- and post-market requirements. Certifications to MDR must be achieved by December 2027 or December 2028, based on the risk classification of the device. Penalties for regulatory non-compliance can be severe, including fines and revocation or suspension of a company’s marketing authorization, mandatory price reductions, and criminal sanctions.</w:t>
      </w:r>
    </w:p>
    <w:p>
      <w:pPr>
        <w:spacing w:after="0" w:line="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LivaNova is also required to comply with the regulations of every country where it commercializes products before the Company can launch or maintain products in the market. To be sold in Japan, for example, LivaNova’s medical devices must undergo thorough safety examinations and demonstrate medical efficacy from the Japanese government through the Ministry of Health, Labour and Welfare before they are granted approval. In China, regulatory requirements are becoming more stringent. Many countries also require that product approvals be recertified on a regular basis, generally every four to five years. The recertification process requires LivaNova to evaluate any device change and any new regulation or standard relevant to the device and, where required, conduct appropriate testing to document continued compliance. Furthermore, in the UK, the UK Future Regulatory Framework is expected to be in place in 2026. This regulation will require manufacturers to take additional steps to register devices in the UK after completing registrations in the EU, Australia, Canada, or the United States. Transition to the UK Future Regulatory Framework is required by 2030.</w:t>
      </w:r>
    </w:p>
    <w:p>
      <w:pPr>
        <w:spacing w:after="0" w:line="24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global regulatory environment is becoming increasingly more stringent and unpredictable. Several countries that did not have regulatory requirements for medical devices have established such requirements in recent years, and other countries have expanded, or plan to expand, their existing regulations. While some regulatory bodies have pursued harmonization of global regulations, requirements continue to differ significantly among countries. LivaNova expects this global regulatory environment will continue to evolve, which could impact the Company’s cost, approval lead time, or ability to maintain existing or obtain future product approvals.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and Promotional Restrictions</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Both before and after LivaNova releases a product for commercial distribution, the Company has ongoing responsibilities under various laws and regulations governing medical devices. The FDA and other regulatory agencies in and outside the U.S. review LivaNova’s design and manufacturing practices, labeling, record keeping, and required reports of adverse experiences and other information to identify potential problems with marketed medical devices. LivaNova is also subject to periodic inspections for compliance with applicable quality system regulations, which govern the methods used in, and the facilities and controls used for, the design, manufacture, packaging, and servicing of finished medical devices intended for human use. In addition, the FDA and other U.S. regulatory bodies monitor the manner in which LivaNova promotes and advertises its products. Although physicians are permitted to use their medical judgment to prescribe medical devices for indications other than those cleared or approved by regulatory bodies, LivaNova is prohibited from promoting products for such “off-label” uses and can only market the Company’s products for cleared or approved uses.</w:t>
      </w:r>
    </w:p>
    <w:p>
      <w:pPr>
        <w:spacing w:after="0" w:line="2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Any adverse regulatory action, depending on its magnitude, may limit LivaNova’s ability to market and sell its products effectively, limit its ability to obtain future pre-market approvals, or result in a substantial modification to LivaNova’s business practices and operations. For additional information, see “Item 1A. Risk Factors” of this Report, under the section entitled</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3" w:name="page14"/>
    <w:bookmarkEnd w:id="13"/>
    <w:p>
      <w:pPr>
        <w:jc w:val="both"/>
        <w:spacing w:after="0" w:line="30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LivaNova’s products are subject to complex laws and regulations, and failure to obtain product approvals, clearance, or reimbursement may materially adversely affect LivaNova’s business, results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operations, cash flows, and financial condition.</w:t>
      </w:r>
      <w:r>
        <w:rPr>
          <w:rFonts w:ascii="Times New Roman" w:cs="Times New Roman" w:eastAsia="Times New Roman" w:hAnsi="Times New Roman"/>
          <w:sz w:val="14"/>
          <w:szCs w:val="14"/>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Governmental Trade Regulations</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sale and shipment of LivaNova’s products and services across international borders, as well as the purchase of components and products from international sources, subject LivaNova to extensive governmental trade regulations. Many countries control the export and re-export of goods, technology, and services for public health, national security, regional stability, antiterrorism, and other reasons. Some governments may also impose tariffs, trade restrictions, and economic sanctions against certain countries, persons, or entities. In certain circumstances, governmental authorities may require LivaNova to obtain approval before LivaNova may export or re-export goods, technology, or services to certain territories and end-users or for certain end-uses. Because LivaNova is subject to extensive regulations in the countries in which it operates, the Company is subject to the risk that laws and regulations could change in a way that would expose LivaNova to additional costs, penalties, or liabilities.</w:t>
      </w:r>
    </w:p>
    <w:p>
      <w:pPr>
        <w:spacing w:after="0" w:line="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also sells and provides goods, technology, and services to agents, representatives, and distributors who may export such items to customers and end-users, and if these third parties violate applicable export control or economic sanctions laws or regulations when engaging in transactions involving the Company’s products, LivaNova may be subject to varying degrees of liability depending on the extent of its participation in the transaction. The activities of these third parties may cause disruption or delays in the distribution and sale of LivaNova’s products or result in restrictions being placed on the Company’s international distribution and sales of products, which may materially impact LivaNova’s business activities.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Data Privacy and Security Laws</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As a global medical device technology company, LivaNova is subject to various laws worldwide that protect the privacy, security, and confidentiality of certain data, including employee data and patient health information, and restrict the use and unauthorized disclosure of such information. Privacy standards are often strict. Enforcement actions and financial penalties related to privacy issues in the EU continue to grow, and new privacy and data localization laws and restrictions are being passed in other countries, including the U.S. The management of cross-border transfers of personal information outside of EU member countries is complex, which may complicate LivaNova’s business and clinical research activities, as well as product offerings that involve transmission or use of patient health information. LivaNova continues to adapt its business processes to comply with those standards and requirements applicable to it.</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the U.S., HIPAA, as amended by the HITECH Act and their respective implementing regulations, imposes specified requirements relating to the privacy and security of certain individually identifiable health information. Among other things, HITECH makes certain of HIPAA’s privacy and security standards directly applicable to “business associates,” essentially defined as service providers of covered entities that create, receive, maintain, or transmit protected health information in connection with providing a service for or on behalf of a covered entity. In certain instances, LivaNova may be considered a business associate. In such instances, the patient data that LivaNova receives may include protected health information, as defined under HIPAA. Related enforcement actions can be costly and may also interrupt LivaNova’s regular business operations. In addition, state laws, such as the CCPA, govern the privacy and security of health information in certain circumstances, many of which differ from each other in significant ways, thus complicating compliance and data protection efforts. Since the CCPA was enacted, other U.S. states have enacted comprehensive and health-related privacy laws. The effects of the CCPA and other recently adopted laws include an increased ability of individuals to control the use of their personal data, heightened transparency obligations, increased obligations of companies to maintain the security of data, and increased exposure to fines or damages for companies that violate these laws, including by not providing individuals their specified privacy rights, not maintaining data security safeguards at specified levels of quality, or experiencing data breaches. For additional information, see “Item 1A. Risk Factors” of this Report, under the section entitled “</w:t>
      </w:r>
      <w:r>
        <w:rPr>
          <w:rFonts w:ascii="Times New Roman" w:cs="Times New Roman" w:eastAsia="Times New Roman" w:hAnsi="Times New Roman"/>
          <w:sz w:val="14"/>
          <w:szCs w:val="14"/>
          <w:i w:val="1"/>
          <w:iCs w:val="1"/>
          <w:color w:val="auto"/>
        </w:rPr>
        <w:t>Cybersecurity incidents or other disruptions to LivaNova’s information technology systems could lead to reduced revenue, increased costs,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liability claims, regulatory fines, litigation, harm to LivaNova’s competitive position, and loss of reputation.”</w:t>
      </w:r>
    </w:p>
    <w:p>
      <w:pPr>
        <w:spacing w:after="0" w:line="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the EU, the processing of certain data, including employee and patient information, is subject to the privacy, security, and confidentiality provisions set forth in Regulation 2016/679. Under the GDPR, data concerning health constitutes sensitive data. The processing of sensitive data is subject to, among other obligations, appropriate notice and consent requirements. Additional requirements apply with respect to issues such as data sharing, cross-border data transfers, data security, and data breach notification. The GDPR also requires LivaNova to implement a number of accountability measures in relation to the processing of sensitive data, including carrying out Data Protection Impact Assessments and appointing a Data Protection Officer. Administrative fines may be levied for non-compliance with the GDPR’s requirements and can reach the higher of €20 million ($20.8 million as of December 31, 2024) or up to 4% of LivaNova’s total worldwide annual net revenue for the preceding financial year.</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color w:val="auto"/>
        </w:rPr>
        <w:t>Environmental Regulation and Management</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is subject to various environmental laws, directives, and regulations both in the U.S. and abroad that have resulted in, and could lead to, increased environmental compliance expenditures and reporting. LivaNova’s ongoing manufacturing and other operations involve the use, storage, and transportation of hazardous and non-hazardous substances regulated under environmental health and safety laws. In addition, governmental authorities may seek to hold LivaNova liable for successor environmental liability violations committed by any companies in which LivaNova invests or acquires or may require LivaNova to clean and remove hazardous substances at its sites that were produced by the operations of prior owners and are unrelated to the Company’s current operations. For additional information, please refer to “Note 11. Commitments and Contingencies” in LivaNova’s consolidated financial statements under the sections entitled “Saluggia Site Hazardous Substances” and “SNIA Environmental Litigation” and “Item 1A. Risk Factors” of this Report, under the section entitled “</w:t>
      </w:r>
      <w:r>
        <w:rPr>
          <w:rFonts w:ascii="Times New Roman" w:cs="Times New Roman" w:eastAsia="Times New Roman" w:hAnsi="Times New Roman"/>
          <w:sz w:val="14"/>
          <w:szCs w:val="14"/>
          <w:i w:val="1"/>
          <w:iCs w:val="1"/>
          <w:color w:val="auto"/>
        </w:rPr>
        <w:t>LivaNova is subject to heightened scrutiny on issues relating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sustainability, including environmental laws and regulations, and the risk of environmental liabilities, violations, and litigation in multiple jurisdictions, any of which could have a material impact on LivaNova’s reputation, business, results of operations, cash flows, financial condition, and liquidity</w:t>
      </w:r>
      <w:r>
        <w:rPr>
          <w:rFonts w:ascii="Times New Roman" w:cs="Times New Roman" w:eastAsia="Times New Roman" w:hAnsi="Times New Roman"/>
          <w:sz w:val="14"/>
          <w:szCs w:val="14"/>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Applicability of Anti-Corruption Laws and Regulations</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LivaNova’s worldwide business is subject to the FCPA, the UK Bribery Act, and other anti-corruption laws and regulations applicable in the jurisdictions where LivaNova operates. The FCPA can be used to prosecute companies in the U.S. for arrangements with physicians or other parties outside the U.S. if the physician or party is a government official of another country and prohibited payments are made to obtain or retain business. The UK Bribery Act prohibits both domestic and international bribery, as well as bribery across both public and private sectors. There are similar laws and regulations applicable to LivaNova outside the U.S. and the UK, all of which are subject to evolving interpretations. For additional information, please refer to “Item 1A. Risk Factors” of this Report, under the section entitled “</w:t>
      </w:r>
      <w:r>
        <w:rPr>
          <w:rFonts w:ascii="Times New Roman" w:cs="Times New Roman" w:eastAsia="Times New Roman" w:hAnsi="Times New Roman"/>
          <w:sz w:val="14"/>
          <w:szCs w:val="14"/>
          <w:i w:val="1"/>
          <w:iCs w:val="1"/>
          <w:color w:val="auto"/>
        </w:rPr>
        <w:t>Failure to comply with anti-bribery laws could materially adversely affect LivaNova’s business and result in civil and/or criminal sanctions.</w:t>
      </w:r>
      <w:r>
        <w:rPr>
          <w:rFonts w:ascii="Times New Roman" w:cs="Times New Roman" w:eastAsia="Times New Roman" w:hAnsi="Times New Roman"/>
          <w:sz w:val="14"/>
          <w:szCs w:val="14"/>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Containment Initiatives</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Government and private sector initiatives to limit the growth of healthcare costs, including price regulation, competitive pricing, bidding and tender mechanics, coverage and payment policies, comparative effectiveness of therapies, technology assessments, and managed-care arrangements, are continuing in many countries where LivaNova does business. These changes are driving customers to place increased emphasis on the delivery of more cost-effective medical devices and therapies. Government programs, private healthcare insurance, and managed-care plans have attempted to control costs by limiting the extent of coverage or amount of reimbursement available for particular procedures or treatments, by connecting reimbursement to outcomes, by shifting to population health management, and through other mechanisms designed to constrain utilization and contain costs. Hospitals are also seeking to reduce costs through a variety of mechanisms, for example, creating centralized purchasing functions that set pricing and, in some cases, limiting the number of vendors that can participate in a given purchasing program. Hospitals are also aligning their interests with those of physicians through employment and other arrangements, such as gainsharing, whereby a hospital agrees with physicians to share certain realized cost savings resulting from the physicians’ collective change in practice patterns, such as standardization of devices where medically appropriate, and participation in affordable care organizations. Such alignment has created increased levels of price sensitivity among customers for LivaNova’s and its competitors’ products.</w:t>
      </w:r>
    </w:p>
    <w:p>
      <w:pPr>
        <w:spacing w:after="0" w:line="5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Some third-party payers must also approve coverage and set reimbursement levels for new or innovative devices or therapies before they reimburse healthcare providers that use the medical devices or therapies. Even though a new medical device may be cleared for commercial distribution, LivaNova may find limited demand for the device until coverage and sufficient reimbursement levels have been obtained from governmental and private third-party payers. In addition, some private third-party payers require that certain procedures or the use of certain products be authorized in advance as a condition of coverage.</w:t>
      </w:r>
    </w:p>
    <w:p>
      <w:pPr>
        <w:spacing w:after="0" w:line="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As a result of LivaNova’s manufacturing efficiencies, cost controls, and other cost-savings initiatives, the Company believes it is well-positioned to respond to changes resulting from this worldwide trend toward cost containment. However, uncertainty remains as to the nature of any future legislation or other reforms, making it difficult for LivaNova to predict the potential impact of cost containment trends on future operating results.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Healthcare Fraud and Abuse and Related Laws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333333"/>
        </w:rPr>
        <w:t>The delivery of LivaNova’s products is subject to regulation by HHS and comparable state and non-U.S. agencies responsible for reimbursement and regulation of healthcare products and services. LivaNova is subject to U.S. federal and state government healthcare regulations and enforcement imposed primarily in connection with government healthcare programs, such as the Medicare and Medicaid programs, as well as healthcare regulations and enforcement imposed by governments in other countries in which LivaNova conducts business.</w:t>
      </w: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15" w:name="page16"/>
    <w:bookmarkEnd w:id="15"/>
    <w:p>
      <w:pPr>
        <w:jc w:val="both"/>
        <w:spacing w:after="0" w:line="269" w:lineRule="auto"/>
        <w:rPr>
          <w:sz w:val="20"/>
          <w:szCs w:val="20"/>
          <w:color w:val="auto"/>
        </w:rPr>
      </w:pPr>
      <w:r>
        <w:rPr>
          <w:rFonts w:ascii="Times New Roman" w:cs="Times New Roman" w:eastAsia="Times New Roman" w:hAnsi="Times New Roman"/>
          <w:sz w:val="14"/>
          <w:szCs w:val="14"/>
          <w:color w:val="333333"/>
        </w:rPr>
        <w:t xml:space="preserve">U.S. federal healthcare laws apply when LivaNova or customers submit claims for items or services that are reimbursed under government healthcare programs, including laws related to kickbacks, false claims, self-referrals, or other healthcare fraud. </w:t>
      </w:r>
      <w:r>
        <w:rPr>
          <w:rFonts w:ascii="Times New Roman" w:cs="Times New Roman" w:eastAsia="Times New Roman" w:hAnsi="Times New Roman"/>
          <w:sz w:val="14"/>
          <w:szCs w:val="14"/>
          <w:color w:val="000000"/>
        </w:rPr>
        <w:t>Specifically, t</w:t>
      </w:r>
      <w:r>
        <w:rPr>
          <w:rFonts w:ascii="Times New Roman" w:cs="Times New Roman" w:eastAsia="Times New Roman" w:hAnsi="Times New Roman"/>
          <w:sz w:val="14"/>
          <w:szCs w:val="14"/>
          <w:color w:val="333333"/>
        </w:rPr>
        <w:t>he federal healthcare Anti-Kickback Statute prohibits persons from, among other things, knowingly and willfully offering or paying remuneration, directly or indirectly, to a person to induce them to order, purchase, lease, or recommend a good or service for which payment may be made in whole or in part under a federal healthcare program such as Medicare or Medicaid, unless the arrangement fits within one of several statutory exemptions or regulatory “safe harbors.” Violations of the federal Anti-Kickback Statute may result in civil monetary penalties up to $100,000 for each violation, plus up to three times the remuneration involved. Violations can also result in criminal penalties, including criminal fines of up to $50,000 and imprisonment for up to 10 years. Finally, violations can result in exclusion from participation in government healthcare programs, including Medicare and Medicaid.</w:t>
      </w:r>
    </w:p>
    <w:p>
      <w:pPr>
        <w:spacing w:after="0" w:line="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333333"/>
        </w:rPr>
        <w:t>Additionally, violations of the False Claims Act can result in significant monetary penalties and treble damages. The U.S. federal government utilizes the False Claims Act, the Anti-Kickback Statute, and similar laws to investigate and prosecute device, pharmaceutical, and biotechnology companies in connection with the promotion of products for unapproved uses, the provision of patient and provider support (e.g., reimbursement support), and other prohibited sales and marketing practices. The U.S. government has obtained multi-million and multi-billion-dollar settlements under the False Claims Act, in addition to individual criminal convictions under applicable criminal statutes. Given the U.S. government’s success in prosecuting claims under the False Claims Act, LivaNova anticipates that the U.S. government will continue to devote substantial resources to investigating healthcare providers’ and manufacturers’ compliance with applicable fraud and abuse laws.</w:t>
      </w:r>
    </w:p>
    <w:p>
      <w:pPr>
        <w:spacing w:after="0" w:line="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333333"/>
        </w:rPr>
        <w:t>In addition to the Anti-Kickback Statute and False Claims Act, many states have their own laws related to kickbacks, false claims, self-referrals, or other healthcare fraud. These laws do not always have the same exceptions or safe harbors as their federal corollaries and, in some states, apply with respect to all payers, including commercial health insurance companies.</w:t>
      </w:r>
    </w:p>
    <w:p>
      <w:pPr>
        <w:spacing w:after="0" w:line="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HIPAA includes federal criminal statutes that prohibit, among other actions, knowingly and willfully executing, or attempting to execute, a scheme to defraud any healthcare benefit program, including private third-party payers; knowingly and willfully embezzling or stealing from a healthcare benefit program; willfully obstructing a criminal investigation of a healthcare offense; or knowingly and willfully falsifying, concealing, or covering up a material fact or making any materially false, fictitious, or fraudulent statement in connection with the delivery of or payment for healthcare benefits, products, or services. Similar to the federal Anti-Kickback Statute, a person or entity does not need to have actual knowledge of the statute or specific intent to violate it in order to have committed a violation.</w:t>
      </w:r>
    </w:p>
    <w:p>
      <w:pPr>
        <w:spacing w:after="0" w:line="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There is also federal and state regulation of, and transparency with respect to, payments made to physicians and other healthcare providers. LivaNova is subject to, for example, the Physician Payments Sunshine Act, which requires the Company to report annually certain payments and other transfers of value it makes to U.S. licensed physicians, nurse practitioners, physician assistants, or teaching hospitals. Any failure to comply with such laws and regulations may result in civil financial penalties.</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addition, as discussed above, the U.S. and foreign government regulators enforce the FCPA and other anti-bribery laws. These laws and regulations are broad in scope and are subject to evolving interpretation. As a result, LivaNova has been, and will likely continue to be, required to incur substantial costs to investigate allegations, audit and monitor compliance, and/or alter the Company’s practices with respect to these laws. Violations or alleged violations of these laws could result in litigation, and LivaNova may be subject to criminal or civil penalties and sanctions, including substantial fines, imprisonment of current or former employees, and exclusion from participation in governmental healthcare programs.</w:t>
      </w:r>
    </w:p>
    <w:p>
      <w:pPr>
        <w:spacing w:after="0" w:line="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evolving commercial compliance environment and the resulting need to build and maintain robust systems to comply with different compliance and/or reporting requirements in multiple jurisdictions increase the possibility that a healthcare company may violate one or more of these requirements and be required to allocate significant resources to its compliance program. If LivaNova’s operations are found to be in violation of any such laws or any other governmental regulations that apply to the Company, LivaNova may be subject to penalties, including, without limitation, civil and criminal penalties, damages, fines, entry into corporate integrity agreements or other monitoring agreements with governmental agencies, the curtailment or restructuring of its operations, and exclusion from participation in federal and state healthcare programs, any of which could adversely affect LivaNova’s financial results and the Company’s ability to operate its business.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Pursuant to Section 13(r) of the Exchange Act of 1934</w:t>
      </w:r>
    </w:p>
    <w:p>
      <w:pPr>
        <w:spacing w:after="0" w:line="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Section 13(r) of the Exchange Act requires issuers to disclose in their annual reports, among other things, certain types of dealings with Iran and other entities, including transactions or dealing with government-owned entities, even when those activities are lawful and do not involve U.S. persons. Two of LivaNova’s non-U.S. subsidiaries currently sell medical devices, including cardiopulmonary and neuromodulation products, to distributors and non-governmental organizations in Iran to support patient care in that country. LivaNova has limited visibility into the identity of the customers of these distributors and</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6" w:name="page17"/>
    <w:bookmarkEnd w:id="16"/>
    <w:p>
      <w:pPr>
        <w:jc w:val="both"/>
        <w:spacing w:after="0" w:line="303" w:lineRule="auto"/>
        <w:rPr>
          <w:sz w:val="20"/>
          <w:szCs w:val="20"/>
          <w:color w:val="auto"/>
        </w:rPr>
      </w:pPr>
      <w:r>
        <w:rPr>
          <w:rFonts w:ascii="Times New Roman" w:cs="Times New Roman" w:eastAsia="Times New Roman" w:hAnsi="Times New Roman"/>
          <w:sz w:val="14"/>
          <w:szCs w:val="14"/>
          <w:color w:val="auto"/>
        </w:rPr>
        <w:t>non-governmental organizations in Iran. It is possible that their customers include entities such as government-owned hospitals or sub-distributors that are owned or controlled directly or indirectly by the Iranian government. However, to the best of its knowledge at this time, LivaNova does not have any contracts or commercial arrangements with the Iranian government or other relevant entities.</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gross revenues and net profits attributable to the above-mentioned Iranian activities were $2.8 million and $1.6 million for the three months ended December 31, 2024, respectively, and $9.5 million and $4.9 million for the year ended December 31, 2024, respectively.</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 believes its activities are consistent with applicable law, including U.S., UK, EU, and other applicable sanction laws, though such laws are complex and continue to evolve rapidly. The Company intends to continue its business in Iran.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 Management</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has approximately 2,900 employees worldwide, representing more than 70 nationalities and located in 31 countries. These employees are crucial in achieving the Company’s mission to provide hope to its patients and their families. LivaNova encourages its employees to live by LivaNova’s five core values: patients first, meaningful innovation, act with agility, commitment to quality and integrity, and collaborative culture. The Company measures its success by these values, using them as a foundation for achieving organizational growth and excellence.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Compensation and Benefits</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To meet the needs of LivaNova’s patients and customers, the Company strives to attract, retain, develop, and reward exceptional talent. LivaNova’s proactive talent acquisition strategies, competitive compensation and benefits, collaborative and rewarding work environment, leadership development programs, and professional training opportunities have been a significant driver of the Company’s success. In addition to base pay, LivaNova’s rewards, compensation, and benefits programs may include, depending on jurisdiction, annual performance bonuses, stock awards, pensions, health and well-being programs, paid time off and parental leave, financial assistance for education-related purposes, flexible working schedules, hybrid and remote working, employee stock purchase plans, and employee rewards programs, among others.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Culture</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seeks to foster a culture of continuous understanding and transparency, where open and direct communication is valued. Accordingly, LivaNova regularly conducts employee engagement surveys, called LivaNova4You, to measure overall employment engagement and satisfaction and to provide the Company with actionable data for potential improvement opportunities. Over 90% of employees completed the 2024 LivaNova4You engagement survey which encompassed questions relating to health and wellness, employment engagement, transformation and change, and overall culture within the Company. Based on the results of the survey, leaders within the Company are working with their teams to enhance communications and workload, collaboration around the organization, deeper focus on change management strategies, and increased development and career growth opportunities.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Performance Management, Leadership Development, and Professional Training</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annual performance management process is designed to build employee skills and capabilities and develop and retain enterprise leaders for the future. It includes training to increase the quality of employee/manager talent review discussions and employee performance calibrations among leaders to drive consistency. All employees, which include full-time and part-time employees, start the year creating performance-aligned goals that are reviewed with their managers at both mid-year and year-end performance evaluation reviews.</w:t>
      </w:r>
    </w:p>
    <w:p>
      <w:pPr>
        <w:spacing w:after="0" w:line="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Employees have access to an extensive training library called LivaNova University, which contains modules covering different aspects of the business. In addition, LivaNova has a range of tailored programs in place to develop and enhance employees’ career paths. The LivaNova Leadership Academy is a program that promotes development through three different learning forums - Manager Fundamentals, Emerging Leaders, and Advanced Leadership - to accelerate the development and succession readiness for employees chosen for the program.</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 also supports the continuing education of its employees externally. In the U.S. and internationally, eligible employees can access financial aid through education reimbursement programs for approved courses and certifications completed independently.</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Finally, LivaNova offers internships and apprenticeships across functions around the globe, in partnership with universities and institutions, which may lead to full-time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color w:val="auto"/>
        </w:rPr>
        <w:t>Valuing People</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recognizes the value in fostering an inclusive work environment and strives to provide a workplace free of harassment or discrimination. LivaNova’s strategy for accelerating diversity begins with creating new ways to identify extraordinary talent. Examples of the Company’s efforts include networking with universities, posting job listings on diverse sites, ensuring diversity-focused interview slates and panels, and training interviewers on how to conduct a fair, unbiased interview process.</w:t>
      </w:r>
    </w:p>
    <w:p>
      <w:pPr>
        <w:spacing w:after="0" w:line="4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also supports internal diversity affinity initiatives, including the Multi-Generation Network and the Global Women’s Network, where employees convene to discuss topics that unite and celebrate the strength of diversity in the workplace. In addition, the LivaNova Women’s Network operates a mentorship program created by women and for women that facilitates pairings between mentors and mentees in the U.S. and Latin America. Topics range from career and financial advice to performance management and connection to the Company’s strategy. These programs provide members with new perspectives, more personalized development, and an opportunity to network with other women across the organization.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number of medical procedures incorporating LivaNova’s products is generally lower during the summer months, particularly in European countries, due to summer vacation schedules.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 xml:space="preserve">LivaNova’s global headquarters are located at 20 Eastbourne Terrace, London, UK W2 6LG. The Company’s website address is </w:t>
      </w:r>
      <w:r>
        <w:rPr>
          <w:rFonts w:ascii="Times New Roman" w:cs="Times New Roman" w:eastAsia="Times New Roman" w:hAnsi="Times New Roman"/>
          <w:sz w:val="14"/>
          <w:szCs w:val="14"/>
          <w:i w:val="1"/>
          <w:iCs w:val="1"/>
          <w:color w:val="auto"/>
        </w:rPr>
        <w:t>www.livanova.com.</w:t>
      </w:r>
      <w:r>
        <w:rPr>
          <w:rFonts w:ascii="Times New Roman" w:cs="Times New Roman" w:eastAsia="Times New Roman" w:hAnsi="Times New Roman"/>
          <w:sz w:val="14"/>
          <w:szCs w:val="14"/>
          <w:color w:val="auto"/>
        </w:rPr>
        <w:t xml:space="preserve"> Free of charge through its website, LivaNova makes available its Proxy Statements on Schedule 14A, Annual Reports on Form 10-K, Quarterly Reports on Form 10-Q, Current Reports on Form 8-K, amendments to those reports filed or furnished pursuant to Section 13(a) or 15(d) of the Exchange Act, and reports relating to beneficial ownership of the Company’s securities filed or furnished pursuant to Section 16 of the Exchange Act, as soon as reasonably practicable after electronically filing such material with the SEC. LivaNova’s website also contains the charters for each standing committee of its Board of Directors in addition to the Company’s Corporate Governance Guidelines.</w:t>
      </w:r>
    </w:p>
    <w:p>
      <w:pPr>
        <w:spacing w:after="0" w:line="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 may from time to time provide important disclosures to investors by posting them in the Investor Relations section of its website, as allowed by SEC rules. Information on LivaNova’s website is not incorporated into this Report.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SEC also maintains a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that contains reports, proxy statements, and other information about SEC registrants, including LivaNova.</w:t>
      </w: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0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An investor should carefully consider the risks described below, as well as other information contained in this Report and in LivaNova’s other filings with the SEC. The Company’s business, results of operations, cash flows, and financial condition could be materially and adversely affected by any such risks or uncertainties. Additional risks and uncertainties not presently known to the Company or that the Company currently believes to be immaterial may also adversely affect its business.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the Company’s Business and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LivaNova is subject to the risks of conducting business internationally.</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designs, develops, manufactures, markets, and sells products and therapies globally, and the Company intends to continue to pursue growth opportunities worldwide. LivaNova’s international operations are subject to risks that are inherent in conducting business globally. These risks, many of which LivaNova has experienced first-hand, include higher danger of terrorist activity, war, or civil unrest; greater exposure to inflation; volatility in freight and labor costs; fluctuating interest and exchange rates; increased exposure to cyber-attacks and supply chain challenges; trade protection measures such as tariffs, evolving sanctions, and import and export licensing requirements; changing energy prices; local product changes and compliance requirements; longer payment terms and collection times for receivables in local jurisdictions; difficulty enforcing agreements; greater exposure to creditworthiness of customers and inconsistent local law enforcement of obligations; ensuring compliance with anti-bribery laws; differing labor regulations and workforce instability; selling by way of distributors and agents; and political and economic instability. Many of these risks are rapidly evolving and subject to an accelerating pace of change.</w:t>
      </w:r>
    </w:p>
    <w:p>
      <w:pPr>
        <w:spacing w:after="0" w:line="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Conflicts, for example, including those in Ukraine and the Middle East, have caused the Company to assess its ability to source materials, manage transportation costs, sell product, collect payment, and comply with international sanctions. These conflicts have increased economic and regulatory uncertainties, and a significant escalation or continuation of these conflicts could have a material impact on the Company’s operating results.</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Certain of LivaNova’s subsidiaries are engaged in business dealings in countries subject to comprehensive sanctions, including Iran and Russia. These business dealings represent an insignificant amount of LivaNova’s consolidated revenues and income but expose the Company to a heightened risk of violating applicable sanctions regulations. Violations of these regulations are punishable by civil and criminal penalties, including fines, denial of export privileges, injunctions, asset seizures, debarment from government contracts, and revocations or restriction of licenses, as well as criminal fines and imprisonment. Despite best efforts to comply, there can be no assurance that LivaNova’s policies and procedures will prevent the Company from violating these regulations in every transaction in which LivaNova may engage, and such a violation could adversely affect its reputation, business, results of operations, cash flows, and financial condition.</w:t>
      </w:r>
    </w:p>
    <w:p>
      <w:pPr>
        <w:spacing w:after="0" w:line="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addition, LivaNova’s global operations result in revenues and expenses that are denominated in currencies other than LivaNova’s reporting currency, the USD. Fluctuations in exchange rates may impact, and have impacted, LivaNova’s results of operations and financial condition. Although LivaNova has in the past elected, and may in the future elect, to hedge certain foreign currency exposures, it is unlikely that any hedging strategy would eliminate its currency risk entirely. LivaNova cannot predict the change in currency exchange rates, the impact of exchange rate changes, or the degree to which it will be able to manage the impact of currency exchange rate changes.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 aforementioned risks could adversely affect LivaNova’s business, results of operations, cash flows, and financial condition.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Reductions and interruptions in LivaNova’s supply chain have had, and may continue to have, adverse effects on LivaNova’s business, results of operations, cash flows, and financial condition.</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purchases many of the components and raw materials used in manufacturing its products from numerous suppliers in various countries. In some cases, LivaNova purchases specific components and raw materials from primary or main suppliers (or in some cases, a single or sole supplier) for reasons related to quality assurance, cost-effectiveness, and availability. Although the Company has generally been able to maintain necessary supplies of raw materials and components, supplier shortages and interruptions of certain components, such as PC-coated PMP fiber used in the manufacture of oxygenators, have caused, and may in the future cause, meaningful disruptions to LivaNova’s product manufacturing supply chain. Any problem affecting a supplier (whether due to external or internal causes) could have, and in certain instances, has had, a negative impact on LivaNova. Difficulties and delays in manufacturing, internally, externally, or otherwise within the supply chain, may lead to voluntary or involuntary business interruptions or shutdowns, employee furloughs, product shortages, withdrawals or suspensions of products from the market, and potential regulatory action.</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19" w:name="page20"/>
    <w:bookmarkEnd w:id="19"/>
    <w:p>
      <w:pPr>
        <w:jc w:val="both"/>
        <w:spacing w:after="0" w:line="275" w:lineRule="auto"/>
        <w:rPr>
          <w:sz w:val="20"/>
          <w:szCs w:val="20"/>
          <w:color w:val="auto"/>
        </w:rPr>
      </w:pPr>
      <w:r>
        <w:rPr>
          <w:rFonts w:ascii="Times New Roman" w:cs="Times New Roman" w:eastAsia="Times New Roman" w:hAnsi="Times New Roman"/>
          <w:sz w:val="14"/>
          <w:szCs w:val="14"/>
          <w:color w:val="auto"/>
        </w:rPr>
        <w:t>Moreover, due to strict standards and regulations governing the manufacture and marketing of LivaNova’s products, the Company may not be able to locate new supply sources quickly or at all in response to a supply reduction or interruption, especially for components and raw materials sourced by a single or sole supplier, resulting in negative effects on its ability to meet market demand and to manufacture products effectively and timely. To the extent the Company is unsuccessful in managing its supply chain, any such issues could have a material adverse effect on LivaNova’s business, results of operations, cash flows, and financial condition.</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Cybersecurity incidents or other disruptions to LivaNova’s information technology systems could lead to reduced revenue, increased costs, liability claims, regulatory fines, litigation, harm to LivaNova’s competitive position, and loss of reputation.</w:t>
      </w:r>
    </w:p>
    <w:p>
      <w:pPr>
        <w:spacing w:after="0" w:line="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is increasingly dependent on its information technology systems and those of third parties to operate its business, and certain products of the Company include integrated software and information technology. Such dependencies have been exacerbated by remote work practices. LivaNova relies on information technology systems to collect and process customer orders, manage product manufacturing and shipping, and support regulatory compliance. The Company routinely processes, stores, and transmits large amounts of data, including sensitive personal information, patient health information, and confidential business information. The secure processing, maintenance, and transmission of this information are critical to LivaNova’s operations. The quantity and complexity of the Company’s products and information technology systems make such systems vulnerable to cybersecurity incidents, breakdowns, interruptions, destruction, loss or compromise of data, obsolescence of or incompatibility among systems, or other significant disruptions.</w:t>
      </w:r>
    </w:p>
    <w:p>
      <w:pPr>
        <w:spacing w:after="0" w:line="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Company has experienced and is continually at risk of being subject to cybersecurity incidents and other disruptions. Programs and systems may require frequent updates or may no longer be supported, which may impact the ability of the Company’s information technology systems to operate properly or without disruption. Unauthorized persons routinely attempt to access LivaNova’s systems to disrupt, disable, or degrade services; obtain proprietary or confidential information; or remotely disrupt or access the systems of large healthcare provider customers of the Company by attempting to exploit the Company’s systems. Furthermore, LivaNova’s security assessments of third-party vendors may be inadequate to determine whether their security protocols are sufficient to prevent a cybersecurity incident or other system or data compromise. LivaNova also cannot be certain that the Company will receive timely notification by its third-party vendors of such matters. Cybersecurity incidents and other system and data compromises could remain undetected for an extended period, which could potentially result in significant harm to the Company’s information technology systems, as well as unauthorized access to, or acquisition of, the information stored on and/or transmitted by the Company’s information technology systems. In addition, to access LivaNova’s products and services, its customers may use computers and other devices that are beyond the Company’s security control safeguards.</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Unauthorized disclosure or use of, denial of access to, or other incidents involving sensitive or confidential customer, patient, employee, vendor or Company data, whether through systems failure, employee negligence, fraud, misappropriation, cybersecurity incidents, or other intentional or unintentional acts, could expose and have exposed the Company to liability under various laws and regulations across jurisdictions and increase the risk of litigation and governmental or regulatory investigation, damage LivaNova’s reputation and its competitive positioning in the marketplace, disrupt its or its customers’ business operations, or cause LivaNova to lose customers, potentially resulting in significant financial exposure and legal liability. Similarly, unauthorized access to or through, denial of access to, or other incidents involving LivaNova or its vendors’ information systems, whether by the Company’s employees or third parties, including a cyber-attack by criminal hackers, or state-sponsored organizations, who continuously develop and deploy viruses, ransomware, malware, or other malicious software programs or social engineering attacks, have resulted and could in the future result in negative publicity, significant remediation costs, legal liability, notification requirements, and damage to LivaNova’s reputation, which could have a material adverse effect on the Company’s business, results of operations, cash flows, and financial condition.</w:t>
      </w:r>
    </w:p>
    <w:p>
      <w:pPr>
        <w:spacing w:after="0" w:line="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Cybersecurity threats are constantly expanding and evolving, becoming increasingly sophisticated and complex, increasing the difficulty of detecting and defending against them and maintaining effective security measures and protocols. Additionally, artificial intelligence and machine learning may be used for certain cybersecurity incidents, improving or expanding the existing capabilities of threat actors in manners the Company cannot predict at this time, resulting in greater risk of cybersecurity incidents. Even when a cybersecurity incident or other system or data compromise is detected, the full extent of the issue may not be determined immediately. The costs to the Company to mitigate cybersecurity incidents or other system or data compromises could be significant, and, while the Company has implemented security measures to protect its information technology systems and data, its efforts to address potential information security vulnerabilities may not be successful. LivaNova’s cyber risk insurance may be insufficient to cover losses in connection with a cybersecurity incident or other system or data compromise, such as attorney’s fees, regulatory fines, litigation costs, or financial losses that exceed the Company’s policy limits or are not covered under any of its current insurance policies. Cyber risk insurance also has become more</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color w:val="auto"/>
        </w:rPr>
        <w:t>expensive to obtain, and LivaNova cannot be certain that the Company’s current levels of insurance will be available in the future on economically reasonable terms.</w:t>
      </w:r>
    </w:p>
    <w:p>
      <w:pPr>
        <w:spacing w:after="0" w:line="1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The Company implemented remediation measures to mitigate the impact of the incident. The Company also assessed the nature and scope of the affected data, analyzed its statutory notification obligations, and notified affected individuals and regulators as required by applicable law. The incident has been contained, and the Company’s mitigation efforts are considered complete, but any future cybersecurity event has the potential to materially affect its results of operations, cash flows, and financial condition.</w:t>
      </w:r>
    </w:p>
    <w:p>
      <w:pPr>
        <w:spacing w:after="0" w:line="6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The costs of complying with the requirements of U.S. federal and state and international laws and regulations pertaining to the privacy and security of personal information, including health-related information, and the potential liability associated with failure to comply with such laws and regulations, could materially adversely affect LivaNova’s business and results of operations.</w:t>
      </w:r>
    </w:p>
    <w:p>
      <w:pPr>
        <w:spacing w:after="0" w:line="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There is significant regulatory enforcement focus on data protection in the U.S. (at both federal and state levels) and abroad, and an actual or alleged failure to comply with applicable U.S. or international data protection laws or regulations or other data protection standards may expose LivaNova to regulatory investigations, litigation (including class action litigation), fines, sanctions, settlement costs, or other penalties and liabilities, which could harm the Company’s reputation and adversely impact LivaNova’s business, results of operations, cash flows, and financial condition. The Company collects, stores, and handles personnel and patient data, including sensitive patient health information, which may present material obligations and risks to LivaNova’s business, including significantly expanded compliance burdens, costs, and enforcement risks. If LivaNova does not lawfully collect, store, handle, or otherwise process personal information and does not prevent cybersecurity incidents or other system or data compromises, particularly given the increased risks associated with processing sensitive health information, LivaNova may suffer legal and regulatory consequences in addition to business consequences. See “</w:t>
      </w:r>
      <w:r>
        <w:rPr>
          <w:rFonts w:ascii="Times New Roman" w:cs="Times New Roman" w:eastAsia="Times New Roman" w:hAnsi="Times New Roman"/>
          <w:sz w:val="14"/>
          <w:szCs w:val="14"/>
          <w:i w:val="1"/>
          <w:iCs w:val="1"/>
          <w:color w:val="auto"/>
        </w:rPr>
        <w:t>Cybersecurity incidents or other disruptions to LivaNova’s information technology systems could lead to reduced revenue,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increased costs, liability claims, regulatory fines, litigation, harm to LivaNova’s competitive position, and loss of reputation.</w:t>
      </w:r>
      <w:r>
        <w:rPr>
          <w:rFonts w:ascii="Times New Roman" w:cs="Times New Roman" w:eastAsia="Times New Roman" w:hAnsi="Times New Roman"/>
          <w:sz w:val="14"/>
          <w:szCs w:val="14"/>
          <w:color w:val="auto"/>
        </w:rPr>
        <w:t>” above.</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As a result of its worldwide operations, the Company is subject to various data protection and cybersecurity laws and regulations in many jurisdictions, including HIPAA, U.S. state privacy and data breach notification laws, and the GDPR. Other governments have enacted or amended or are enacting similar data protection laws, including data localization laws that require data to stay within their borders and other technical and operational adaptions that may be required given the rapid changes in data protection regulation where LivaNova conducts business. The enactment of such laws could have potentially conflicting requirements that would make compliance challenging. LivaNova’s efforts to comply with applicable laws and regulations may be inadequate, and the Company may be unable to avoid enforcement actions by governmental bodies. Enforcement actions may be costly and could interrupt the regular operations of LivaNova’s business. Moreover, LivaNova’s insurance coverage may be insufficient to cover all losses in connection with alleged non-compliance with applicable data protection laws and regulations. In addition, in the U.S., there is a trend of civil lawsuits and class actions relating to compromises of personal information caused by cybersecurity incidents or other system or data compromises, which typically allege negligence, breach of contract, and violation of various state consumer protection laws. LivaNova USA, Inc., for example, was named as a defendant in six putative class actions arising out of the November 2023 cybersecurity incident, which were consolidated into a single action that has been settled. The Company also has received inquiries from HHS’s Office for Civil Rights, U.S. state regulators, and international data protection authorities regarding the 2023 incident. In connection with any potential future cybersecurity incident, the Company similarly could become a target of civil litigation or government enforcement actions as a result of a compromise to or loss of data.</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global medical device industry is highly competitive, and LivaNova may be unable to compete effectively.</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operates in a highly competitive market characterized by increasingly complex products that are expensive and time- consuming to develop and manufacture. In the product lines in which LivaNova competes, the Company faces a mixture of competitors ranging from large manufacturers with multiple business lines to small manufacturers that offer a limited selection of specialized products. Development by other companies of new or improved products, processes, therapies, or technologies, including products developed with the effective use of advanced technologies like artificial intelligence, may make LivaNova’s products or proposed products less competitive. The Company’s failure to adopt or integrate such advanced technologies may hinder product innovation, increase costs, and impact its competitiveness and operational efficiency. In addition, LivaNova faces competition from providers of alternative medical therapies, pharmaceuticals, and surgical interventions, among others. Competitive factors include product quality, reliability and performance; product technology and innovation; breadth of product lines and product services; ability to identify new market trends; changes to the regulatory environment; cost-effectiveness and</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1" w:name="page22"/>
    <w:bookmarkEnd w:id="21"/>
    <w:p>
      <w:pPr>
        <w:jc w:val="both"/>
        <w:spacing w:after="0" w:line="275" w:lineRule="auto"/>
        <w:rPr>
          <w:sz w:val="20"/>
          <w:szCs w:val="20"/>
          <w:color w:val="auto"/>
        </w:rPr>
      </w:pPr>
      <w:r>
        <w:rPr>
          <w:rFonts w:ascii="Times New Roman" w:cs="Times New Roman" w:eastAsia="Times New Roman" w:hAnsi="Times New Roman"/>
          <w:sz w:val="14"/>
          <w:szCs w:val="14"/>
          <w:color w:val="auto"/>
        </w:rPr>
        <w:t>price; customer support and training; capacity to recruit engineers, scientists, and other qualified employees; ability to navigate the regulatory approval process in the markets in which LivaNova operates; reimbursement approval; reimbursement coverage; and effectiveness of systems and processes. Additionally, academic institutions, governmental agencies, and other public and private research organizations may also conduct research, seek patent protection, and establish collaborative arrangements for discovery, research, clinical development, and marketing of products similar to LivaNova’s products. Difficulties in any of these areas may have a material adverse effect on LivaNova’s business, results of operations, cash flows, and financial condition.</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LivaNova’s research and development efforts rely upon investments and investment collaborations, and the Company cannot guarantee that any previous or future investments or investment collaborations will be successful.</w:t>
      </w:r>
    </w:p>
    <w:p>
      <w:pPr>
        <w:spacing w:after="0" w:line="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rapid pace of technological development in the medical industry and the specialized expertise required in different areas of medicine make it difficult for one company alone to develop a broad portfolio of technological solutions. As a result, LivaNova also relies on investments and investment collaborations to provide the Company access to new technologies. If LivaNova fails to develop new and enhanced products and services on a timely basis, the Company’s offerings may become more expensive to maintain and eventually obsolete over time, and its reputation, business, and financial results may be negatively impacted. LivaNova’s success depends on several factors, including its ability to appropriately allocate the Company’s R&amp;D funding to products and services with higher growth prospects, for example, further incorporation of software, hiring and retaining the necessary R&amp;D talent, stimulating customer demand for and convincing customers to adopt new technologies, innovating and developing new technologies and applications, and acquiring or obtaining third-party technologies that may have valuable applications in the markets that LivaNova serves.</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expects to make investments where it believes that the Company can internally develop, or acquire, new technologies and products to further LivaNova’s strategic objectives and strengthen LivaNova’s existing businesses. The success of any investment may be affected by a number of factors, including the Company’s ability to identify and then properly assess and value the potential business opportunity. These types of transactions may require more resources than originally anticipated, may divert management’s attention from the Company’s existing business, and may not result in the expected benefits, savings, or synergies. Investments and investment collaborations in and with medical technology companies are inherently risky, and LivaNova cannot guarantee that any of its previous or future acquisitions, investments, or investment collaborations will be successful or will not materially adversely affect LivaNova’s business, results of operations, cash flows, and financial condition.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continuing development of many of LivaNova’s products depends upon the Company maintaining appropriate working relationships with healthcare professionals.</w:t>
      </w:r>
    </w:p>
    <w:p>
      <w:pPr>
        <w:spacing w:after="0" w:line="1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success and continuing development of LivaNova’s products depend on the ability to work appropriately with healthcare professionals as needed. If LivaNova fails to maintain its working relationships with physicians and other healthcare professionals, the Company’s products may not be developed and marketed in line with the needs and expectations of the professionals who use and support LivaNova’s products. Physicians assist LivaNova as researchers, marketing consultants, product consultants, inventors, and public speakers, and LivaNova relies on these professionals to provide the Company with considerable knowledge and experience. If LivaNova is unable to maintain these relationships, the development and marketing of the Company’s products could suffer, which could have a material adverse effect on LivaNova’s business, results of operations, cash flows, and financial condition.</w:t>
      </w:r>
    </w:p>
    <w:p>
      <w:pPr>
        <w:spacing w:after="0" w:line="4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Quality issues with LivaNova’s processes, products, and services could harm the Company’s reputation for producing high-quality products and erode LivaNova’s competitive advantage, revenue, and market share.</w:t>
      </w:r>
    </w:p>
    <w:p>
      <w:pPr>
        <w:spacing w:after="0" w:line="3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Maintaining the quality of the Company’s products is important to LivaNova and its customers due to the serious and costly consequences of product failure. LivaNova’s quality certifications are critical to the marketing success of the Company’s products and services. If LivaNova fails to meet these standards, the Company’s reputation could be damaged, the Company could lose customers, and LivaNova’s revenue and results of operations could decline. Aside from specific customer standards, LivaNova’s success depends generally on the Company’s ability to manufacture precision-engineered components, sub-assemblies, and finished products to exact tolerances with certified materials. If LivaNova’s components fail to meet these standards or fail to adapt to evolving standards, the Company’s reputation as a manufacturer of high-quality products will be harmed, certain of its inventory may become obsolete, its competitive advantage could be damaged, and LivaNova could lose customers and market share.</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2" w:name="page23"/>
    <w:bookmarkEnd w:id="22"/>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If LivaNova’s marketed medical devices are defective or otherwise pose safety risks, the FDA and similar non-U.S. governmental authorities could require their recall or initiate an enforcement action, or LivaNova may initiate a recall of the Company’s products or stop sales of products voluntarily.</w:t>
      </w:r>
    </w:p>
    <w:p>
      <w:pPr>
        <w:spacing w:after="0" w:line="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As a healthcare company, LivaNova’s products are subject to the risk of recalls or enforcement actions. The FDA and similar non-U.S. governmental authorities may require the recall and/or the withdrawal of sales of commercialized products in the event of material deficiencies or defects in design, software, or manufacture, or in the event that a product poses an unacceptable risk to patients’ health. Manufacturers, on their own initiative, may recall a product or stop sales of such product, and the Company has in the past initiated, and may initiate in the future, voluntary product recalls and sale stoppages. Any recall announcement could harm LivaNova’s reputation with customers and negatively affect LivaNova’s reputation, business, results of operations, cash flows, and financial position. A recall could also impair LivaNova’s ability to produce its products in a cost-effective and timely manner. In the future, LivaNova may initiate voluntary withdrawal, removal, replacement, or repair actions that the Company determines do not require notification as a recall. If a regulatory authority were to disagree with LivaNova’s determinations, it could require the Company to report those actions as recalls.</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addition, depending on the corrective action taken to redress a device’s deficiencies or defects, regulators may require, or LivaNova may decide, that the Company needs to obtain new approvals or clearances before it markets or distributes the corrected device. Seeking such approvals or clearances may delay LivaNova’s ability to replace the recalled device in a timely manner. Any corrective action, whether voluntary or involuntary, or related litigation will require investment of the Company’s time and capital, may distract management from operating the business, may cause the Company to write down inventory related to any product recall or other quality issues, and may harm LivaNova’s reputation and financial results. See, for example, “Note 11. Commitments and Contingencies” in LivaNova’s consolidated financial statements under the section entitled “Product Liability Litigation.” Moreover, if LivaNova does not adequately address problems associated with its devices, the Company may face additional regulatory enforcement actions, including FDA warning letters, product seizures, injunctions, administrative penalties, or civil or criminal fines, any of which could have a material adverse effect on LivaNova’s business.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product-related government regulations may materially adversely affect LivaNova’s business, results of operations, cash flows, and financial condition.</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Both before and after a product is commercially released, LivaNova has ongoing responsibilities under FDA and other applicable non-U.S. government agency regulations. For instance, many of LivaNova’s facilities and procedures and those of its suppliers are subject to periodic inspections by the FDA, which can result, and in the past has resulted, in inspection observations on the FDA’s Form 483, warning letters, or other forms of enforcement. If the FDA were to conclude that LivaNova is not in compliance with applicable laws or regulations, or that any of the Company’s medical products are ineffective or pose an unreasonable health risk, the FDA could ban such medical products; detain or seize adulterated or misbranded medical products; order a recall, repair, replacement, or refund of such products; refuse to grant pending PMA applications; and/or require LivaNova to notify health professionals and others that the devices present an unreasonable risk of substantial harm to the public health. Similar consequences could follow, such as audits by non-U.S. regulators and notified bodies.</w:t>
      </w:r>
    </w:p>
    <w:p>
      <w:pPr>
        <w:spacing w:after="0" w:line="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FDA and other non-U.S. government agencies could also assess civil or criminal penalties against LivaNova, the Company’s officers, or other employees and/or impose operating restrictions on a company-wide basis. The FDA could also recommend prosecution to the U.S. Department of Justice. An adverse regulatory action could restrict LivaNova from effectively marketing and selling its products, limit its ability to obtain future pre-market clearances or PMAs, and result in a substantial modification to LivaNova’s business practices and operations. These potential consequences, as well as any adverse outcome from government investigations, could have a material adverse effect on LivaNova’s business, results of operations, cash flows, and financial condition.</w:t>
      </w:r>
    </w:p>
    <w:p>
      <w:pPr>
        <w:spacing w:after="0" w:line="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addition, device manufacturers are prohibited from promoting their products for uses and indications that are not consistent with the approved product labeling (so called “off-label uses”). While physicians may exercise their discretion in prescribing a device for an off-label use, a device manufacturer’s failure to comply with the related applicable regulations could subject LivaNova to significant civil or criminal exposure, administrative obligations and costs, and/or other potential penalties.</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Governmental regulations outside the U.S. have, and may continue to, become increasingly stringent and common as well. For example, MDR has resulted in significant additional pre-market and post-market requirements. Certifications to MDR must be achieved by December 2027 or December 2028, based on the risk classification of the device. In the interim, the European Commission is allowing companies to use their MDD certifications. LivaNova is working to obtain all appropriate approvals as required, as penalties for regulatory non-compliance can be severe, including fines and revocation or suspension of a</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auto"/>
        </w:rPr>
        <w:t>company’s business license. The development and implementation of future laws and regulations may also have a material adverse effect on LivaNova.</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LivaNova’s success depends on its employees and the Company’s ability to attract and retain key personnel needed to successfully operate its business, plan for future executive transitions, and negotiate with local works councils.</w:t>
      </w:r>
    </w:p>
    <w:p>
      <w:pPr>
        <w:spacing w:after="0" w:line="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ability to compete effectively depends on its ability to attract and retain key employees and maintain robust succession planning for key positions. The Company’s ability to recruit and retain key talent depends on many factors, including compensation and benefits, work location, work environment, industry-specific and general economic conditions, and the hiring practices of competitors. If LivaNova fails to attract and retain key personnel in senior management and other positions, or if the Company’s succession planning efforts are not effective, it could have a material adverse effect on LivaNova’s business, financial condition, and results of operations.</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Furthermore, in many of the countries where LivaNova operates, employees are covered by various local laws and/or collective bargaining agreements, some with the right to be consulted in relation to specific issues, including reorganizations and staff reductions. The laws and/or collective bargaining agreements could have an impact on LivaNova’s flexibility as they apply to programs to redefine and/or strategically reposition the Company’s activities. A negative response to any action taken by LivaNova from a works council or union-organized work stoppages by employees could have a negative impact on LivaNova’s business.</w:t>
      </w:r>
    </w:p>
    <w:p>
      <w:pPr>
        <w:spacing w:after="0" w:line="4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LivaNova’s products are subject to complex laws and regulations, and failure to obtain product approvals, clearance, or reimbursement may materially adversely affect LivaNova’s business, results of operations, cash flows, and financial condition.</w:t>
      </w:r>
    </w:p>
    <w:p>
      <w:pPr>
        <w:spacing w:after="0" w:line="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LivaNova’s medical devices and technologies, as well as its business activities, are subject to a complex set of regulations and rigorous enforcement, including by the FDA, U.S. Department of Justice, U.S. Department of Health &amp; Human Services, and numerous other federal, state, and non-U.S. governmental authorities. Leadership and other workforce changes within any of the aforementioned agencies as a result of the change of administration in the U.S. may impact regulations, enforcement priorities, and timelines. The time required to obtain approvals from foreign countries may be longer or shorter than that required for FDA clearance, and requirements for such approvals may differ from FDA requirements. To varying degrees, each of these agencies requires LivaNova to comply with laws and regulations governing the development, modification, testing, manufacturing, labeling, reimbursement, marketing, and distribution of LivaNova’s products. As part of the approval, clearance, or reimbursement process for new products, product modifications, and new indications for existing products, LivaNova may conduct clinical trials and studies. Unfavorable or inconsistent clinical data from existing or future clinical trials, or the unfavorable interpretation of such clinical data by customers, regulatory authorities, or third-party payers, may adversely impact LivaNova’s ability to obtain product approval or clearance, and/or receive reimbursement.</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for example, is currently conducting clinical studies, and any trial delays or news regarding unfavorable or inconsistent clinical data could have a material adverse effect on LivaNova’s business. Success in pre-clinical testing and early clinical studies does not always ensure that later clinical studies will be successful, and LivaNova cannot be sure that later studies will replicate the results of prior studies. Any termination or delay in the completion of LivaNova’s clinical studies could delay or preclude the filing of regulatory submissions or requests for coverage determinations and, ultimately, LivaNova’s ability to commercialize new or modified products and obtain reimbursement for the Company’s products. It is also possible that patients enrolled in clinical studies will experience adverse side effects that are not currently part of the product’s safety profile, which could inhibit further marketing and development of such products.</w:t>
      </w:r>
    </w:p>
    <w:p>
      <w:pPr>
        <w:spacing w:after="0" w:line="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Even if LivaNova is able to obtain product approval, product clearance, and reimbursement, it may take a significant amount of time; require the expenditure of substantial resources; involve stringent pre-clinical and clinical testing; require increased post-market surveillance; involve modifications, repairs, or replacements of LivaNova’s products; and/or impose limitations on the proposed uses of its products. Ultimately, LivaNova cannot guarantee that its clinical trials will be successful or that the Company will be able to obtain or maintain approval or clearance and/or reimbursement for new products or modifications to existing products. Any such issues, whether in relation to clinical trials, approvals, clearances, or reimbursement, could have a material adverse effect on LivaNova’s business, results of operations, cash flows, and financial condition.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impact of pending or existing climate change may have a material impact to LivaNova’s future operations.</w:t>
      </w:r>
    </w:p>
    <w:p>
      <w:pPr>
        <w:spacing w:after="0" w:line="1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physical impacts of natural disasters and extreme weather conditions, such as hurricanes, tornadoes, earthquakes, winter storms, wildfires, or flooding, could potentially damage LivaNova’s facilities, cause unanticipated downtime in production, temporarily reduce demand, reduce employee productivity, increase absenteeism, disrupt the Company’s supply chain operations and its suppliers’ operations, and negatively impact operational costs. Additionally, transitional climate risks, such as changing customer behaviors and changing dynamics in raw materials and utility markets, could lead to lost revenue due to</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4" w:name="page25"/>
    <w:bookmarkEnd w:id="24"/>
    <w:p>
      <w:pPr>
        <w:jc w:val="both"/>
        <w:spacing w:after="0" w:line="275" w:lineRule="auto"/>
        <w:rPr>
          <w:sz w:val="20"/>
          <w:szCs w:val="20"/>
          <w:color w:val="auto"/>
        </w:rPr>
      </w:pPr>
      <w:r>
        <w:rPr>
          <w:rFonts w:ascii="Times New Roman" w:cs="Times New Roman" w:eastAsia="Times New Roman" w:hAnsi="Times New Roman"/>
          <w:sz w:val="14"/>
          <w:szCs w:val="14"/>
          <w:color w:val="auto"/>
        </w:rPr>
        <w:t>inability to meet changing customer requirements, increasing costs associated with product adjustments to meet changing customer preferences, increasing costs of inputs and raw materials, and increasing cost of utilities. There continues to be a lack of consistent climate legislation, which creates economic and regulatory uncertainty. Legal, regulatory, and customer requirements and preferences designed to mitigate the effects of climate change on the environment are increasing, and there is a risk of obligations being imposed that would increase LivaNova’s compliance burden and cost to meet these obligations. Individually or in the aggregate, such risks could materially negatively impact LivaNova’s future operations.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healthcare policy changes may have a material adverse effect on LivaNova’s business, results of operations, financial condition, and cash flows.</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response to increases in healthcare costs, there have been and continue to be proposals by governments, regulators, and third- party payers globally to control these costs. These proposals, among other things, have resulted in efforts to enact healthcare system reforms that may lead to restricted access, pricing restrictions, payback requirements, and limits on the amounts of reimbursement available for LivaNova’s products. For example, in 2015, the Italian Parliament introduced rules for entities that supply goods and services to the Italian National Healthcare System, impacting the business and financial reporting of medical technology sector companies that sell devices in Italy, including LivaNova. A key provision of the law is a “payback” measure, requiring companies selling medical devices in Italy to repay a percentage of the healthcare expenditures exceeding the regional maximum caps for medical devices. While LivaNova is appealing the imposition of the guidelines and requests for payment pursuant to the rule, the Constitutional Court, in a separate matter, determined the rule constitutional. As a result, the Company may not be successful in its own appeals. See “Note 11. Commitments and Contingencies” in LivaNova’s consolidated financial statements included in this Report for additional information.</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Additionally, LivaNova’s ability to profitably commercialize the Company’s products is dependent, in large part, on whether third-party payers, including private healthcare insurers, managed-care plans, governmental programs, and others, agree to cover the costs and services associated with LivaNova’s products and related medical procedures in the U.S. and internationally. Third-party payers, including private and government insurers, are increasingly requiring evidence that medical devices are clinically-effective and cost-effective. If LivaNova is unable to demonstrate that the Company’s devices are effective, third-party payers may not reimburse the use of LivaNova’s products or provide sufficient reimbursement for LivaNova’s products, which could reduce sales of the Company’s products to healthcare providers that depend upon reimbursement for payment for their services. Similarly, periodic changes to reimbursement methodologies could have an adverse impact on LivaNova’s business. Adoption of some or all of such healthcare policy and reimbursement proposals could have a material adverse effect on LivaNova’s business, results of operations, cash flows, and financial position.</w:t>
      </w:r>
    </w:p>
    <w:p>
      <w:pPr>
        <w:spacing w:after="0" w:line="5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rules relating to reimbursement of healthcare goods and services, healthcare fraud and abuse, false claims, and other applicable laws or regulations may subject LivaNova to penalties and limit patient access to its devices, thereby adversely impacting the Company’s reputation and business operations.</w:t>
      </w:r>
    </w:p>
    <w:p>
      <w:pPr>
        <w:spacing w:after="0" w:line="3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devices and therapies are subject to regulation by various governmental agencies worldwide that are responsible for regulating healthcare goods and services, including laws and regulations related to kickbacks, false claims, self-referrals, and healthcare fraud. Because LivaNova’s marketing practices involve direct promotion to patients in certain jurisdictions, the Company is subject to additional laws and regulations intended to prevent misleading patients and consumers through unethical promotional activities and related data collection practices. Any failure to comply with these laws and regulations could subject the Company or its officers and employees to criminal and civil financial penalties.</w:t>
      </w:r>
    </w:p>
    <w:p>
      <w:pPr>
        <w:spacing w:after="0" w:line="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risk of being found in violation of these laws is increased by the fact that many of them have not been fully interpreted by regulatory authorities or the courts and their provisions are open to a variety of interpretations. Because of the breadth of these laws and the narrowness of the statutory exceptions and safe harbors available under such laws, it is possible that some of LivaNova’s business activities, including the Company’s relationships with healthcare providers, some of whom recommend, purchase, and/or prescribe LivaNova’s devices, group purchasing organizations, and LivaNova’s independent sales agents and distributors, could be subject to challenge under one or more of such laws. Even an unsubstantiated allegation of impropriety could adversely impact LivaNova’s reputation and/or business operations.</w:t>
      </w:r>
    </w:p>
    <w:p>
      <w:pPr>
        <w:spacing w:after="0" w:line="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Furthermore, LivaNova’s devices, products, and therapies are purchased principally by hospitals or physicians that typically bill various third-party payers, such as governmental healthcare programs (e.g., Medicare, Medicaid, and comparable non-U.S. programs), private insurance plans, and managed-care plans for the healthcare services provided to their patients. The ability of LivaNova’s customers to obtain appropriate reimbursement for products and services from third-party payers is critical because it affects which products customers purchase and the prices they are willing to pay. LivaNova’s devices, products, and therapies are subject to regulation regarding quality and cost by HHS, including CMS, as well as comparable state and non-U.S. agencies responsible for reimbursement and regulation of healthcare goods and services, including laws and regulations related to kickbacks, false claims, self-referrals, and healthcare fraud. In addition, as a manufacturer of U.S. FDA-approved devices</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5" w:name="page26"/>
    <w:bookmarkEnd w:id="25"/>
    <w:p>
      <w:pPr>
        <w:jc w:val="both"/>
        <w:spacing w:after="0" w:line="275" w:lineRule="auto"/>
        <w:rPr>
          <w:sz w:val="20"/>
          <w:szCs w:val="20"/>
          <w:color w:val="auto"/>
        </w:rPr>
      </w:pPr>
      <w:r>
        <w:rPr>
          <w:rFonts w:ascii="Times New Roman" w:cs="Times New Roman" w:eastAsia="Times New Roman" w:hAnsi="Times New Roman"/>
          <w:sz w:val="14"/>
          <w:szCs w:val="14"/>
          <w:color w:val="auto"/>
        </w:rPr>
        <w:t>reimbursable by federal healthcare programs, LivaNova is subject to the Physician Payments Sunshine Act and similar U.S. state laws, which require the Company to annually report certain payments and other transfers of value LivaNova makes to U.S.-licensed physicians, U.S. teaching hospitals, or other covered recipients. Any failure to comply with these laws and regulations, including similar laws and regulations outside of the U.S., could subject the Company or its officers and employees to criminal and civil financial penalties, potentially resulting in a material adverse effect on LivaNova’s business, results of operations, cash flows, and financial position.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anti-bribery laws could materially adversely affect LivaNova’s business and result in civil and/or criminal sanctions.</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operations are subject to anti-corruption laws, including the UK Bribery Act, the FCPA, and other anti-corruption laws that apply in countries where the Company does business. These laws generally prohibit LivaNova and its employees and intermediaries from bribing, being bribed, or making other prohibited payments to government officials or other persons to obtain or retain business or gain some other business advantage. Because of the predominance of government-administered healthcare systems in many parts of the world outside of the U.S., many of LivaNova’s customer relationships are potentially subject to such laws.</w:t>
      </w:r>
    </w:p>
    <w:p>
      <w:pPr>
        <w:spacing w:after="0" w:line="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LivaNova is, therefore, exposed to the risk that its employees, independent contractors, principal investigators, consultants, vendors, independent sales agents, and distributors may engage in fraudulent or other illegal activity in violation of these laws and LivaNova’s Code of Ethics &amp; Business Conduct. LivaNova maintains a compliance program that includes policies and training to educate its employees and agents on these legal requirements, and to prevent and prohibit improper practices. However, existing safeguards and any future improvements may not always be effective, and LivaNova’s employees, consultants, sales agents, or distributors may engage in conduct for which LivaNova could be held responsible. In addition, regulators could seek to hold LivaNova liable for conduct committed by companies in which LivaNova invests or acquires. The FCPA can pose unique challenges for companies that operate in foreign cultures where conduct prohibited by the FCPA may not be viewed as illegal in local jurisdictions. Although LivaNova’s compliance program includes mechanisms for detecting and correcting misconduct, including a hotline called the “LivaNova Ethics Line”, it is not always possible to identify and deter misconduct by LivaNova’s employees and other third parties, and the precautions the Company takes to detect and prevent this activity may not be effective in controlling unknown or unmanaged risks or losses or in protecting LivaNova from governmental investigations or other actions or lawsuits stemming from a failure to comply with such laws or regulations.</w:t>
      </w:r>
    </w:p>
    <w:p>
      <w:pPr>
        <w:spacing w:after="0" w:line="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Global enforcement of anti-corruption laws has increased substantially in recent years, with more frequent voluntary self- disclosures by companies, aggressive investigations and enforcement proceedings by governmental agencies, and assessment of significant fines and penalties against companies and individuals. LivaNova cannot predict the nature, scope, or effect of future regulatory requirements to which the Company’s international operations might be subject or the manner in which existing laws might be administered or interpreted. Any alleged or actual violations of these laws and regulations may subject LivaNova to government scrutiny, severe criminal or civil sanctions, and other liabilities, including exclusion from government contracting or government healthcare programs, and could negatively affect LivaNova’s reputation, business, results of operations, cash flows, and financial condition.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LivaNova’s business development and restructuring activities are unsuccessful, the Company may not realize the intended benefits.</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has sought, and in the future may seek, to supplement its organic growth through strategic investments, alliances, and acquisitions. Moreover, LivaNova has sought, and in the future may seek, to divest or wind down certain assets deemed non-core to the Company’s long-term strategic objectives. For example, as part of the 2024 Restructuring Plan, the Company wound down its ACS segment. Such transactions are inherently risky and require significant effort and management attention. The success of any investment, alliance, acquisition, or divestiture may be affected by various factors, including LivaNova’s ability to properly assess, finance, value, and obtain relevant approvals for a potential business opportunity or to successfully integrate any business LivaNova may acquire. LivaNova cannot be certain that its investments, alliances, and acquired businesses will achieve the financial projections supporting those investment decisions. In addition, if LivaNova’s investments, alliances, divestitures, or acquisitions are not successful, the Company may incur costs in excess of what it anticipates, including those resulting from related litigation.</w:t>
      </w:r>
    </w:p>
    <w:p>
      <w:pPr>
        <w:spacing w:after="0" w:line="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of acquisitions, LivaNova may face risks due to the implementation, modification, or remediation of controls, procedures, and policies relating to data privacy and cybersecurity at the acquired company. In addition, failure to manage and coordinate the growth of the combined company successfully could have an adverse impact on LivaNova’s business.</w:t>
      </w:r>
    </w:p>
    <w:p>
      <w:pPr>
        <w:spacing w:after="0" w:line="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Similarly, LivaNova may divest and has divested portions of its business, resulting in the migration of data and overlapping data obligations. As a result of such divestitures, LivaNova may face risks due to the migration or modification of controls,</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6" w:name="page27"/>
    <w:bookmarkEnd w:id="26"/>
    <w:p>
      <w:pPr>
        <w:jc w:val="both"/>
        <w:spacing w:after="0" w:line="303" w:lineRule="auto"/>
        <w:rPr>
          <w:sz w:val="20"/>
          <w:szCs w:val="20"/>
          <w:color w:val="auto"/>
        </w:rPr>
      </w:pPr>
      <w:r>
        <w:rPr>
          <w:rFonts w:ascii="Times New Roman" w:cs="Times New Roman" w:eastAsia="Times New Roman" w:hAnsi="Times New Roman"/>
          <w:sz w:val="14"/>
          <w:szCs w:val="14"/>
          <w:color w:val="auto"/>
        </w:rPr>
        <w:t>procedures, and policies relating to data privacy and cybersecurity internally or en route during migration. Any significant breakdown, intrusion, interruption, corruption, or destruction of these systems, as well as any data breaches, could have a material adverse effect on LivaNova’s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LivaNova may incur impairments of intangible assets, goodwill, and other long-lived assets that may adversely affect the Company’s financial results.</w:t>
      </w:r>
    </w:p>
    <w:p>
      <w:pPr>
        <w:spacing w:after="0" w:line="1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reviews, when circumstances warrant, the carrying amounts of its intangible assets, goodwill, and other long-lived assets to determine whether those carrying amounts continue to be recoverable in accordance with U.S. GAAP. Significant negative industry or economic trends; disruptions to LivaNova’s businesses; and significant unexpected or unplanned changes in the use of assets, divestitures, and market capitalization declines, among other events, may result in impairments to LivaNova’s intangible assets, goodwill, and other long-lived assets. Recent impairments have significantly affected LivaNova’s financial results, as could future impairments.</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Public health crises have had, and may continue to have, an adverse effect on LivaNova’s business, results of operations, cash flows, and financial condition, the nature and extent of which are uncertain and unpredictable.</w:t>
      </w:r>
    </w:p>
    <w:p>
      <w:pPr>
        <w:spacing w:after="0" w:line="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global operations and business interactions with healthcare systems, providers, and patients around the world expose the Company to risks associated with public health crises, including epidemics and pandemics such as COVID-19. LivaNova continues to monitor the potential effects of future health epidemics on the Company’s business and operations. While the spread of COVID-19 has stabilized, the Company cannot guarantee that a future outbreak of this or any other widespread epidemic will not occur, which could have the effect of decreasing demand and/or increasing volatility in demand for LivaNova’s products, which could have a material impact on LivaNova’s business, results of operations, cash flows, financial condition, and liquidity.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Regulatory, and Compliance Risks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a manufacturer of medical devices, LivaNova is exposed to product liability claims that could adversely affect its consolidated financial condition and tarnish the Company’s reputation.</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designs, develops, manufactures, markets, and sells medical devices that pose product liability risks. Component failures, manufacturing defects, software errors, design flaws or inadequate disclosure of product-related risks or product or use-related information, or physician misuse with respect to these or other products the Company manufactures or sells could result in an unsafe condition for, injury to, or death of a patient. Such an event could result in product liability claims or a recall of, or safety alert relating to, one or more of LivaNova’s products. For example, as described in “Note 11. Commitments and Contingencies” in LivaNova’s consolidated financial statements included in this Report, the Company is involved in product liability litigation relating to its cardiopulmonary 3T Heater-Cooler product that has adversely affected LivaNova’s financial condition and has required the Company to devote significant resources to its defense and/or settlement of these claims. Any such product liability claims, whether unsubstantiated or not, could negatively affect LivaNova’s reputation, business, results of operations, cash flows, and financial condition.</w:t>
      </w:r>
    </w:p>
    <w:p>
      <w:pPr>
        <w:spacing w:after="0" w:line="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holds global insurance policies to cover a portion of future potential product liability losses and has elected to self- insure with respect to a significant portion of the Company’s product liability risks. Any product liability claims, regardless of their ultimate outcome, could have a material adverse effect on the Company’s ability to attract and retain customers for its products, and future losses from product liability claims could exceed LivaNova’s product liability insurance coverage and lead to a material adverse effect on the Company’s financial condition and liquidity. In addition, future unanticipated large liability claims may raise substantial doubt about LivaNova’s ability to continue as a going concern.</w:t>
      </w:r>
    </w:p>
    <w:p>
      <w:pPr>
        <w:spacing w:after="0" w:line="5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LivaNova is subject to heightened scrutiny on issues relating to sustainability, including environmental laws and regulations, and the risk of environmental liabilities, violations, and litigation in multiple jurisdictions, any of which could have a material impact on LivaNova’s reputation, business, results of operations, cash flows, financial condition, and liquidity.</w:t>
      </w:r>
    </w:p>
    <w:p>
      <w:pPr>
        <w:spacing w:after="0" w:line="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There is a heightened focus on issues relating to sustainability, including environmental stewardship, social responsibility, and corporate governance matters. Increasing attention on sustainability issues related to LivaNova’s business requires continuous monitoring of various and evolving laws, regulations, standards, and expectations and the associated reporting requirements. For example, in 2023, the CSRD entered into force. Broadly, CSRD amends and strengthens the rules introduced on sustainability reporting for companies, banks and insurance companies under the NFRD and will require a much broader range of in-scope companies to publicly report on their impact on sustainability matters as well as how sustainability matters affect their own development, performance and position in accordance with the ESRS. To the extent LivaNova is in scope of the reporting requirements under CSRD, the Company will be required to provide such information with its management report.</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7" w:name="page28"/>
    <w:bookmarkEnd w:id="27"/>
    <w:p>
      <w:pPr>
        <w:jc w:val="both"/>
        <w:spacing w:after="0" w:line="269" w:lineRule="auto"/>
        <w:rPr>
          <w:sz w:val="20"/>
          <w:szCs w:val="20"/>
          <w:color w:val="auto"/>
        </w:rPr>
      </w:pPr>
      <w:r>
        <w:rPr>
          <w:rFonts w:ascii="Times New Roman" w:cs="Times New Roman" w:eastAsia="Times New Roman" w:hAnsi="Times New Roman"/>
          <w:sz w:val="14"/>
          <w:szCs w:val="14"/>
          <w:color w:val="auto"/>
        </w:rPr>
        <w:t>This will involve implementing processes to gather the relevant data, conduct materiality assessments, and prepare a CSRD-compliant report, which will likely be a time-consuming and costly exercise, and in the event that LivaNova’s disclosures prove incorrect, the Company may incur liabilities. When producing a CSRD report, LivaNova may be required to obtain an assurance opinion with respect to the information in the report. To the extent an adverse or qualified assurance conclusion is reached with respect to LivaNova’s report, the Company’s reputation may be impacted, and investors could lose confidence in the accuracy and completeness of its sustainability disclosures. Subject to the specific circumstances of an adverse or qualified conclusion, LivaNova may also be subject to sanctions set by EU Member States. Further, there are ongoing consultations that may result in further changes or amendments to CSRD. No final proposals have yet been set out, but this process could lead to significant changes to the CSRD regime. It is unclear as to how any such future changes could impact LivaNova.</w:t>
      </w:r>
    </w:p>
    <w:p>
      <w:pPr>
        <w:spacing w:after="0" w:line="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Furthermore, if LivaNova’s sustainability initiatives fail to satisfy investors, customers, or other stakeholders, the Company’s reputation, its ability to sell products and services to customers, and its attractiveness as an investment, business partner, or acquirer could be negatively impacted. Similarly, LivaNova’s failure, or perceived failure, to fulfill its sustainability goals or to satisfy various reporting standards could also have a similar negative impact on the Company’s reputation, business, and results of operations. Environmental regulations continue to become more stringent, and LivaNova may experience increased compliance burdens and costs to meet its regulatory obligations, as well as adverse impacts on raw material sourcing, manufacturing operations, and the distribution of LivaNova’s products.</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Additionally, certain environmental laws assess liability on current, prior, and/or related owners or operators of real property for the costs of investigation, removal, or remediation of hazardous substances on their properties or at properties on which they have disposed of hazardous substances. For example, LivaNova’s Saluggia campus contains hazardous substances as a result of nuclear installations built in 1960 under previous ownership, and the Italian government has stated that LivaNova will eventually be responsible for dismantling the nuclear installation on Company property, as well as delivering the aforementioned waste to a national repository. It is also possible that a governmental authority may seek to hold LivaNova liable for successor liability violations committed by any companies in which LivaNova invests or acquires. For example, LivaNova is currently in litigation with the government in Italy stemming from a civil action where the Court of Appeal declared LivaNova (formed through a merger with Sorin) liable for environmental liabilities incurred by SNIA’s (a former parent company of Sorin) other subsidiaries. See “Note 11. Commitments and Contingencies” in LivaNova’s consolidated financial statements included in this Report for additional information regarding these two matters. LivaNova’s business, results of operations, cash flows, financial condition, and liquidity could be materially adversely affected by a negative decision in the case of SNIA and could be adversely affected by an increase in anticipated costs relating to disposal of hazardous waste in Saluggia. Private parties could also bring personal injury or other claims due to the presence of, or exposure to, hazardous substances.</w:t>
      </w:r>
    </w:p>
    <w:p>
      <w:pPr>
        <w:spacing w:after="0" w:line="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addition, LivaNova’s operations involve the use of substances regulated under environmental laws, including for purposes of sterilization. Regulations require sterilization of LivaNova’s products, and the Company operates, for example, a sterilization facility in Colorado allowing the Company to sterilize certain of its products in-house. The EPA and certain states have begun scrutinizing the levels of community exposure to EtO, which is used in the sterilization process. Certain medical device operating facilities have been designated as “elevated risk” facilities based on emission levels of EtO. LivaNova is not on the “elevated risk” list, nor is it in violation of any current local or federal regulations. However, to the extent LivaNova or its contract sterilizers are unable to sterilize LivaNova’s products, whether due to regulatory, legislative, or other constraints, including on the use of EtO, LivaNova may be unable to transition to alternative internal or external resources or methods in a timely or cost-effective manner or at all, which could have a material impact on LivaNova’s results of operations and financial condition.</w:t>
      </w:r>
    </w:p>
    <w:p>
      <w:pPr>
        <w:spacing w:after="0" w:line="6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LivaNova is substantially dependent on patent and other proprietary rights, and failing to protect such rights or to be successful in litigation related to LivaNova’s rights or the rights of others may result in the Company’s payment of significant monetary damages and/or royalty payments, negatively impact LivaNova’s ability to sell current or future products, or prohibit the Company from enforcing its patent and other proprietary rights against others.</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relies on a combination of patents, trade secrets, and non-disclosure agreements to protect the Company’s proprietary intellectual property. While LivaNova intends to defend against any threats to the Company’s intellectual property, any litigation to counter the infringement, misappropriation, or unauthorized use of LivaNova’s intellectual property may require the expenditure of significant financial and managerial resources, which may adversely affect LivaNova’s business, results of operations, cash flows, and financial condition. Additionally, LivaNova’s patents, trade secrets, or other agreements may not prevent competitors from independently developing or selling similar products and services and may not adequately deter misappropriation or improper use of the Company’s technology. Further, pending patent applications may not result in patents being issued to LivaNova. Patents issued to or licensed by LivaNova in the past or in the future may be challenged or circumvented by competitors, and such patents may be found invalid, unenforceable, or insufficiently broad to protect the</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8" w:name="page29"/>
    <w:bookmarkEnd w:id="28"/>
    <w:p>
      <w:pPr>
        <w:jc w:val="both"/>
        <w:spacing w:after="0" w:line="303" w:lineRule="auto"/>
        <w:rPr>
          <w:sz w:val="20"/>
          <w:szCs w:val="20"/>
          <w:color w:val="auto"/>
        </w:rPr>
      </w:pPr>
      <w:r>
        <w:rPr>
          <w:rFonts w:ascii="Times New Roman" w:cs="Times New Roman" w:eastAsia="Times New Roman" w:hAnsi="Times New Roman"/>
          <w:sz w:val="14"/>
          <w:szCs w:val="14"/>
          <w:color w:val="auto"/>
        </w:rPr>
        <w:t>Company’s technology, and may limit LivaNova’s competitive advantage. Third parties could obtain patents that may require LivaNova to negotiate licenses to conduct business, and the required licenses may not be available on reasonable terms or at all.</w:t>
      </w:r>
    </w:p>
    <w:p>
      <w:pPr>
        <w:spacing w:after="0" w:line="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also relies on non-disclosure and non-competition agreements with certain employees, consultants, and other parties to protect, in part, trade secrets and other proprietary rights. LivaNova cannot be certain that these agreements will not be breached, that the Company will have adequate remedies for any breach, that others will not independently develop substantially equivalent proprietary information, or that third parties will not otherwise gain access to LivaNova’s trade secrets or proprietary knowledge. Further, new proposed regulations in the U.S. would prohibit certain competition agreements. These proposed regulations have been successfully litigated in lower courts, but appeals are pending, and the outcome of those cases remains uncertain. If regulations become effective as proposed and enforced, LivaNova may not be able to rely on agreements with certain of the Company’s employees or other parties.</w:t>
      </w:r>
    </w:p>
    <w:p>
      <w:pPr>
        <w:spacing w:after="0" w:line="6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operates in an industry characterized by extensive patent litigation and has been, and is, subject to patent claims from time to time. While LivaNova intends to defend against any third-party intellectual property threats, intellectual property litigation is inherently complex and unpredictable. Such litigation can result in significant damage awards and injunctions that could prevent LivaNova’s manufacture and sale of affected products or require the Company to pay significant royalties in order to continue to manufacture or sell affected products.</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addition, the laws and intellectual property systems of certain countries in which LivaNova markets some of its products do not protect the Company’s intellectual property rights to the same extent as in the U.S., which may impact its market position in those countries. LivaNova could also face competition in countries where the Company has not invested in an intellectual property portfolio, or where the Company has not invested in the same protection as in the U.S. If the Company is unable to protect LivaNova’s intellectual property in those countries, it could have a material adverse effect on LivaNova’s reputation, business, results of operations, cash flows, and financial condition.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Inadequate funding for U.S. federal government agencies and government shutdowns could negatively affect LivaNova’s business, results of operations, cash flows, and financial condition.</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ability of the FDA to review and approve new products can be affected by a variety of factors, including government funding levels, the ability to hire and retain key personnel, government shutdowns, and statutory, regulatory, and policy changes. In addition, a portion of LivaNova’s revenue is dependent on U.S. federal government healthcare program reimbursement. Any disruption in U.S. federal government operations, including government shutdowns, could have a material adverse effect on LivaNova’s business, results of operations, cash flows, and financial condition.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LivaNova’s Indebtedness</w:t>
      </w:r>
    </w:p>
    <w:p>
      <w:pPr>
        <w:spacing w:after="0" w:line="8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LivaNova may not have sufficient cash flow from its business operations to pay when due, or be able to raise the funds necessary to pay when due, amounts owed with respect to the 2025 Notes and 2029 Notes and/or any amounts owed under the Company’s revolving credit facility and term facilities, which could adversely affect LivaNova’s business and results of operations.</w:t>
      </w:r>
    </w:p>
    <w:p>
      <w:pPr>
        <w:spacing w:after="0" w:line="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LivaNova’s ability to make payments (including interest, principal upon maturity, and payments to satisfy exchanges for cash or conversions) in respect of and/or to refinance LivaNova’s outstanding Notes or other indebtedness (including any indebtedness under LivaNova’s revolving credit facility or term facilities) depends on the Company’s future performance, which is subject to economic, financial, competitive, and other factors beyond its control. If LivaNova is unable to generate enough cash flow to make payments on the 2025 Notes, the 2029 Notes, or other indebtedness when due, the Company may be required to adopt one or more alternatives, such as selling assets or obtaining additional debt financing or equity capital on terms that may be onerous or highly dilutive. LivaNova’s ability to refinance the 2025 Notes, the 2029 Notes, or other indebtedness, which the Company may need to do to satisfy its obligations thereunder, will depend on the capital markets and LivaNova’s financial condition at such time. LivaNova may not be able to engage in these activities on desirable terms or at all, which could result in a default on the 2025 Notes and 2029 Notes and/or LivaNova’s revolving credit facility and term facilities.</w:t>
      </w:r>
    </w:p>
    <w:p>
      <w:pPr>
        <w:spacing w:after="0" w:line="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will be required to settle any exchanges of the 2025 Notes entirely in cash, while upon any conversions of the 2029 Notes, LivaNova will be required to pay cash up to the aggregate principal amount of the 2029 Notes to be converted and pay or deliver, as the case may be, cash, LivaNova’s ordinary shares, or a combination of cash and LivaNova’s ordinary shares, at LivaNova’s election, in respect of the remainder, if any. Additionally, the holders of the 2025 Notes and 2029 Notes have the right to require LivaNova to repurchase the aforementioned notes upon the occurrence of a fundamental change (as defined in the respective indentures governing the Notes) at a repurchase price equal to 100% of the principal amount of the 2025 Notes and 2029 Notes to be repurchased, plus accrued and unpaid interest, if any.</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auto"/>
        </w:rPr>
        <w:t>Any failure by LivaNova to make required payments in respect of its indebtedness (after any applicable grace period) would constitute an event of default in respect of such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LivaNova’s indebtedness, including under the 2025 Notes and 2029 Notes, combined with the Company’s other financial obligations and contractual commitments, including those under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LivaNova’s revolving credit facility or term facilities, could have other important consequences. For example, it could:</w:t>
      </w:r>
    </w:p>
    <w:p>
      <w:pPr>
        <w:spacing w:after="0" w:line="110" w:lineRule="exact"/>
        <w:rPr>
          <w:sz w:val="20"/>
          <w:szCs w:val="20"/>
          <w:color w:val="auto"/>
        </w:rPr>
      </w:pPr>
    </w:p>
    <w:p>
      <w:pPr>
        <w:ind w:left="500" w:hanging="24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Make LivaNova more vulnerable to adverse changes in government regulations and in the global economy, healthcare, and competitive environment;</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Limit the Company’s flexibility in planning for, or reacting to, changes in LivaNova’s business and its markets;</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Place the Company at a disadvantage compared to LivaNova’s competitors who have less debt;</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Limit LivaNova’s ability to borrow additional amounts for working capital, to fund acquisitions, and for other general corporate purposes; and</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Make a sale of the Company less attractive to buyers or more difficult to complete.</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Any of these factors could harm LivaNova’s business, results of operations, cash flows, and financial condition. In addition, if LivaNova incurs additional indebtedness under the revolving credit facility or term facilities, the risks related to LivaNova’s business and its ability to repay the Company’s indebtedness, including under the 2025 Notes and 2029 Notes, would increase. For additional information, please refer to “Part II, Item 7. Management’s Discussion and Analysis of Financial Condition and Results of Operations” of this Report under the section entitled “Liquidity and Capital Resources” and “Note 9. Financing Arrangements” in LivaNova’s consolidated financial statements included in this Report.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conditional exchange or conversion features of the 2025 Notes and 2029 Notes, as applicable, if triggered, may adversely affect LivaNova’s liquidity and operating results.</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If the conditional exchange feature of the 2025 Notes is triggered, holders are entitled to exchange the 2025 Notes at any time during specified periods, at their option, and if the conditional conversion feature of the 2029 Notes is triggered, holders are entitled to convert the 2029 Notes at any time during specified periods, at their option. For example, holders are entitled to exchange 2025 Notes or convert 2029 Notes during a given calendar quarter if the closing price of LivaNova’s ordinary shares for at least 20 trading days (whether or not consecutive) during the last 30 consecutive trading days of the immediately preceding calendar quarter was greater than or equal to a set dollar amount ($79.27 per share in the case of the 2025 Notes and $90.22 in the case of the 2029 Notes, subject to adjustment). Neither the exchange condition for the 2025 Notes nor the conversion condition for the 2029 Notes was satisfied on December 31, 2024, and therefore, the Notes will not be exchangeable or convertible pursuant to this condition from January 1, 2025, through March 31, 2025. On or after September 15, 2025, holders may exchange 2025 Notes at their option, and on or after December 15, 2028, holders may convert 2029 Notes at their option, in each case without regard to additional conditions. If holders exchange 2025 Notes during any future period in which such exchange is permitted, LivaNova would be required to settle its exchange obligation through the payment of cash, and if holders convert 2029 Notes during any future period in which such conversion is permitted, LivaNova would be required to pay cash up to the aggregate principal amount of the 2029 Notes to be converted and may elect to settle the remainder of the conversion obligation in cash, shares, or a combination of the two. Any such cash payments upon exchange or conversion could adversely affect the Company’s liquidity.</w:t>
      </w:r>
    </w:p>
    <w:p>
      <w:pPr>
        <w:spacing w:after="0" w:line="6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effective interest rate and related interest expense reported in LivaNova’s consolidated financial statement of operations is significantly greater than the stated interest rate of the 2025 Notes and 2029 Notes and may result in volatility to the Company’s reported financial results, which could adversely affect the price at which LivaNova’s ordinary shares trade.</w:t>
      </w:r>
    </w:p>
    <w:p>
      <w:pPr>
        <w:spacing w:after="0" w:line="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will settle exchanges of the 2025 Notes entirely in cash. Additionally, upon conversion of the 2029 Notes, LivaNova will pay cash up to the aggregate principal amount of the 2029 Notes to be converted and pay or deliver, as the case may be, cash, LivaNova’s ordinary shares, or a combination of cash and LivaNova’s ordinary shares, at LivaNova’s election, in respect of the remainder, if any, of LivaNova’s conversion obligation in excess of the aggregate principal amount of the 2029 Notes being converted. Accordingly, the exchange or conversion feature, as applicable, that is part of the 2025 Notes and 2029 Notes is accounted for as a derivative pursuant to accounting standards relating to derivative instruments. This resulted in an initial accounting valuation of the exchange or conversion feature, as applicable, which was bifurcated from the debt component of the 2025 Notes and 2029 Notes, resulting in an original issue discount. The original issue discount is amortized and recognized as a component of interest expense over the term of the 2025 Notes and 2029 Notes, which results in an effective interest rate reported in LivaNova’s consolidated statements of income (loss) in excess of the stated interest rate of the 2025 Notes and 2029 Notes. Although this accounting treatment does not affect the amount of cash interest paid to holders of the 2025 Notes and 2029 Notes or LivaNova’s cash flows, it reduces the Company’s earnings and could adversely affect the price at which its ordinary shares trade.</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0" w:name="page31"/>
    <w:bookmarkEnd w:id="30"/>
    <w:p>
      <w:pPr>
        <w:jc w:val="both"/>
        <w:spacing w:after="0" w:line="269" w:lineRule="auto"/>
        <w:rPr>
          <w:sz w:val="20"/>
          <w:szCs w:val="20"/>
          <w:color w:val="auto"/>
        </w:rPr>
      </w:pPr>
      <w:r>
        <w:rPr>
          <w:rFonts w:ascii="Times New Roman" w:cs="Times New Roman" w:eastAsia="Times New Roman" w:hAnsi="Times New Roman"/>
          <w:sz w:val="14"/>
          <w:szCs w:val="14"/>
          <w:color w:val="auto"/>
        </w:rPr>
        <w:t>Additionally, for each financial statement period after issuance of the 2025 Notes and 2029 Notes, a derivative gain or loss is and will be reported in LivaNova’s consolidated statements of income (loss) to the extent the valuations of the exchange feature and conversion feature, as applicable, change from the previous period. The 2025 Capped Calls and 2029 Capped Calls described below and elsewhere in this Report are also accounted for as derivative instruments. The valuation of the exchange feature of the 2025 Notes and 2025 Capped Calls utilizes significant observable and unobservable market inputs, including stock price, stock price volatility, risk-free interest rate, and time to expiration of the 2025 Notes. The valuation of the conversion feature of the 2029 Notes and 2029 Capped Calls similarly utilizes significant observable and unobservable market inputs, including stock price, expected volatility, risk-free interest rate, expected dividend yield, and time to expiration of the 2029 Notes. The change in input values at the current period-end compared to the previous period-end may result in a material change in the respective valuations and the gain or loss resulting from the exchange feature of the 2025 Notes and 2025 Capped Calls and the conversion feature of the 2029 Notes and 2029 Capped Calls, as applicable, and may not completely offset each other. As such, there may be a material net impact on LivaNova’s consolidated statements of income (loss), which could adversely affect the price at which its ordinary shares trade.</w:t>
      </w:r>
    </w:p>
    <w:p>
      <w:pPr>
        <w:spacing w:after="0" w:line="5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The arbitrage or hedging strategy by purchasers of the 2025 Notes and 2029 Notes and Option Counterparties in connection with LivaNova’s 2025 Capped Calls and 2029 Capped Calls may affect the value of LivaNova’s ordinary shares.</w:t>
      </w:r>
    </w:p>
    <w:p>
      <w:pPr>
        <w:spacing w:after="0" w:line="3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expects that many investors in, and potential purchasers of, the 2025 Notes and 2029 Notes will employ, or seek to employ, an arbitrage strategy with respect to the 2025 Notes and 2029 Notes. Investors would typically implement such a strategy by selling short LivaNova’s ordinary shares underlying the 2025 Notes and 2029 Notes and dynamically adjusting their short position while continuing to hold the 2025 Notes and 2029 Notes. Investors may also implement this type of strategy by entering into swaps or options on LivaNova’s ordinary shares in lieu of or in addition to selling short LivaNova’s ordinary shares. This activity could decrease, or reduce the size of any increase in, the market price of LivaNova’s ordinary shares at that time.</w:t>
      </w:r>
    </w:p>
    <w:p>
      <w:pPr>
        <w:spacing w:after="0" w:line="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connection with the pricing of the 2025 Notes and 2029 Notes, LivaNova entered into the 2025 Capped Calls and 2029 Capped Calls, respectively. The 2025 Capped Calls and 2029 Capped Calls are expected generally to compensate (through the payment of cash to LivaNova) for potential dilution to LivaNova’s ordinary shares and to offset cash payments due upon exchange of the 2025 Notes or conversion of the 2029 Notes, as applicable, in excess of the principal amount thereof in the event that the market price per ordinary share of LivaNova at the time of exchange of the 2025 Notes or conversion of the 2029 Notes, respectively, is greater than the strike price under the 2025 Capped Calls or 2029 Capped Calls, respectively, with such offset subject to a cap based on the respective cap prices of the 2025 Capped Calls and 2029 Capped Calls. It is LivaNova’s understanding that the Option Counterparties, or their respective affiliates, in connection with establishing their initial hedges of the 2025 Capped Calls and/or 2029 Capped Calls, purchased LivaNova’s ordinary shares and/or entered into various derivative transactions with respect to LivaNova’s ordinary shares concurrently with or shortly after the pricing of the 2025 Notes and/or 2029 Notes, as applicable. The Option Counterparties or their respective affiliates may modify these initial hedge positions by entering into or unwinding various transactions with respect to LivaNova’s ordinary shares and/or purchasing or selling its ordinary shares or other of LivaNova’s securities in secondary market transactions prior to the maturity of the 2025 Notes and/or 2029 Notes, as applicable (and are likely to do so during any observation period related to an exchange of the 2025 Notes or conversion of the 2029 Notes, as applicable, or upon a repurchase or redemption of the 2025 Notes or the 2029 Notes, as applicable, by LivaNova, if LivaNova unwinds a corresponding portion of the 2025 Capped Calls or 2029 Capped Calls, as applicable). This activity could cause or avoid an increase or a decrease in the market price of LivaNova’s ordinary shares, the 2025 Notes, or the 2029 Notes at that time.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LivaNova is subject to counterparty risk with respect to the 2025 Capped Calls and 2029 Capped Calls.</w:t>
      </w:r>
    </w:p>
    <w:p>
      <w:pPr>
        <w:spacing w:after="0" w:line="10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Option Counterparties are financial institutions, and LivaNova is subject to the risk that they might default under the 2025 Capped Calls and 2029 Capped Calls. LivaNova’s exposure to the credit risk of the Option Counterparties is not secured by any collateral.</w:t>
      </w:r>
    </w:p>
    <w:p>
      <w:pPr>
        <w:spacing w:after="0" w:line="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If an Option Counterparty becomes subject to insolvency proceedings, LivaNova will become an unsecured creditor in those proceedings, with a claim equal to the Company’s exposure to that Option Counterparty at that time under the 2025 Capped Calls and/or 2029 Capped Calls. LivaNova’s exposure will depend on many factors, but, generally, an increase in the Company’s exposure will be correlated to an increase in the market price and in the volatility of its ordinary shares. In addition, upon a default by an Option Counterparty, LivaNova may suffer adverse tax consequences and may, on a net basis, have to pay more cash than the Company currently anticipates to settle exchanges of the 2025 Notes, and to pay more cash or suffer more dilution than the Company currently anticipates with respect to its ordinary shares upon conversions of the 2029 Notes, the effect of which would likely not be compensated for by the Company. LivaNova can provide no assurances as to the financial stability or viability of the Option Counterparties.</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color w:val="auto"/>
        </w:rPr>
        <w:t>Risks Relating to Tax and LivaNova’s Jurisdiction of Incorporation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LivaNova is incorporated in England and Wales and governed by their laws, which may afford less protection to shareholders than under U.S. laws.</w:t>
      </w:r>
    </w:p>
    <w:p>
      <w:pPr>
        <w:spacing w:after="0" w:line="1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is a public limited company incorporated under the laws of England and Wales, and as such, the Company’s shareholders may have more difficulty protecting their interests than would shareholders of a corporation incorporated in a jurisdiction of the U.S. It may be difficult to enforce court judgments obtained in the U.S. and based on the civil liability provisions of U.S. federal or state securities laws against LivaNova in the UK. In addition, there is also some uncertainty as to whether the UK courts would recognize or enforce judgments of U.S. courts obtained against LivaNova or any of its directors or officers.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or exposure to additional income tax liabilities could have a material impact on LivaNova’s results of operations and financial condition.</w:t>
      </w:r>
    </w:p>
    <w:p>
      <w:pPr>
        <w:spacing w:after="0" w:line="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is subject to income taxes as well as non-income-based taxes in the U.S., the UK, the EU, and various other jurisdictions. Any material change in tax laws, regulations, or policies, or their interpretation and enforcement, including with respect to the OECD’s Pillar Two global minimum tax rules applicable to multinational groups with global revenue over €750 million, could result in a higher effective tax rate and have a material impact on LivaNova’s consolidated statements of income (loss) or financial condition.</w:t>
      </w:r>
    </w:p>
    <w:p>
      <w:pPr>
        <w:spacing w:after="0" w:line="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continues to monitor the adoption of Pillar Two by the taxing jurisdictions in which it operates. The UK has enacted legislation providing for a minimum effective tax rate of 15% through a multinational top-up tax and a domestic top-up tax for accounting periods beginning on or after December 31, 2023. UK legislation has also been enacted for an undertaxed profits rule for accounting periods beginning on or after December 31, 2024. A UTPR would be a backstop rule intended to ensure that amounts of multinational top-up tax that are not collected under foreign global minimum tax rules can in certain circumstances be collected instead in the UK. LivaNova will continue to monitor legislative developments and related guidance in the UK and other jurisdictions that may impact LivaNova’s operations. Any material changes in tax laws, regulations, or policies, or their interpretation and enforcement, including with respect to Pillar Two, could result in a higher effective tax rate for LivaNova, and have a material impact on its consolidated statements of income (loss) or financial condition. The content of any future legislation, the timing of additional guidance, and the reporting periods that may be impacted cannot be determined at this time.</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LivaNova’s actual effective tax rate may vary from its expectations or from historical trends and that variance may be material. LivaNova’s effective tax rates could be affected by changes in the mix of earnings in countries with differing statutory tax rates, changes in the valuation of deferred tax assets and liabilities, or changes in tax laws or their interpretation. LivaNova is also subject to ongoing tax audits in various non-U.S. jurisdictions. Tax authorities may disagree with certain positions LivaNova has taken and assess additional taxes. LivaNova believes that its accruals reflect the probable outcome of known contingencies. However, there can be no assurance that LivaNova will accurately predict the outcomes of ongoing audits, and the actual outcomes of these audits could have a material impact on LivaNova’s consolidated statements of income (loss) or financial condition.</w:t>
      </w:r>
    </w:p>
    <w:p>
      <w:pPr>
        <w:spacing w:after="0" w:line="6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As a public limited company incorporated under the laws of England and Wales, certain of LivaNova’s capital structure decisions require shareholder approval, which may limit the Company’s flexibility to manage its capital structure.</w:t>
      </w:r>
    </w:p>
    <w:p>
      <w:pPr>
        <w:spacing w:after="0" w:line="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is a public limited company incorporated under the laws of England and Wales. Under English law, LivaNova’s Board of Directors may only allot shares with the prior authorization of shareholders. English law also generally provides shareholders with preemptive rights when new shares are issued for cash, which rights may be surrendered by shareholders. In addition, English law generally prohibits a public limited company from repurchasing its own shares without the prior approval of shareholders. As a result, LivaNova’s shareholders must approve these authorities at an annual general meeting of shareholders. If LivaNova does not receive shareholder approval of these matters, the Company may not be able to raise any required additional capital in a timely manner or at all. In addition, LivaNova may not be able to continue to grant equity awards to its directors, officers, and employees under the relevant incentive plan.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Transfers of LivaNova’s shares, other than those effected by means of the transfer of book-entry interests in DTC, may be subject to UK Stamp Duty or SDRT.</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Transfers of LivaNova’s shares effected by means of the transfer of book-entry interests in DTC are not subject to UK stamp duty or SDRT. However, if a shareholder holds LivaNova’s shares directly rather than through DTC, any transfer of those shares could be subject to UK stamp duty or SDRT at a rate of 0.5% of the consideration paid for the transfer. In addition, certain transfers of LivaNova’s shares to depositories or into clearance services would be subject to UK stamp duty or SDRT at a rate of 1.5% of the consideration paid for the transfer, or 1.5% of the market value of the shares if there is no consideration.</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32" w:name="page33"/>
    <w:bookmarkEnd w:id="32"/>
    <w:p>
      <w:pPr>
        <w:jc w:val="both"/>
        <w:spacing w:after="0" w:line="303" w:lineRule="auto"/>
        <w:rPr>
          <w:sz w:val="20"/>
          <w:szCs w:val="20"/>
          <w:color w:val="auto"/>
        </w:rPr>
      </w:pPr>
      <w:r>
        <w:rPr>
          <w:rFonts w:ascii="Times New Roman" w:cs="Times New Roman" w:eastAsia="Times New Roman" w:hAnsi="Times New Roman"/>
          <w:sz w:val="14"/>
          <w:szCs w:val="14"/>
          <w:color w:val="auto"/>
        </w:rPr>
        <w:t>The transferee generally pays the UK stamp duty or SDRT, although the position may be different in the case of a transfer to a depository or into a clearance service. The potential for UK stamp duty or SDRT could adversely affect the trading price of LivaNova’s shares.</w:t>
      </w:r>
    </w:p>
    <w:p>
      <w:pPr>
        <w:spacing w:after="0" w:line="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If DTC determines at any time that LivaNova’s shares are not eligible for continued deposit and clearance within its facilities, LivaNova believes that its shares would not be eligible for continued listing on a U.S. securities exchange and trading in the Company’s shares would be disrupted. While LivaNova would pursue alternative arrangements to preserve the listing and maintain trading, any such disruption could have a material adverse effect on the trading price of LivaNova’s shares.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 Risk Management and Strategy</w:t>
      </w:r>
    </w:p>
    <w:p>
      <w:pPr>
        <w:spacing w:after="0" w:line="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enterprise risk management process consists of risk identification, evaluation, control and monitoring, and documentation. The LivaNova Board oversees risk management within the Company, and the legal and compliance teams work in tandem to provide the framework to identify and reduce risks that may materially impact the Company’s business. As part of the enterprise risk management process, regular inquiries and discussions are held with, among others, the CISO, Chief Information Officer, Chief Privacy Officer, and their respective teams to review the cybersecurity risk landscape.</w:t>
      </w:r>
    </w:p>
    <w:p>
      <w:pPr>
        <w:spacing w:after="0" w:line="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LivaNova’s CISO has a Master of Science in Accountancy with a specialization in risk management, in addition to over 15 years of experience in the IT Risk Advisory sector. The CISO leads the Company’s information security team, identifies cybersecurity threats, and implements countermeasures in the cybersecurity realm, considering both internal operations and the external landscape. As part of his duties, the CISO provides relevant information in connection with regular enterprise risk assessments. The CISO also manages the Company’s ISMS program. Guided by the principles of various industry-leading standards, such as the NIST cybersecurity framework and ISO 27001, the objective of the ISMS program is to continue to strengthen LivaNova’s cyber resiliency in connection with its information technology systems.</w:t>
      </w:r>
    </w:p>
    <w:p>
      <w:pPr>
        <w:spacing w:after="0" w:line="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As part of LivaNova’s cyber resiliency strategy and in an effort to mitigate potential cybersecurity risks, the Company employs various measures, including employee training, systems monitoring, testing and maintenance of protective systems, and contingency plans. In addition, the CISO manages a structured cybersecurity incident response program where periodic simulation exercises are performed to prepare and train the Company’s cybersecurity incident responders. The Company deploys security tools to help bolster its defense detection capabilities, such as endpoint detection and response tools, security information and event management tools, and 24/7 monitoring. LivaNova regularly evaluates itself for appropriate business continuity and disaster recovery planning, with test scenarios that include simulations and penetration tests.</w:t>
      </w:r>
    </w:p>
    <w:p>
      <w:pPr>
        <w:spacing w:after="0" w:line="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addition, LivaNova routinely engages with third-party service providers to conduct evaluations of its security controls, whether through penetration testing, security assessments, or consulting on best practices to address new challenges. The Company receives threat intelligence from industry peers, government agencies, industry-specific information sharing and analysis centers, and cybersecurity associations. The Company relies heavily on its supply chain to deliver products and services to its customers, and a cybersecurity incident at a supplier, subcontractor, or service provider could materially adversely impact the Company. The Company assesses third-party cybersecurity controls through its information security program and includes security and privacy addendums to its contracts where applicable.</w:t>
      </w:r>
    </w:p>
    <w:p>
      <w:pPr>
        <w:spacing w:after="0" w:line="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Historically, risks from cybersecurity threats have not materially affected the Company’s business strategy, results of operations, or financial condition. As previously disclosed, in November 2023, the Company initiated its cyber response protocol in response to a cybersecurity incident that resulted in a disruption of portions of its information technology systems. Promptly after detecting the issue and per LivaNova’s cyber response protocol, the Company began an investigation with assistance from external cybersecurity experts and coordinated with law enforcement. The Company implemented remediation measures to mitigate the impact of the incident. The Company also assessed the nature and scope of the affected data, analyzed its statutory notification obligations, and notified affected individuals and regulators as required by applicable law. The incident has been contained, and the Company’s mitigation efforts are considered complete, but any future cybersecurity event has the potential to materially affect the Company’s results of operations, cash flows, and financial condition. For further information, please refer to “Part II, Item 7. Management’s Discussion and Analysis of Financial Condition and Results of Operations” and “Note 11. Commitments and Contingencies” in LivaNova’s consolidated financial statements in this Report. Additionally, for a description of the Company’s evaluation of its disclosure controls and procedures, management’s report on internal control over financial reporting, and changes in internal control over financial reporting, see “Part II, Item 9A. Controls and Procedures.”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 Governance</w:t>
      </w:r>
    </w:p>
    <w:p>
      <w:pPr>
        <w:spacing w:after="0" w:line="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On a quarterly basis, the CISO presents key security metrics to the Company’s IT Advisory Council, which is composed of functional leaders across the Company and is responsible for IT governance oversight in the Company. Specifically, this IT Advisory Council is responsible for establishing program strategies in alignment with LivaNova’s business objectives, as well as providing guidance on the implementation of appropriate and necessary security controls in alignment with the Company’s Information Security Policy. Among other things, the IT Advisory Council reviews summaries of information security incidents, audit findings, or other test reports, and ensures appropriate root-cause analyses are performed and corrective actions are taken. It also reviews year-over-year goals, security objectives, and priorities for the Company’s information security program.</w:t>
      </w:r>
    </w:p>
    <w:p>
      <w:pPr>
        <w:spacing w:after="0" w:line="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On an annual basis, the CISO reviews the information security program achievements and reports with the Company’s IS Executive Committee, which is a cross-functional group composed of the CEO, the CFO, the CLO, and other executive leaders</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34" w:name="page35"/>
    <w:bookmarkEnd w:id="34"/>
    <w:p>
      <w:pPr>
        <w:jc w:val="both"/>
        <w:spacing w:after="0" w:line="303" w:lineRule="auto"/>
        <w:rPr>
          <w:sz w:val="20"/>
          <w:szCs w:val="20"/>
          <w:color w:val="auto"/>
        </w:rPr>
      </w:pPr>
      <w:r>
        <w:rPr>
          <w:rFonts w:ascii="Times New Roman" w:cs="Times New Roman" w:eastAsia="Times New Roman" w:hAnsi="Times New Roman"/>
          <w:sz w:val="14"/>
          <w:szCs w:val="14"/>
          <w:color w:val="auto"/>
        </w:rPr>
        <w:t>of the Company. Among other things, the IS Executive Committee approves the Company’s Information Security Policy and the allocation of budget and resources to information security program initiatives, performs the annual management review of the information security program, and reviews corrective actions to improve the program.</w:t>
      </w:r>
    </w:p>
    <w:p>
      <w:pPr>
        <w:spacing w:after="0" w:line="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As codified in its charter, the Audit Committee is responsible for reviewing the processes by which cybersecurity risks are managed and reporting any issues that arise out of such reviews to the Board. The CISO provides key security metrics to the Audit Committee on a quarterly basis, and directly to the chair of the Audit Committee on a case-by-case basis, as needed, at any time during the quarter. The Audit Committee reviews these reports, which include, among other things, external events impacting the Company, cybersecurity incidents, user training statistics, and evaluations of user readiness to address cybersecurity incidents. Notwithstanding the Company’s approach to cybersecurity, the Company may not be successful in preventing or mitigating future cybersecurity incidents that could have a material adverse effect on the Company. While LivaNova maintains cybersecurity insurance, the costs related to cybersecurity threats or disruptions may not be fully insured. For more information on risks related to cybersecurity and data security, see “Item 1A. Risk Factors – Risks Relating to the Company’s Business and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0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principal executive office is located in the UK and is leased by the Company. LivaNova’s business segments are headquartered in the U.S. for Neuromodulation and in Italy for Cardiopulmonary. LivaNova has manufacturing and research facilities located in the U.S., Italy, Germany, Australia, and Brazil. The Company’s manufacturing and research facilities are approximately 1.0 million square feet. The manufacturing and research facilities located in the U.S., Italy, and Brazil are owned by LivaNova. 45% of LivaNova’s manufacturing and research facilities by square feet are located within the U.S., 58% of LivaNova’s manufacturing and research facilities by square feet are owned by the Company, and the balance is leased.</w:t>
      </w:r>
    </w:p>
    <w:p>
      <w:pPr>
        <w:spacing w:after="0" w:line="5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LivaNova also maintains 31 primary administrative offices in 21 countries. Most of these locations are leased. LivaNova is using substantially all of the Company’s currently available productive space to develop, manufacture, and market LivaNova’s products. LivaNova believes that all of its facilities are in good operating condition, suitable for their respective uses, and adequate for current needs.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Information pertaining to certain material pending legal and regulatory proceedings and settlements is incorporated herein by reference to “Note 11. Commitments and Contingencies” in LivaNova’s consolidated financial statements and accompanying notes, beginning on page F-1 of this Report, and should be considered an integral part of “Part I, Item 3. Legal Proceedings” of this Report.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0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LivaNova’s ordinary shares are quoted on Nasdaq under the symbol “LIVN.”</w:t>
      </w:r>
    </w:p>
    <w:p>
      <w:pPr>
        <w:spacing w:after="0" w:line="10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February 18, 2025, according to data provided by LivaNova’s transfer agent, there were 20 stockholders of record. A substantially greater number of holders of LivaNova’s ordinary shares are “street name” or beneficial holders, whose shares of record are held by banks, brokers, and other financial institutions.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currently has no intention to declare and pay dividends.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Securities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Performance Graph</w:t>
      </w:r>
    </w:p>
    <w:p>
      <w:pPr>
        <w:spacing w:after="0" w:line="87"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The following graph compares LivaNova’s five-year cumulative total return with the five-year cumulative total return of the companies on the S&amp;P 500 Index and the companies on the S&amp;P Healthcare Equipment Select Industry Index. This graph assumes the investment of $100 on December 31, 2019 and the reinvestment of all dividends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34290</wp:posOffset>
            </wp:positionV>
            <wp:extent cx="4641850" cy="1677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41850" cy="167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under the caption “Stock Performance Graph” above is not deemed to be “filed” as part of the Report and is not subject to the liability provisions of Section 18 of the Exchange 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information will not be deemed incorporated by reference into any filing LivaNova makes under the Securities Act, unless LivaNova explicitly incorporates it into such filing at such time.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0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following discussion and analysis should be read in conjunction with the consolidated financial statements and related notes, which appear elsewhere in this Report. Certain percentages presented in this discussion and analysis are calculated from the underlying whole-dollar amounts and therefore may not tie to percentages recalculated from the rounded numbers used for disclosure purposes. The following discussion, analysis, and comparisons generally focus on the operating results for 2024, 2023, and 2022.</w:t>
      </w:r>
    </w:p>
    <w:p>
      <w:pPr>
        <w:spacing w:after="0" w:line="56" w:lineRule="exact"/>
        <w:rPr>
          <w:sz w:val="20"/>
          <w:szCs w:val="20"/>
          <w:color w:val="auto"/>
        </w:rPr>
      </w:pPr>
    </w:p>
    <w:p>
      <w:pPr>
        <w:jc w:val="both"/>
        <w:spacing w:after="0" w:line="278" w:lineRule="auto"/>
        <w:rPr>
          <w:rFonts w:ascii="Times New Roman" w:cs="Times New Roman" w:eastAsia="Times New Roman" w:hAnsi="Times New Roman"/>
          <w:sz w:val="14"/>
          <w:szCs w:val="14"/>
          <w:color w:val="0000FF"/>
        </w:rPr>
      </w:pPr>
      <w:hyperlink r:id="rId52">
        <w:r>
          <w:rPr>
            <w:rFonts w:ascii="Times New Roman" w:cs="Times New Roman" w:eastAsia="Times New Roman" w:hAnsi="Times New Roman"/>
            <w:sz w:val="14"/>
            <w:szCs w:val="14"/>
            <w:color w:val="auto"/>
          </w:rPr>
          <w:t xml:space="preserve">LivaNova has elected to omit certain discussions on the earliest of the three years covered in this Report. Refer to </w:t>
        </w:r>
        <w:r>
          <w:rPr>
            <w:rFonts w:ascii="Times New Roman" w:cs="Times New Roman" w:eastAsia="Times New Roman" w:hAnsi="Times New Roman"/>
            <w:sz w:val="14"/>
            <w:szCs w:val="14"/>
            <w:u w:val="single" w:color="auto"/>
            <w:color w:val="0000FF"/>
          </w:rPr>
          <w:t>Item 7. Management’s Discussion and Analysis of Financial Condition and Results</w:t>
        </w:r>
      </w:hyperlink>
      <w:r>
        <w:rPr>
          <w:rFonts w:ascii="Times New Roman" w:cs="Times New Roman" w:eastAsia="Times New Roman" w:hAnsi="Times New Roman"/>
          <w:sz w:val="14"/>
          <w:szCs w:val="14"/>
          <w:color w:val="auto"/>
        </w:rPr>
        <w:t xml:space="preserve"> </w:t>
      </w:r>
      <w:hyperlink r:id="rId52">
        <w:r>
          <w:rPr>
            <w:rFonts w:ascii="Times New Roman" w:cs="Times New Roman" w:eastAsia="Times New Roman" w:hAnsi="Times New Roman"/>
            <w:sz w:val="14"/>
            <w:szCs w:val="14"/>
            <w:u w:val="single" w:color="auto"/>
            <w:color w:val="0000FF"/>
          </w:rPr>
          <w:t>of Operations located in LivaNova’s Annual Report on Form 10-K for the year ended December 31, 2023</w:t>
        </w:r>
        <w:r>
          <w:rPr>
            <w:rFonts w:ascii="Times New Roman" w:cs="Times New Roman" w:eastAsia="Times New Roman" w:hAnsi="Times New Roman"/>
            <w:sz w:val="14"/>
            <w:szCs w:val="14"/>
            <w:color w:val="000000"/>
          </w:rPr>
          <w:t>, filed on February 29, 2024, for reference to discussion of 2022, the earliest of the three</w:t>
        </w:r>
      </w:hyperlink>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fiscal years presented.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the Business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PLC is a market-leading global medical technology company. The Company designs, develops, manufactures, markets, and sells products and therapies that are consistent with LivaNova’s mission to provide hope for patients and their families through medical technologies, delivering life-changing solutions in select neurological and cardiac conditions. LivaNova is a public limited company organized under the laws of England and Wales and is headquartered in London, England. LivaNova’s ordinary shares are listed for trading on the Nasdaq under the symbol “LIVN.”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Macroeconomic Environment</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current macroeconomic environment, including FX volatility, inflationary pressures, geopolitical instability, and supply chain challenges, has impacted and may continue to impact LivaNova’s business, results of operations, cash flows, and financial condition. Furthermore, LivaNova continues to experience logistical, capacity, and labor constraints. However, to date, the Company’s supply of raw materials and the production and distribution of finished products have not been materially affected. The Company continues to respond to such challenges, and while LivaNova has business continuity plans in place, the impact of the ongoing challenges the Company is navigating, along with their potential escalation, may adversely affect its business. For further discussion on these macroeconomic pressures and potential implications, refer to “Item 1A. Risk Factors” of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Incident</w:t>
      </w:r>
    </w:p>
    <w:p>
      <w:pPr>
        <w:spacing w:after="0" w:line="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The Company implemented remediation measures to mitigate the impact of the incident. The Company also assessed the nature and scope of the affected data, analyzed its statutory notification obligations, and notified affected individuals and regulators as required by applicable law. For further discussion on legal and regulatory developments, refer to “Note 11. Commitments and Contingencies” in LivaNova’s consolidated financial statements in this Report. The incident has been contained, and the Company’s mitigation efforts are considered complete.</w:t>
      </w:r>
    </w:p>
    <w:p>
      <w:pPr>
        <w:spacing w:after="0" w:line="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Through December 31, 2024, LivaNova incurred direct costs totaling $11.6 million in connection with this cybersecurity incident, including $9.0 million and $2.6 million during the twelve months ended December 31, 2024 and 2023, respectively. The total incurred direct costs primarily included external cybersecurity expert and legal fees, system restoration costs, and a $1.2 million provision related to the class action settlement, and do not include business interruption losses. The Company expects to incur additional costs related to this incident in the future. For further discussion on legal and regulatory developments, refer to “Note 11. Commitments and Contingencies” in LivaNova’s consolidated financial statements in this Report. LivaNova maintains insurance, including cyber insurance, which is subject to certain retentions and policy limitations that will likely limit the amount that the insurers may reimburse the Company. LivaNova has filed claims for insurance reimbursement of covered costs and business interruption losses related to this incident and has submitted additional claims and supplemental requests for reimbursement as new costs have been incurred. During 2024, LivaNova received $8.4 million, including $5.1 million in reimbursement of covered costs and $3.3 million in reimbursement of business interruption losses under the Company’s cyber insurance policy. The Company’s insurance coverage may be insufficient to cover all costs and expenses related to this cybersecurity incident or may be unavailable to cover all costs and expenses related to this cybersecurity incident.</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Business Segments</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LivaNova identifies operating segments based on how it manages, evaluates, and internally reports its business activities to allocate resources, develop, and execute its strategy and assess performance. Prior to 2024, LivaNova operated through three segments: Cardiopulmonary, Neuromodulation, and ACS. During the first quarter of 2024, the Company reorganized its operating and reporting structure upon initiating the 2024 Restructuring Plan. This involved transitioning all ACS standalone cannulae and accessories, including ProtekDuo and transseptal (TandemHeart) cannulae, into its Cardiopulmonary segment. Operations for other ACS products, including LifeSPARC and Hemolung systems, were discontinued in 2024. For additional information, refer to “Note</w:t>
      </w:r>
    </w:p>
    <w:p>
      <w:pPr>
        <w:spacing w:after="0" w:line="1" w:lineRule="exact"/>
        <w:rPr>
          <w:sz w:val="20"/>
          <w:szCs w:val="20"/>
          <w:color w:val="auto"/>
        </w:rPr>
      </w:pPr>
    </w:p>
    <w:p>
      <w:pPr>
        <w:jc w:val="both"/>
        <w:ind w:firstLine="5"/>
        <w:spacing w:after="0" w:line="272" w:lineRule="auto"/>
        <w:tabs>
          <w:tab w:leader="none" w:pos="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in LivaNova’s consolidated financial statements in this Report. This restructuring, along with changes in how the Company’s CODM regularly reviews information, allocates resources, and assesses performance, resulted in modifications to LivaNova’s reportable segments. Specifically, LivaNova’s former ACS segment is now included in “Other,” excluding the ACS standalone cannulae and accessories business, which is now included in the Cardiopulmonary reportable segment. As a result, LivaNova now has two reportable segments: Cardiopulmonary and Neuromodulation. The segment financial information presented herein reflects these changes for all periods presented. For additional information regarding LivaNova’s reportable segments, historical financial information, and its methodology for the presentation of financial results, refer to the consolidated financial statements and accompanying notes of this Report.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Cardiopulmonary segment is engaged in the design, development, manufacture, marketing, and sale of cardiopulmonary products, including HLMs, oxygenators, autotransfusion systems, perfusion tubing systems, cannulae, and other related accessories. In particular, the Cardiopulmonary segment includes the Essenz Perfusion System, the Company’s next-generation HLM with an embedded patient monitor for tailored patient care strategies and sensing technology for data-driven decision-making during CPB procedures.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on the Cardiopulmonary segment that could potentially impact LivaNova’s consolidated financial statements and related disclosures is incorporated by reference to “Note 11.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Commitments and Contingencies: Product Liability Litigation” in the consolidated financial statements included in this Report.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LivaNova’s Neuromodulation segment is engaged in the design, development, manufacture, marketing, and sale of devices that deliver neuromodulation therapy for treating DRE and DTD. LivaNova’s principal Neuromodulation product, the VNS Therapy System, consists of an implantable pulse generator and connective lead that stimulates the vagus nerve, surgical equipment to assist with the implant procedure, and equipment and instruction manuals that enable a treating physician to set parameters for a patient’s pulse generator. The lead does not need to be removed to replace a generator with a depleted battery. The Neuromodulation segment is also engaged in the development and management of clinical testing for LivaNova’s aura6000 System for treating OSA. The aura6000 device stimulates the hypoglossal nerve, which engages specific tongue and palate muscles to open the airway while a patient sleeps. LivaNova’s Neuromodulation segment also includes costs associated with the Company’s former heart failure program, which the Company wound down during 2023.</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Epilepsy</w:t>
      </w:r>
    </w:p>
    <w:p>
      <w:pPr>
        <w:spacing w:after="0" w:line="10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LivaNova continues to make investments in R&amp;D focused on improving the VNS Therapy System with an enhanced pulse generator, lead, and programming software, and LivaNova is developing new products that provide additional features and functionality. LivaNova also supports studies for the Company’s product development efforts and to build clinical evidence for the VNS Therapy System.</w:t>
      </w:r>
    </w:p>
    <w:p>
      <w:pPr>
        <w:spacing w:after="0" w:line="2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Peer reviewed evidence published in 2021 and 2022 continues to confirm the safety, efficacy, and cost effectiveness of VNS Therapy in both the adult and pediatric patient populations. In January 2022, the Journal of Neurology published a meta-analysis and systematic review that demonstrated the benefits of VNS Therapy in adults with DRE and improvements in seizure frequency without an increase in the rate of serious adverse events or discontinuations for that population. These data further support consideration of VNS Therapy for people who are not responding to ASMs and those unsuitable or unwilling to undergo surgery.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Depression and Obstructive Sleep Apnea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Discussions of Depression and Obstructive Sleep Apnea are incorporated by reference to the sections titled “Depression” and “Obstructive Sleep Apnea,” respectively, included within “Part I, Item 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 in this Report.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LivaNova’s annual consolidated results of operations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1,253,437</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1,153,545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1,021,805</w:t>
            </w:r>
          </w:p>
        </w:tc>
      </w:tr>
      <w:tr>
        <w:trPr>
          <w:trHeight w:val="18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382,564</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382,295</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314,577</w:t>
            </w:r>
          </w:p>
        </w:tc>
      </w:tr>
      <w:tr>
        <w:trPr>
          <w:trHeight w:val="171"/>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profit</w:t>
            </w: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870,873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771,250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707,228</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526,265</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518,129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469,243</w:t>
            </w:r>
          </w:p>
        </w:tc>
      </w:tr>
      <w:tr>
        <w:trPr>
          <w:trHeight w:val="180"/>
        </w:trPr>
        <w:tc>
          <w:tcPr>
            <w:tcW w:w="5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182,514</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193,817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155,805</w:t>
            </w:r>
          </w:p>
        </w:tc>
      </w:tr>
      <w:tr>
        <w:trPr>
          <w:trHeight w:val="180"/>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 of goodwill</w:t>
            </w:r>
          </w:p>
        </w:tc>
        <w:tc>
          <w:tcPr>
            <w:tcW w:w="10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129,396</w:t>
            </w:r>
          </w:p>
        </w:tc>
      </w:tr>
      <w:tr>
        <w:trPr>
          <w:trHeight w:val="180"/>
        </w:trPr>
        <w:tc>
          <w:tcPr>
            <w:tcW w:w="5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0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89,974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0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33,043</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37,828</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29,536</w:t>
            </w:r>
          </w:p>
        </w:tc>
      </w:tr>
      <w:tr>
        <w:trPr>
          <w:trHeight w:val="171"/>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income (loss)</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129,051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(76,752)</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(48,250)</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(25,482)</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0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47,811</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46,125</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49,860</w:t>
            </w:r>
          </w:p>
        </w:tc>
      </w:tr>
      <w:tr>
        <w:trPr>
          <w:trHeight w:val="171"/>
        </w:trPr>
        <w:tc>
          <w:tcPr>
            <w:tcW w:w="5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before tax</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88,310</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(81,226)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(75,142)</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(98,876)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w:t>
            </w:r>
          </w:p>
        </w:tc>
      </w:tr>
      <w:tr>
        <w:trPr>
          <w:trHeight w:val="18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from equity method investments</w:t>
            </w: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96"/>
        </w:trPr>
        <w:tc>
          <w:tcPr>
            <w:tcW w:w="5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63,234</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17,546</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(86,246)</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Revenue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net revenue by operating segment and geographic region (in thousands, except for percentages):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340" w:type="dxa"/>
            <w:vAlign w:val="bottom"/>
          </w:tcPr>
          <w:p>
            <w:pPr>
              <w:spacing w:after="0"/>
              <w:rPr>
                <w:sz w:val="14"/>
                <w:szCs w:val="1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8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1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160"/>
        </w:trPr>
        <w:tc>
          <w:tcPr>
            <w:tcW w:w="3520" w:type="dxa"/>
            <w:vAlign w:val="bottom"/>
            <w:vMerge w:val="continue"/>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242,463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171,632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0" w:type="dxa"/>
            <w:vAlign w:val="bottom"/>
          </w:tcPr>
          <w:p>
            <w:pPr>
              <w:spacing w:after="0"/>
              <w:rPr>
                <w:sz w:val="1"/>
                <w:szCs w:val="1"/>
                <w:color w:val="auto"/>
              </w:rPr>
            </w:pPr>
          </w:p>
        </w:tc>
      </w:tr>
      <w:tr>
        <w:trPr>
          <w:trHeight w:val="180"/>
        </w:trPr>
        <w:tc>
          <w:tcPr>
            <w:tcW w:w="352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157,414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128,545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Rest of World </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273,025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244,340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214,021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0" w:type="dxa"/>
            <w:vAlign w:val="bottom"/>
          </w:tcPr>
          <w:p>
            <w:pPr>
              <w:spacing w:after="0"/>
              <w:rPr>
                <w:sz w:val="1"/>
                <w:szCs w:val="1"/>
                <w:color w:val="auto"/>
              </w:rPr>
            </w:pPr>
          </w:p>
        </w:tc>
      </w:tr>
      <w:tr>
        <w:trPr>
          <w:trHeight w:val="171"/>
        </w:trPr>
        <w:tc>
          <w:tcPr>
            <w:tcW w:w="35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683,512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604,112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514,198</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0" w:type="dxa"/>
            <w:vAlign w:val="bottom"/>
          </w:tcPr>
          <w:p>
            <w:pPr>
              <w:spacing w:after="0"/>
              <w:rPr>
                <w:sz w:val="1"/>
                <w:szCs w:val="1"/>
                <w:color w:val="auto"/>
              </w:rPr>
            </w:pPr>
          </w:p>
        </w:tc>
      </w:tr>
      <w:tr>
        <w:trPr>
          <w:trHeight w:val="16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374,542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54,899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0" w:type="dxa"/>
            <w:vAlign w:val="bottom"/>
          </w:tcPr>
          <w:p>
            <w:pPr>
              <w:spacing w:after="0"/>
              <w:rPr>
                <w:sz w:val="1"/>
                <w:szCs w:val="1"/>
                <w:color w:val="auto"/>
              </w:rPr>
            </w:pPr>
          </w:p>
        </w:tc>
      </w:tr>
      <w:tr>
        <w:trPr>
          <w:trHeight w:val="180"/>
        </w:trPr>
        <w:tc>
          <w:tcPr>
            <w:tcW w:w="352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Rest of World </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58,302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54,782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52,160</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171"/>
        </w:trPr>
        <w:tc>
          <w:tcPr>
            <w:tcW w:w="35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554,223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519,710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476,993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0" w:type="dxa"/>
            <w:vAlign w:val="bottom"/>
          </w:tcPr>
          <w:p>
            <w:pPr>
              <w:spacing w:after="0"/>
              <w:rPr>
                <w:sz w:val="1"/>
                <w:szCs w:val="1"/>
                <w:color w:val="auto"/>
              </w:rPr>
            </w:pPr>
          </w:p>
        </w:tc>
      </w:tr>
      <w:tr>
        <w:trPr>
          <w:trHeight w:val="171"/>
        </w:trPr>
        <w:tc>
          <w:tcPr>
            <w:tcW w:w="3520" w:type="dxa"/>
            <w:vAlign w:val="bottom"/>
            <w:tcBorders>
              <w:bottom w:val="single" w:sz="8" w:color="CCEEFF"/>
            </w:tcBorders>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Other Revenue </w:t>
            </w:r>
            <w:r>
              <w:rPr>
                <w:rFonts w:ascii="Times New Roman" w:cs="Times New Roman" w:eastAsia="Times New Roman" w:hAnsi="Times New Roman"/>
                <w:sz w:val="18"/>
                <w:szCs w:val="18"/>
                <w:b w:val="1"/>
                <w:bCs w:val="1"/>
                <w:color w:val="auto"/>
                <w:vertAlign w:val="superscript"/>
              </w:rPr>
              <w:t>(2)</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15,702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29,723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30,614</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695,083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635,044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571,558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220,032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214,792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178,802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0" w:type="dxa"/>
            <w:vAlign w:val="bottom"/>
          </w:tcPr>
          <w:p>
            <w:pPr>
              <w:spacing w:after="0"/>
              <w:rPr>
                <w:sz w:val="1"/>
                <w:szCs w:val="1"/>
                <w:color w:val="auto"/>
              </w:rPr>
            </w:pPr>
          </w:p>
        </w:tc>
      </w:tr>
      <w:tr>
        <w:trPr>
          <w:trHeight w:val="180"/>
        </w:trPr>
        <w:tc>
          <w:tcPr>
            <w:tcW w:w="352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Rest of World </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338,322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303,709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271,445</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1,253,437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1,153,545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1,021,805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12.9 %</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3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52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39" w:name="page40"/>
    <w:bookmarkEnd w:id="39"/>
    <w:p>
      <w:pPr>
        <w:ind w:left="520" w:right="380" w:hanging="260"/>
        <w:spacing w:after="0" w:line="225" w:lineRule="auto"/>
        <w:tabs>
          <w:tab w:leader="none" w:pos="51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1" w:lineRule="exact"/>
        <w:rPr>
          <w:rFonts w:ascii="Times New Roman" w:cs="Times New Roman" w:eastAsia="Times New Roman" w:hAnsi="Times New Roman"/>
          <w:sz w:val="17"/>
          <w:szCs w:val="17"/>
          <w:color w:val="auto"/>
          <w:vertAlign w:val="superscript"/>
        </w:rPr>
      </w:pPr>
    </w:p>
    <w:p>
      <w:pPr>
        <w:ind w:left="500" w:hanging="240"/>
        <w:spacing w:after="0" w:line="195" w:lineRule="auto"/>
        <w:tabs>
          <w:tab w:leader="none" w:pos="50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Revenue” includes revenue from the Company’s former ACS reportable segment, as discussed above, as well as rental and site services income not allocated to segments.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presents segment income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 thousands, except for percentages):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Borders>
              <w:bottom w:val="single" w:sz="8" w:color="auto"/>
            </w:tcBorders>
          </w:tcPr>
          <w:p>
            <w:pPr>
              <w:spacing w:after="0"/>
              <w:rPr>
                <w:sz w:val="16"/>
                <w:szCs w:val="16"/>
                <w:color w:val="auto"/>
              </w:rPr>
            </w:pPr>
          </w:p>
        </w:tc>
      </w:tr>
      <w:tr>
        <w:trPr>
          <w:trHeight w:val="171"/>
        </w:trPr>
        <w:tc>
          <w:tcPr>
            <w:tcW w:w="3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0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2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171"/>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76,848</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26,407</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17,106</w:t>
            </w:r>
          </w:p>
        </w:tc>
        <w:tc>
          <w:tcPr>
            <w:tcW w:w="1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191.0 %</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54.4 %</w:t>
            </w:r>
          </w:p>
        </w:tc>
      </w:tr>
      <w:tr>
        <w:trPr>
          <w:trHeight w:val="18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195,309</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153,384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172,775</w:t>
            </w:r>
          </w:p>
        </w:tc>
        <w:tc>
          <w:tcPr>
            <w:tcW w:w="1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27.3 %</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96"/>
        </w:trPr>
        <w:tc>
          <w:tcPr>
            <w:tcW w:w="34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272,157</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179,791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189,881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51.4 %</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119" w:lineRule="exact"/>
        <w:rPr>
          <w:sz w:val="20"/>
          <w:szCs w:val="20"/>
          <w:color w:val="auto"/>
        </w:rPr>
      </w:pPr>
    </w:p>
    <w:p>
      <w:pPr>
        <w:ind w:left="500" w:hanging="240"/>
        <w:spacing w:after="0"/>
        <w:tabs>
          <w:tab w:leader="none" w:pos="50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For a reconciliation of segment income to consolidated income (loss) before tax, refer to “Note 17. Geographic and Segment Information” in LivaNova’s consolidated financial statements included in this Report.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Cardiopulmonary net revenue for the year ended December 31, 2024 increased 13.1% to $683.5 million compared to the year ended December 31, 2023, with growth across all regions, driven by strong consumables demand and Essenz Perfusion System sales.</w:t>
      </w:r>
    </w:p>
    <w:p>
      <w:pPr>
        <w:spacing w:after="0" w:line="5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Cardiopulmonary segment income for the year ended December 31, 2024 was $76.8 million, compared to $26.4 million for the year ended December 31, 2023. The increase in segment income was primarily due to an increase in net revenue, as described above, as well as a decrease in the litigation provision related to LivaNova’s 3T Heater-Cooler device of $14.8 million. These increases in segment income were partially offset by increases in sales and marketing and R&amp;D expenses.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Neuromodulation net revenue for the year ended December 31, 2024 increased 6.6% to $554.2 million compared to the year ended December 31, 2023, with growth in the Rest of World and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regions, partially offset by a decline in Europe.</w:t>
      </w:r>
    </w:p>
    <w:p>
      <w:pPr>
        <w:spacing w:after="0" w:line="10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Neuromodulation segment income for the year ended December 31, 2024 was $195.3 million compared to $153.4 million for the year ended December 31, 2023. The increase in segment income was primarily due to an increase in net revenue, as described above, as well as a net decrease in R&amp;D expense, primarily associated with the winding down of the Company’s heart failure program of $24.8 million. These increases in segment income were partially offset by an increase in sales and marketing expense to support the increased revenue.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Sales and Expenses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costs and expenses as a percentage of net revenue: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gridSpan w:val="2"/>
          </w:tcPr>
          <w:p>
            <w:pPr>
              <w:ind w:left="6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2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30.5 %</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30.8 %</w:t>
            </w:r>
          </w:p>
        </w:tc>
      </w:tr>
      <w:tr>
        <w:trPr>
          <w:trHeight w:val="180"/>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42.0 %</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44.9 %</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45.9 %</w:t>
            </w:r>
          </w:p>
        </w:tc>
      </w:tr>
      <w:tr>
        <w:trPr>
          <w:trHeight w:val="180"/>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16.8 %</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r>
      <w:tr>
        <w:trPr>
          <w:trHeight w:val="180"/>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Impairment of goodwill</w:t>
            </w:r>
          </w:p>
        </w:tc>
        <w:tc>
          <w:tcPr>
            <w:tcW w:w="1920" w:type="dxa"/>
            <w:vAlign w:val="bottom"/>
            <w:gridSpan w:val="3"/>
          </w:tcPr>
          <w:p>
            <w:pPr>
              <w:jc w:val="right"/>
              <w:ind w:right="13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12.7 %</w:t>
            </w:r>
          </w:p>
        </w:tc>
      </w:tr>
      <w:tr>
        <w:trPr>
          <w:trHeight w:val="180"/>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92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4"/>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Sales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of sales consists primarily of direct labor, allocated manufacturing overhead, and the acquisition of raw materials and components.</w:t>
      </w:r>
    </w:p>
    <w:p>
      <w:pPr>
        <w:spacing w:after="0" w:line="9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Cost of sales as a percentage of net revenue was 30.5% for the year ended December 31, 2024, a decrease of 2.6 percentage points compared to the year ended December 31, 2023. The decrease was primarily due to an inventory obsolescence adjustment of $12.6 million during the year ended December 31, 2023 associated with the wind down of LivaNova’s ACS segment, as well as a decrease in amortization resulting from the impairment of the ACS segment’s developed technology intangible asset in 2023.</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color w:val="auto"/>
        </w:rPr>
        <w:t>Selling, General, and Administrative Expense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SG&amp;A expenses are comprised of sales, marketing, general, and administrative activities.</w:t>
      </w:r>
    </w:p>
    <w:p>
      <w:pPr>
        <w:spacing w:after="0" w:line="10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SG&amp;A expenses as a percentage of net revenue were 42.0% for the year ended December 31, 2024, a decrease of 2.9 percentage points compared to the year ended December 31, 2023. The decrease was primarily due to a decrease in sales and marketing expenses driven by the winding down of the ACS segment, as described above, as well as favorable volume leverage.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R&amp;D expenses consist of product design and development efforts, clinical study programs, and regulatory activities.</w:t>
      </w:r>
    </w:p>
    <w:p>
      <w:pPr>
        <w:spacing w:after="0" w:line="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R&amp;D expenses as a percentage of net revenue were 14.6% for the year ended December 31, 2024, a decrease of 2.2 percentage points compared to the year ended December 31, 2023. The decrease was primarily due to a decline in R&amp;D expense of $24.8 million associated with winding down the Company’s heart failure program, which was completed during the fourth quarter of 2023, as well as a decline of $6.3 million associated with winding down the Company’s ACS segment, as described above.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Impairment of Long-Lived Assets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tests goodwill and indefinite-lived intangible assets for impairment on an annual basis on October 1, or when events or changes in circumstances indicate that a potential impairment exists.</w:t>
      </w:r>
    </w:p>
    <w:p>
      <w:pPr>
        <w:spacing w:after="0" w:line="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On January 5, 2024, the Board of Directors of LivaNova PLC approved the 2024 Restructuring Plan to enhance the Company’s focus on its core Cardiopulmonary and Neuromodulation segments. The main component of the 2024 Restructuring Plan was to wind down the ACS segment, which was substantially completed in 2024. The Company determined that it was more likely than not that the carrying amounts associated with the ACS segment, including the long-lived assets (asset group), may not be recoverable. This was determined to be a triggering event occurring in the fourth quarter of 2023 requiring an impairment assessment, based on certain factors, including the results of an updated long-term financial outlook for the ACS segment. As such, LivaNova recorded impairments of the following long-lived assets during the year ended December 31, 2023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94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Developed technology</w:t>
            </w: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78,067</w:t>
            </w:r>
          </w:p>
        </w:tc>
        <w:tc>
          <w:tcPr>
            <w:tcW w:w="0" w:type="dxa"/>
            <w:vAlign w:val="bottom"/>
          </w:tcPr>
          <w:p>
            <w:pPr>
              <w:spacing w:after="0"/>
              <w:rPr>
                <w:sz w:val="1"/>
                <w:szCs w:val="1"/>
                <w:color w:val="auto"/>
              </w:rPr>
            </w:pPr>
          </w:p>
        </w:tc>
      </w:tr>
      <w:tr>
        <w:trPr>
          <w:trHeight w:val="180"/>
        </w:trPr>
        <w:tc>
          <w:tcPr>
            <w:tcW w:w="9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Trade names</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7,117</w:t>
            </w:r>
          </w:p>
        </w:tc>
        <w:tc>
          <w:tcPr>
            <w:tcW w:w="0" w:type="dxa"/>
            <w:vAlign w:val="bottom"/>
          </w:tcPr>
          <w:p>
            <w:pPr>
              <w:spacing w:after="0"/>
              <w:rPr>
                <w:sz w:val="1"/>
                <w:szCs w:val="1"/>
                <w:color w:val="auto"/>
              </w:rPr>
            </w:pPr>
          </w:p>
        </w:tc>
      </w:tr>
      <w:tr>
        <w:trPr>
          <w:trHeight w:val="18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0" w:type="dxa"/>
            <w:vAlign w:val="bottom"/>
          </w:tcPr>
          <w:p>
            <w:pPr>
              <w:spacing w:after="0"/>
              <w:rPr>
                <w:sz w:val="1"/>
                <w:szCs w:val="1"/>
                <w:color w:val="auto"/>
              </w:rPr>
            </w:pPr>
          </w:p>
        </w:tc>
      </w:tr>
      <w:tr>
        <w:trPr>
          <w:trHeight w:val="180"/>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96"/>
        </w:trPr>
        <w:tc>
          <w:tcPr>
            <w:tcW w:w="94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89,974</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Operating Expenses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operating expenses primarily consist of the provision for litigation involving LivaNova’s 3T Heater-Cooler device, the Saluggia site remediation provision, and restructuring expense.</w:t>
      </w:r>
    </w:p>
    <w:p>
      <w:pPr>
        <w:spacing w:after="0" w:line="9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Other operating expenses as a percentage of net revenue were 2.6% for the year ended December 31, 2024, a decrease of 0.7 percentage points compared to the year ended December 31, 2023. The decrease was primarily due to a decrease in the amount recorded for the litigation provision related to LivaNova’s 3T Heater-Cooler device of $14.8 million and a decrease in the amount recorded for the Saluggia site decommissioning provision of $2.3 million. These decreases were partially offset by an increase in restructuring expense of $12.4 million resulting from the 2024 Restructuring Plan. For additional information, refer to “Note 4. Restructuring” and “Note 11. Commitments and Contingencies” in the consolidated financial statements in this Report.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incurred interest expense of $63.1 million for the year ended December 31, 2024, compared to $58.9 million for the year ended December 31, 2023. The increase was primarily due to increases in average borrowings and the amortization of debt issuance costs.</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color w:val="auto"/>
        </w:rPr>
        <w:t>Loss on Debt Extinguishment</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In connection with the 2025 Notes Repurchase Transaction, during the year ended December 31, 2024, LivaNova incurred a loss on debt extinguishment of $25.5 million. For additional information, refer to “Note 9. Financing Arrangements” in the consolidated financial statements in this Report.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Exchange and Other Income/(Expense)</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Foreign exchange and other income/(expense) consists primarily of gains and losses arising from transactions denominated in a currency different from an entity’s functional currency, FX derivative gains and losses, interest income, changes in the fair value of embedded and capped call derivatives, and gains and losses associated with LivaNova’s investments.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exchange and other income/(expense) was income of $47.8 million and $46.1 million for the years ended December 31, 2024 and 2023, respectively. For further details, refer to “Note 18.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Financial Information” in LivaNova’s consolidated financial statements included in this Report.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PLC is resident in the UK. LivaNova’s effective income tax rate fluctuates based on, among other factors, changes in pre-tax income in countries with varying statutory tax rates, valuation allowances, tax credits and incentives, unrecognized tax benefits associated with uncertain tax positions, and tax laws. LivaNova’s tax returns are periodically audited or subjected to review by tax authorities. The Company operates in multiple jurisdictions worldwide and assesses the recoverability of its deferred tax assets for each period and jurisdiction by considering whether it is more likely than not that all or a portion of the deferred tax assets will not be realized. The Company considers all available evidence (both positive and negative) in determining whether a valuation allowance is required.</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LivaNova’s effective income tax rate was 28.4% and 121.7% for the years ended December 31, 2024 and 2023, respectively. Compared with the year ended December 31, 2023, the change in the effective tax rate for 2024 was primarily attributable to changes in the mix of taxable income in various jurisdictions, non-deductible interest and premiums, and changes in tax valuation allowances. For additional information, please refer to “Note 15. Income Taxes” in LivaNova’s consolidated financial statements included in this Report.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has adopted various accounting policies to prepare the consolidated financial statements in accordance with U.S. GAAP. The Company’s most significant accounting policies are disclosed in “Note 2. Basis of Presentation, Use of Accounting Estimates, and Significant Accounting Policies” and “Note 3. Revenue Recognition” in LivaNova’s consolidated financial statements included in this Report.</w:t>
      </w:r>
    </w:p>
    <w:p>
      <w:pPr>
        <w:spacing w:after="0" w:line="4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To prepare LivaNova’s consolidated financial statements in conformity with U.S. GAAP, management makes estimates and assumptions that may affect the reported amounts of the Company’s assets and liabilities, the disclosure of contingent liabilities as of the date of its consolidated financial statements, and the reported amounts of its revenue and expenses during the reporting period. LivaNova’s actual results may differ from these estimates. LivaNova considers estimates to be critical if the Company is required to make assumptions about material matters that are uncertain at the time of estimation, or if materially different estimates could have been made or it is reasonably likely that the accounting estimate may change from period to period. The following are areas requiring management’s judgment that LivaNova considers critical: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 and Long-Lived Assets</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allocates the purchase price consideration of an acquisition to the assets acquired and liabilities assumed based on their fair values at the date of acquisition, including property, plant, and equipment; inventories; accounts receivable; long-term debt; and identifiable intangible assets which either arise from a contractual or legal right or are separable from goodwill. LivaNova allocates any excess purchase price over the fair value of the net tangible and identifiable intangible assets acquired to goodwill. LivaNova bases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w:t>
      </w:r>
    </w:p>
    <w:p>
      <w:pPr>
        <w:spacing w:after="0" w:line="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trade names, and customer relationships. Customer relationships consist of relationships with hospitals and surgeons in the countries where LivaNova operates. Indefinite-lived intangible assets other than goodwill are composed of IPR&amp;D assets acquired in acquisitions.</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42" w:name="page43"/>
    <w:bookmarkEnd w:id="42"/>
    <w:p>
      <w:pPr>
        <w:jc w:val="both"/>
        <w:spacing w:after="0" w:line="269" w:lineRule="auto"/>
        <w:rPr>
          <w:sz w:val="20"/>
          <w:szCs w:val="20"/>
          <w:color w:val="auto"/>
        </w:rPr>
      </w:pPr>
      <w:r>
        <w:rPr>
          <w:rFonts w:ascii="Times New Roman" w:cs="Times New Roman" w:eastAsia="Times New Roman" w:hAnsi="Times New Roman"/>
          <w:sz w:val="14"/>
          <w:szCs w:val="14"/>
          <w:color w:val="auto"/>
        </w:rPr>
        <w:t>Each reporting period, LivaNova determines whether there are circumstances that warrant an evaluation of the carrying amounts of LivaNova’s property and equipment and its finite-lived intangible assets to determine whether such carrying amounts continue to be recoverable. Such changes in circumstance may include, among other items, an expectation of a sale or disposal of a long-lived asset or asset group, adverse changes in market or competitive conditions, an adverse change in legal factors or business climate in the markets in which LivaNova operates, and operating or cash flow losses. Long-lived assets held and used are assessed for possible impairment by comparing their carrying values with their associated undiscounted, future cash flows. In order to calculate the impairment charge, LivaNova generally measures fair value by considering sale prices for similar assets, discounted estimated future cash flows using an appropriate discount rate, and/or estimated replacement cost.</w:t>
      </w:r>
    </w:p>
    <w:p>
      <w:pPr>
        <w:spacing w:after="0" w:line="6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estimates the useful lives of its finite-lived intangible assets, which requires significant management judgment, and evaluates its intangible assets each reporting period to determine whether events and circumstances indicate a different useful life.</w:t>
      </w:r>
    </w:p>
    <w:p>
      <w:pPr>
        <w:spacing w:after="0" w:line="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evaluates the goodwill and indefinite-lived intangible assets for impairment annually on October 1st and whenever other facts and circumstances indicate that the carrying amounts of goodwill and other indefinite-lived intangible assets may not be recoverable. Estimating the fair value of goodwill and indefinite-lived intangible assets requires various assumptions, including revenue growth rates and discount rates. LivaNova performed a quantitative goodwill impairment assessment for its Cardiopulmonary and Neuromodulation reporting units as of October 1, 2024, including sensitivity analyses of key assumptions. The assessment was conducted using management’s current estimate of future cash flows. LivaNova concluded that the fair value of its Cardiopulmonary and Neuromodulation reporting units exceeded the carrying value of the respective reporting units and were, therefore, not impaired on the October 1, 2024 test date.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is a UK corporation and operates through the Company’s various subsidiaries in a number of countries throughout the world. LivaNova’s provision for income taxes is based on the tax laws and rates applicable in the jurisdictions in which the Company operates and earns income. LivaNova uses significant judgment and estimates in accounting for the Company’s income taxes. The Company recognizes deferred tax assets and liabilities for the anticipated future tax effects of temporary differences between the financial statements basis and the tax basis of LivaNova’s assets and liabilities, which are measured using enacted tax rates expected to apply to taxable income in the years in which those temporary differences are expected to be recovered or settled.</w:t>
      </w:r>
    </w:p>
    <w:p>
      <w:pPr>
        <w:spacing w:after="0" w:line="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files federal and local tax returns in many jurisdictions throughout the world and is subject to income tax examinations for its fiscal year 2019 and subsequent years, with certain exceptions. While LivaNova believes that its tax return positions are fully supported, tax authorities may disagree with certain positions the Company has taken and assess additional taxes, and, as a result, LivaNova may establish reserves for uncertain tax positions, which require a significant degree of management judgment. LivaNova regularly assesses the likely outcomes of its tax positions to determine the appropriateness of the Company’s reserves; however, the actual outcome of an audit can be significantly different from LivaNova’s expectations, which could have a material impact on the Company’s tax provision. The Company has accrued $15.2 million, of which $14.1 million is unrecognized tax benefit, as of December 31, 2024.</w:t>
      </w:r>
    </w:p>
    <w:p>
      <w:pPr>
        <w:spacing w:after="0" w:line="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periodically assesses the recoverability of its deferred tax assets by considering whether it is more likely than not that some or all of the actual benefit of those assets will be realized. To the extent that realization does not meet the “more-likely-than-not” criterion, the Company establishes a valuation allowance. LivaNova periodically reviews the adequacy and necessity of the valuation allowance by considering significant positive and negative evidence relative to its ability to recover deferred tax assets and to determine the timing and amount of valuation allowance that should be released. This evidence includes: profitability in the most recent quarters; internal profitability forecasts for the current and next two future years; the amount of deferred tax asset relative to estimated profitability; the potential effects on future profitability from increasing competition, healthcare reforms, and overall economic conditions; limitations and potential limitations on the use of LivaNova’s net operating losses due to ownership changes, pursuant to IRC Section 382; and the implementation of prudent and feasible tax planning strategies, if any. For additional information, please refer to “Note 15. Income Taxes” in LivaNova’s consolidated financial statements included in this Report.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and Other Contingencies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Provisions for legal contingencies are recognized when the Company determines it is probable that a loss has been incurred and the amount is reasonably estimable, the determination of which requires significant judgment. Estimates are used in assessing the likelihood of a loss being incurred and when determining a reasonable estimate of the loss for each claim. Final settlement</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3" w:name="page44"/>
    <w:bookmarkEnd w:id="43"/>
    <w:p>
      <w:pPr>
        <w:jc w:val="both"/>
        <w:spacing w:after="0" w:line="303" w:lineRule="auto"/>
        <w:rPr>
          <w:sz w:val="20"/>
          <w:szCs w:val="20"/>
          <w:color w:val="auto"/>
        </w:rPr>
      </w:pPr>
      <w:r>
        <w:rPr>
          <w:rFonts w:ascii="Times New Roman" w:cs="Times New Roman" w:eastAsia="Times New Roman" w:hAnsi="Times New Roman"/>
          <w:sz w:val="14"/>
          <w:szCs w:val="14"/>
          <w:color w:val="auto"/>
        </w:rPr>
        <w:t>amounts may be materially different from the provision recorded. For additional information, please refer to “Note 11. Commitments and Contingencies” in LivaNova’s consolidated financial statements included in this Report.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Contingent Consideration Liabilities</w:t>
      </w:r>
    </w:p>
    <w:p>
      <w:pPr>
        <w:spacing w:after="0" w:line="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Contingent consideration liabilities result from acquisition agreements that include potential future payment of consideration that is contingent upon the achievement of performance milestones and/or sales-based earnouts. Contingent consideration liabilities are measured at fair value each reporting period, the determination of which requires significant judgments and estimates. The fair value of contingent consideration is determined based on the consideration expected to be transferred based on estimated future cash flows of the acquired business, discounted to present value in accordance with accepted valuation methodologies. For additional information, please refer to “Note 8. Fair Value Measurements” in LivaNova’s consolidated financial statements included in this Report.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Embedded and Capped Call Derivatives</w:t>
      </w:r>
    </w:p>
    <w:p>
      <w:pPr>
        <w:spacing w:after="0" w:line="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June 2020 and March 2024, the Company issued the 2025 Notes and 2029 Notes, respectively, and entered into related capped call transactions. The 2025 Notes and 2029 Notes include embedded derivatives that are bifurcated from the 2025 Notes and 2029 Notes. The embedded derivatives are measured at fair value using a binomial lattice model and estimated discounted cash flows that utilize observable and unobservable market data. The capped call derivatives are measured at fair value using the Black-Scholes model utilizing observable and unobservable market data, including stock price, remaining contractual term, expected volatility, risk-free interest rate, and expected dividend yield, as applicable. The Company uses historical volatility and implied volatility from options traded to determine expected stock price volatility, which is an unobservable input that is significant to the valuations. For additional information, please refer to “Note 8. Fair Value Measurements” and “Note 9. Financing Arrangements” in LivaNova’s consolidated financial statements included in this Report.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Accounting Pronouncements</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 discussion of new accounting standards and disclosure requirements, please refer to “Note 19. New Accounting Pronouncements” in LivaNova’s consolidated financial statements included in this Report.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Based on LivaNova’s current business plan, the Company believes that its sources of liquidity, which primarily consist of cash and cash equivalents, future cash generated from operations, and available borrowings under its revolving credit facility, will be sufficient to fund its uses of liquidity, primarily consisting of day-to-day operating expenses, working capital, capital expenditures, acquisition earnouts, and debt service requirements over the twelve-month period beginning from the issuance date of this Report. From time to time, LivaNova may access debt and/or equity markets to optimize its capital structure, raise additional capital, or increase liquidity, as necessary. LivaNova’s liquidity could be adversely affected by the factors affecting future operating results, including those referred to in “Part I, Item 1A. Risk Factors” above and by the contingencies referred to in “Note 11. Commitments and Contingencies” in LivaNova’s consolidated financial statements in this Report.</w:t>
      </w:r>
    </w:p>
    <w:p>
      <w:pPr>
        <w:spacing w:after="0" w:line="6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operating and working capital obligations primarily consist of liabilities arising from the normal course of business, including inventory supply contracts, the future settlement of derivative instruments, and future payments of operating leases, as well as contingent consideration arrangements resulting from acquisitions and obligations associated with legal and other accruals.</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selected financial information related to LivaNova’s liquidity (in thousands):</w:t>
            </w: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76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 Short-term Liquidity</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76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7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428,858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266,504</w:t>
            </w:r>
          </w:p>
        </w:tc>
        <w:tc>
          <w:tcPr>
            <w:tcW w:w="0" w:type="dxa"/>
            <w:vAlign w:val="bottom"/>
          </w:tcPr>
          <w:p>
            <w:pPr>
              <w:spacing w:after="0"/>
              <w:rPr>
                <w:sz w:val="1"/>
                <w:szCs w:val="1"/>
                <w:color w:val="auto"/>
              </w:rPr>
            </w:pPr>
          </w:p>
        </w:tc>
      </w:tr>
      <w:tr>
        <w:trPr>
          <w:trHeight w:val="201"/>
        </w:trPr>
        <w:tc>
          <w:tcPr>
            <w:tcW w:w="7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Availability under the 2021 First Lien Credit Agreement</w:t>
            </w: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653,858</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391,504</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Working Capital</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assets</w:t>
            </w:r>
          </w:p>
        </w:tc>
        <w:tc>
          <w:tcPr>
            <w:tcW w:w="108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1,127,186</w:t>
            </w:r>
          </w:p>
        </w:tc>
        <w:tc>
          <w:tcPr>
            <w:tcW w:w="100" w:type="dxa"/>
            <w:vAlign w:val="bottom"/>
          </w:tcPr>
          <w:p>
            <w:pPr>
              <w:spacing w:after="0"/>
              <w:rPr>
                <w:sz w:val="17"/>
                <w:szCs w:val="17"/>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988,158</w:t>
            </w:r>
          </w:p>
        </w:tc>
        <w:tc>
          <w:tcPr>
            <w:tcW w:w="0" w:type="dxa"/>
            <w:vAlign w:val="bottom"/>
          </w:tcPr>
          <w:p>
            <w:pPr>
              <w:spacing w:after="0"/>
              <w:rPr>
                <w:sz w:val="1"/>
                <w:szCs w:val="1"/>
                <w:color w:val="auto"/>
              </w:rPr>
            </w:pPr>
          </w:p>
        </w:tc>
      </w:tr>
      <w:tr>
        <w:trPr>
          <w:trHeight w:val="20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liabilities</w:t>
            </w:r>
          </w:p>
        </w:tc>
        <w:tc>
          <w:tcPr>
            <w:tcW w:w="10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392,125</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334,983</w:t>
            </w:r>
          </w:p>
        </w:tc>
        <w:tc>
          <w:tcPr>
            <w:tcW w:w="0" w:type="dxa"/>
            <w:vAlign w:val="bottom"/>
          </w:tcPr>
          <w:p>
            <w:pPr>
              <w:spacing w:after="0"/>
              <w:rPr>
                <w:sz w:val="1"/>
                <w:szCs w:val="1"/>
                <w:color w:val="auto"/>
              </w:rPr>
            </w:pPr>
          </w:p>
        </w:tc>
      </w:tr>
      <w:tr>
        <w:trPr>
          <w:trHeight w:val="171"/>
        </w:trPr>
        <w:tc>
          <w:tcPr>
            <w:tcW w:w="7660" w:type="dxa"/>
            <w:vAlign w:val="bottom"/>
          </w:tcPr>
          <w:p>
            <w:pPr>
              <w:spacing w:after="0"/>
              <w:rPr>
                <w:sz w:val="14"/>
                <w:szCs w:val="14"/>
                <w:color w:val="auto"/>
              </w:rPr>
            </w:pPr>
          </w:p>
        </w:tc>
        <w:tc>
          <w:tcPr>
            <w:tcW w:w="108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735,061</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653,175</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Debt Obligations</w:t>
            </w: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77,339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17,484</w:t>
            </w:r>
          </w:p>
        </w:tc>
        <w:tc>
          <w:tcPr>
            <w:tcW w:w="0" w:type="dxa"/>
            <w:vAlign w:val="bottom"/>
          </w:tcPr>
          <w:p>
            <w:pPr>
              <w:spacing w:after="0"/>
              <w:rPr>
                <w:sz w:val="1"/>
                <w:szCs w:val="1"/>
                <w:color w:val="auto"/>
              </w:rPr>
            </w:pPr>
          </w:p>
        </w:tc>
      </w:tr>
      <w:tr>
        <w:trPr>
          <w:trHeight w:val="201"/>
        </w:trPr>
        <w:tc>
          <w:tcPr>
            <w:tcW w:w="7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Short-term unsecured borrowing arrangements</w:t>
            </w: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18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debt obligations</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18,111</w:t>
            </w:r>
          </w:p>
        </w:tc>
        <w:tc>
          <w:tcPr>
            <w:tcW w:w="0" w:type="dxa"/>
            <w:vAlign w:val="bottom"/>
          </w:tcPr>
          <w:p>
            <w:pPr>
              <w:spacing w:after="0"/>
              <w:rPr>
                <w:sz w:val="1"/>
                <w:szCs w:val="1"/>
                <w:color w:val="auto"/>
              </w:rPr>
            </w:pPr>
          </w:p>
        </w:tc>
      </w:tr>
      <w:tr>
        <w:trPr>
          <w:trHeight w:val="201"/>
        </w:trPr>
        <w:tc>
          <w:tcPr>
            <w:tcW w:w="7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Long-term debt obligations</w:t>
            </w: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549,624</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568,543</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627,628</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586,654</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 and Capital</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LivaNova’s capital structure consists of debt and equity. As of December 31, 2024, LivaNova’s total debt of $627.6 million was 47.5% of its total equity of $1,320.3 million. As of December 31, 2023, LivaNova’s total debt of $586.7 million was 45.9% of its total equity of $1,277.6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2024, LivaNova received $335.5 million in proceeds from the issuance of long-term debt and repaid $247.5 million in long-term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2023, LivaNova received $50.0 million in proceeds from the issuance of long-term debt and repaid $21.6 million in long-term debt.</w:t>
      </w:r>
    </w:p>
    <w:p>
      <w:pPr>
        <w:spacing w:after="0" w:line="9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On March 8, 2024, LivaNova and LivaNova USA entered into Incremental Facility Amendment No. 3, which provides for LivaNova USA to obtain revolving commitments in an aggregate principal amount of $225.0 million. For additional information, refer to “Note 9. Financing Arrangements” in the consolidated financial statements in this Report.</w:t>
      </w:r>
    </w:p>
    <w:p>
      <w:pPr>
        <w:spacing w:after="0" w:line="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March 8, 2024, LivaNova issued $345.0 million aggregate principal amount of 2.50% notes due 2029. The 2029 Notes are senior unsecured obligations of the Company. In connection with pricing the 2029 Notes, the Company entered into privately-negotiated capped call transactions with certain financial institutions. The Company used part of the proceeds from the issuance of the 2029 Notes to repurchase $230.0 million aggregate principal amount of the 2025 Notes in privately-negotiated transactions for an aggregate cash repurchase consideration of $270.5 million. Contemporaneously with the 2025 Notes Repurchase Transaction, the Company and the financial institutions party to the 2025 Capped Calls agreed to terminate a portion of the 2025 Capped Calls in a notional amount corresponding to the amount of 2025 Notes repurchased.</w:t>
      </w:r>
    </w:p>
    <w:p>
      <w:pPr>
        <w:spacing w:after="0" w:line="6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For additional information on LivaNova’s debt obligations and Capped Call Transactions, refer to “Note 7. Derivatives and Risk Management” and “Note 9. Financing Arrangements” in the consolidated financial statements in this Report.</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color w:val="auto"/>
        </w:rPr>
        <w:t>Cash Flows</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following table presents net cash, cash equivalents, and restricted cash provided by (used in) operating, investing, and financing activities and the net increase in the balance of cash, cash equivalents, and restricted cash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183,038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74,914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69,921</w:t>
            </w:r>
          </w:p>
        </w:tc>
      </w:tr>
      <w:tr>
        <w:trPr>
          <w:trHeight w:val="18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(38,414)</w:t>
            </w: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280,130</w:t>
            </w:r>
          </w:p>
        </w:tc>
      </w:tr>
      <w:tr>
        <w:trPr>
          <w:trHeight w:val="18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(4,011)</w:t>
            </w:r>
          </w:p>
        </w:tc>
      </w:tr>
      <w:tr>
        <w:trPr>
          <w:trHeight w:val="19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145,684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307,626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provided by operating activities for the year ended December 31, 2024 increased $108.1 million, compared to the prior year, primarily due to (i) an increase in net income adjusted for non-cash items of $72.2 million, (ii) an increase in customer collections, (iii) reduced cash outflows for inventories, and (iv) a decrease in 3T Heater-Cooler litigation settlement payments of $36.2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Cash used in investing activities during the year ended December 31, 2024 increased $7.8 million, compared to the prior year, primarily due to an increase in purchases of property, plant, and equipment of $12.1 million primarily related to purchases and development of internal-use software, partially offset by a decrease in purchases of equity investments of $5.4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Cash provided by financing activities during the year ended December 31, 2024 decreased $2.9 million, compared to the prior year, primarily due to payment of the ALung contingent consideration arrangement of $13.8 million during the year ended December 31, 2024, partially offset by an increase in proceeds from net debt borrowings and repayments of $5.7 million.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Risk</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is exposed to certain market risks as part of its ongoing business operations, including risks from foreign currency exchange rates, interest rate risks, and concentration of procurement suppliers that could adversely affect LivaNova’s consolidated financial position, results of operations, or cash flows. The Company manages these risks through regular operating and financing activities and, at certain times, derivative financial instruments.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Currency Exchange Rate Risk</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Due to the global nature of LivaNova’s operations, the Company is exposed to FX fluctuations. Historically, LivaNova has maintained a foreign currency exchange rate risk management strategy that utilizes cash flow hedges and freestanding foreign currency derivatives to reduce the Company’s exposure to unanticipated fluctuations in forecasted revenue and costs, inter-company debt, bank deposits, accounts receivable, and accounts payable caused by changes in foreign currency exchange rates. Upon the settlement of LivaNova’s foreign currency cash flow hedges in the fourth quarter of 2022 and following an in-depth analysis of the utility of the Company’s cash flow hedging program, LivaNova discontinued its foreign currency cash flow hedging program. LivaNova continues to use freestanding derivative forward contracts to offset exposure to the variability of the value associated with assets and liabilities denominated in a foreign currency.</w:t>
      </w:r>
    </w:p>
    <w:p>
      <w:pPr>
        <w:spacing w:after="0" w:line="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mitigates its credit risk relating to counterparties of its derivatives through a variety of techniques, including transacting with multiple, high-quality financial institutions, thereby limiting the Company’s exposure to individual counterparties and by entering into ISDA Master Agreements, which include provisions for a legally enforceable master netting agreement, with almost all of LivaNova’s derivative counterparties. The terms of the ISDA agreements may also include credit support requirements, cross-default provisions, termination events, and set-off provisions. Legally enforceable master netting agreements reduce credit risk by providing protection in bankruptcy in certain circumstances and generally permitting the closeout and netting of transactions with the same counterparty upon the occurrence of certain events.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Rate Risk</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 is subject to interest rate risk on its investments and debt. Historically, LivaNova has entered into interest rate derivative instruments designated as cash flow hedges to manage the exposure to interest rate movements and to reduce the risk of increased borrowing costs by converting floating-rate debt into fixed-rate debt. Under these agreements, LivaNova agrees to</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46" w:name="page47"/>
    <w:bookmarkEnd w:id="46"/>
    <w:p>
      <w:pPr>
        <w:jc w:val="both"/>
        <w:spacing w:after="0" w:line="278" w:lineRule="auto"/>
        <w:rPr>
          <w:sz w:val="20"/>
          <w:szCs w:val="20"/>
          <w:color w:val="auto"/>
        </w:rPr>
      </w:pPr>
      <w:r>
        <w:rPr>
          <w:rFonts w:ascii="Times New Roman" w:cs="Times New Roman" w:eastAsia="Times New Roman" w:hAnsi="Times New Roman"/>
          <w:sz w:val="14"/>
          <w:szCs w:val="14"/>
          <w:color w:val="auto"/>
        </w:rPr>
        <w:t>exchange, at specified intervals, the difference between fixed and floating interest amounts calculated by reference to agreed-upon notional principal amounts. These interest rate swaps are structured to mirror the payment terms of the underlying loan. The Company’s outstanding interest rate swaps expired on April 6, 2023. LivaNova elected not to renew the interest rate swaps. Interest expense associated with the Initial Term Facility is principally offset by holding proceeds from the Term Facilities in a depository account, which earns a floating rate of interest.</w:t>
      </w:r>
    </w:p>
    <w:p>
      <w:pPr>
        <w:spacing w:after="0" w:line="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If interest rates associated with LivaNova’s variable-rate financing arrangements as of December 31, 2024 were to increase/(decrease) by 100 basis points, the effect on interest expense within LivaNova’s consolidated statements of income (loss) would be an increase/(decrease) of $3.2 million, respectively, offset by an increase/(decrease) in interest income from amounts held in variable-rate depository accounts.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Concentration of Credit Risk</w:t>
      </w:r>
    </w:p>
    <w:p>
      <w:pPr>
        <w:spacing w:after="0" w:line="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LivaNova’s trade accounts receivable represents potential concentrations of credit risk. This risk is limited due to the large number of customers and their dispersion across a number of geographic areas, as well as LivaNova’s efforts to control its exposure to credit risk by monitoring its receivables and the use of credit approvals and credit limits. In addition, LivaNova has historically had strong collections and minimal write-offs. While LivaNova believes that its reserves for credit losses are adequate, essentially all of the Company’s trade receivables are concentrated in the hospital and healthcare sectors worldwide, and accordingly, LivaNova is exposed to their respective business, economic, and country-specific variables. Although LivaNova does not currently foresee a concentrated credit risk associated with these receivables, repayment is dependent on the financial stability of these industry sectors and the respective countries’ national economies and healthcare systems.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Factors Affecting Future Operating Results and Share Price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material factors affecting LivaNova’s future operating results and share prices are disclosed in “Part I, Item 1A. Risk Factors” of this Report.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 xml:space="preserve">The information required under 7A. has been incorporated by reference to the information contained in “Part II, Item 7. Management’s Discussion and Analysis of Financial Condition and Results of Operations” of this Report under the section entitled </w:t>
      </w:r>
      <w:r>
        <w:rPr>
          <w:rFonts w:ascii="Times New Roman" w:cs="Times New Roman" w:eastAsia="Times New Roman" w:hAnsi="Times New Roman"/>
          <w:sz w:val="14"/>
          <w:szCs w:val="14"/>
          <w:i w:val="1"/>
          <w:iCs w:val="1"/>
          <w:color w:val="auto"/>
        </w:rPr>
        <w:t>“Market Risk.”</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LivaNova’s audited consolidated financial statements and notes thereto included in “Part IV, Item 15. Exhibits and Financial Statement Schedules” of this Report, beginning on page F-1 of this Report, are incorporated herein by reference.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maintains a system of disclosure controls and procedures, as defined in Rules 13a-15(e) and 15d-15(e) of the Exchange Act. The disclosure controls and procedures are designed to ensure that information required to be disclosed in the Company’s reports filed under the Exchange Act is (i) recorded, processed, summarized, and reported within the time periods specified in the SEC’s rules and forms and (ii) accumulated and communicated to management, including LivaNova’s CEO and CFO, as appropriate, to allow timely decisions regarding required disclosure. Any controls and procedures, no matter how well designed and operated, can provide only reasonable assurance of achieving the desired control objectives.</w:t>
      </w:r>
    </w:p>
    <w:p>
      <w:pPr>
        <w:spacing w:after="0" w:line="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Applicable SEC rules require an evaluation of the effectiveness of the Company’s disclosure controls and procedures. LivaNova’s management, under the supervision and with the participation of the Company’s CEO and CFO, evaluated the effectiveness of the design and operation of the Company’s disclosure controls and procedures as of the end of the period covered by this Report. Based on that evaluation, LivaNova’s CEO and CFO concluded that, as of December 31, 2024, the design and operation of the Company’s disclosure controls and procedures were effective to accomplish their objectives at the reasonable assurance level.</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LivaNova’s management is responsible for establishing and maintaining adequate internal control over financial reporting as defined in Rule 13a-15(f)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Management assessed the effectiveness of LivaNova’s internal control over financial reporting as of December 31, 2024 using the criteria set forth in the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(2013) </w:t>
      </w:r>
      <w:r>
        <w:rPr>
          <w:rFonts w:ascii="Times New Roman" w:cs="Times New Roman" w:eastAsia="Times New Roman" w:hAnsi="Times New Roman"/>
          <w:sz w:val="14"/>
          <w:szCs w:val="14"/>
          <w:color w:val="auto"/>
        </w:rPr>
        <w:t>issued by the Committee of Sponsoring Organizations of the Treadway Commission. Based on this assessment, LivaNova concluded that the Company’s internal control over financial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reporting was effective as of December 31, 2024.</w:t>
      </w:r>
    </w:p>
    <w:p>
      <w:pPr>
        <w:spacing w:after="0" w:line="4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independent registered public accounting firm, PricewaterhouseCoopers LLP, has audited the effectiveness of the Company’s internal control over financial reporting as of December 31, 2024, as stated in their report which is included herein.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There have been no changes in LivaNova’s internal control over financial reporting (as defined in Rules 13a-15(f) and 15d-15(f) under the Exchange Act) during the quarter ended December 31, 2024 that have materially affected, or are reasonably likely to materially affect, LivaNova’s internal control over financial reporting.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During the three months ended December 31, 2024,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for this Item 10 is incorporated by reference from LivaNova’s 2025 Proxy Statement, which the Company anticipates filing within 120 days of December 31, 2024.</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 xml:space="preserve">LivaNova has adopted a Code of Conduct that applies to all employees, officers, and directors of the Company. A copy of the Code of Conduct is publicly available on the Company’s website, </w:t>
      </w:r>
      <w:r>
        <w:rPr>
          <w:rFonts w:ascii="Times New Roman" w:cs="Times New Roman" w:eastAsia="Times New Roman" w:hAnsi="Times New Roman"/>
          <w:sz w:val="14"/>
          <w:szCs w:val="14"/>
          <w:i w:val="1"/>
          <w:iCs w:val="1"/>
          <w:color w:val="auto"/>
        </w:rPr>
        <w:t xml:space="preserve">www.livanova.com. </w:t>
      </w:r>
      <w:r>
        <w:rPr>
          <w:rFonts w:ascii="Times New Roman" w:cs="Times New Roman" w:eastAsia="Times New Roman" w:hAnsi="Times New Roman"/>
          <w:sz w:val="14"/>
          <w:szCs w:val="14"/>
          <w:color w:val="auto"/>
        </w:rPr>
        <w:t>LivaNova intends to post any amendments to the Code of Conduct or any grant of a waiver from a provision of the Code of Conduct requiring disclosure under applicable SEC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rules on the Company’s website.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for this Item 11 is incorporated by reference from LivaNova’s 2025 Proxy Statement except as to information required pursuant to Item 402(v) of the SEC Regulation S-K relating to pay versus performance. The Company anticipates filing LivaNova’s 2025 Proxy Statement within 120 days of December 31,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for this Item 12 is incorporated by reference from LivaNova’s 2025 Proxy Statement, which the Company anticipates filing within 120 days of December 31,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for this Item 13 is incorporated by reference from LivaNova’s 2025 Proxy Statement, which the Company anticipates filing within 120 days of December 31,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for this Item 14 is incorporated by reference from LivaNova’s 2025 Proxy Statement, which the Company anticipates filing within 120 days of December 31, 2024.</w:t>
      </w: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Consolidated Financial Statements of LivaNova PLC and its subsidiaries and the Report of Independent Registered Public Accounting Firms are included in this Report beginning on page F-1: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04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39"/>
        </w:trPr>
        <w:tc>
          <w:tcPr>
            <w:tcW w:w="20" w:type="dxa"/>
            <w:vAlign w:val="bottom"/>
            <w:tcBorders>
              <w:top w:val="single" w:sz="8" w:color="auto"/>
            </w:tcBorders>
            <w:shd w:val="clear" w:color="auto" w:fill="CCEEFF"/>
          </w:tcPr>
          <w:p>
            <w:pPr>
              <w:spacing w:after="0"/>
              <w:rPr>
                <w:sz w:val="12"/>
                <w:szCs w:val="12"/>
                <w:color w:val="auto"/>
              </w:rPr>
            </w:pPr>
          </w:p>
        </w:tc>
        <w:tc>
          <w:tcPr>
            <w:tcW w:w="9940" w:type="dxa"/>
            <w:vAlign w:val="bottom"/>
            <w:tcBorders>
              <w:top w:val="single" w:sz="8" w:color="auto"/>
            </w:tcBorders>
            <w:gridSpan w:val="8"/>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238)</w:t>
            </w: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gridSpan w:val="3"/>
            <w:shd w:val="clear" w:color="auto" w:fill="CCEEFF"/>
          </w:tcPr>
          <w:p>
            <w:pPr>
              <w:jc w:val="center"/>
              <w:ind w:right="20"/>
              <w:spacing w:after="0" w:line="139" w:lineRule="exact"/>
              <w:rPr>
                <w:sz w:val="20"/>
                <w:szCs w:val="20"/>
                <w:color w:val="auto"/>
              </w:rPr>
            </w:pPr>
            <w:r>
              <w:rPr>
                <w:rFonts w:ascii="Times New Roman" w:cs="Times New Roman" w:eastAsia="Times New Roman" w:hAnsi="Times New Roman"/>
                <w:sz w:val="14"/>
                <w:szCs w:val="14"/>
                <w:color w:val="0000FF"/>
              </w:rPr>
              <w:t>F-1</w:t>
            </w:r>
          </w:p>
        </w:tc>
      </w:tr>
      <w:tr>
        <w:trPr>
          <w:trHeight w:val="32"/>
        </w:trPr>
        <w:tc>
          <w:tcPr>
            <w:tcW w:w="2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0040" w:type="dxa"/>
            <w:vAlign w:val="bottom"/>
            <w:gridSpan w:val="9"/>
          </w:tcPr>
          <w:p>
            <w:pPr>
              <w:spacing w:after="0" w:line="149" w:lineRule="exact"/>
              <w:rPr>
                <w:sz w:val="20"/>
                <w:szCs w:val="20"/>
                <w:color w:val="auto"/>
              </w:rPr>
            </w:pPr>
            <w:r>
              <w:rPr>
                <w:rFonts w:ascii="Times New Roman" w:cs="Times New Roman" w:eastAsia="Times New Roman" w:hAnsi="Times New Roman"/>
                <w:sz w:val="14"/>
                <w:szCs w:val="14"/>
                <w:color w:val="0000FF"/>
              </w:rPr>
              <w:t>Consolidated Statements of Income (Loss) for the Years Ended December 31, 2024, December 31, 2023 and December 31, 2022</w:t>
            </w:r>
          </w:p>
        </w:tc>
        <w:tc>
          <w:tcPr>
            <w:tcW w:w="12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color w:val="0000FF"/>
              </w:rPr>
              <w:t>F-2</w:t>
            </w:r>
          </w:p>
        </w:tc>
      </w:tr>
      <w:tr>
        <w:trPr>
          <w:trHeight w:val="26"/>
        </w:trPr>
        <w:tc>
          <w:tcPr>
            <w:tcW w:w="20" w:type="dxa"/>
            <w:vAlign w:val="bottom"/>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0040" w:type="dxa"/>
            <w:vAlign w:val="bottom"/>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Comprehensive Income (Loss) for the Years Ended December 31, 2024, December 31, 2023 and December 31, 2022</w:t>
            </w:r>
          </w:p>
        </w:tc>
        <w:tc>
          <w:tcPr>
            <w:tcW w:w="1220" w:type="dxa"/>
            <w:vAlign w:val="bottom"/>
            <w:gridSpan w:val="3"/>
            <w:shd w:val="clear" w:color="auto" w:fill="CCEEFF"/>
          </w:tcPr>
          <w:p>
            <w:pPr>
              <w:jc w:val="center"/>
              <w:ind w:right="20"/>
              <w:spacing w:after="0" w:line="155" w:lineRule="exact"/>
              <w:rPr>
                <w:sz w:val="20"/>
                <w:szCs w:val="20"/>
                <w:color w:val="auto"/>
              </w:rPr>
            </w:pPr>
            <w:r>
              <w:rPr>
                <w:rFonts w:ascii="Times New Roman" w:cs="Times New Roman" w:eastAsia="Times New Roman" w:hAnsi="Times New Roman"/>
                <w:sz w:val="14"/>
                <w:szCs w:val="14"/>
                <w:color w:val="0000FF"/>
              </w:rPr>
              <w:t>F-3</w:t>
            </w:r>
          </w:p>
        </w:tc>
      </w:tr>
      <w:tr>
        <w:trPr>
          <w:trHeight w:val="32"/>
        </w:trPr>
        <w:tc>
          <w:tcPr>
            <w:tcW w:w="2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Consolidated Balance Sheets as of December 31, 2024 and December 31, 2023</w:t>
            </w:r>
          </w:p>
        </w:tc>
        <w:tc>
          <w:tcPr>
            <w:tcW w:w="3720" w:type="dxa"/>
            <w:vAlign w:val="bottom"/>
            <w:gridSpan w:val="4"/>
          </w:tcPr>
          <w:p>
            <w:pPr>
              <w:spacing w:after="0"/>
              <w:rPr>
                <w:sz w:val="12"/>
                <w:szCs w:val="12"/>
                <w:color w:val="auto"/>
              </w:rPr>
            </w:pPr>
          </w:p>
        </w:tc>
        <w:tc>
          <w:tcPr>
            <w:tcW w:w="1840" w:type="dxa"/>
            <w:vAlign w:val="bottom"/>
            <w:gridSpan w:val="2"/>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0000FF"/>
              </w:rPr>
              <w:t>F-4</w:t>
            </w:r>
          </w:p>
        </w:tc>
      </w:tr>
      <w:tr>
        <w:trPr>
          <w:trHeight w:val="26"/>
        </w:trPr>
        <w:tc>
          <w:tcPr>
            <w:tcW w:w="20" w:type="dxa"/>
            <w:vAlign w:val="bottom"/>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7660" w:type="dxa"/>
            <w:vAlign w:val="bottom"/>
            <w:gridSpan w:val="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Stockholders’ Equity for the Years Ended December 31, 2024, December 31, 2023 and December 31, 2022</w:t>
            </w:r>
          </w:p>
        </w:tc>
        <w:tc>
          <w:tcPr>
            <w:tcW w:w="2380" w:type="dxa"/>
            <w:vAlign w:val="bottom"/>
            <w:gridSpan w:val="3"/>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center"/>
              <w:ind w:right="520"/>
              <w:spacing w:after="0" w:line="155" w:lineRule="exact"/>
              <w:rPr>
                <w:sz w:val="20"/>
                <w:szCs w:val="20"/>
                <w:color w:val="auto"/>
              </w:rPr>
            </w:pPr>
            <w:r>
              <w:rPr>
                <w:rFonts w:ascii="Times New Roman" w:cs="Times New Roman" w:eastAsia="Times New Roman" w:hAnsi="Times New Roman"/>
                <w:sz w:val="14"/>
                <w:szCs w:val="14"/>
                <w:color w:val="0000FF"/>
              </w:rPr>
              <w:t>F-5</w:t>
            </w:r>
          </w:p>
        </w:tc>
      </w:tr>
      <w:tr>
        <w:trPr>
          <w:trHeight w:val="32"/>
        </w:trPr>
        <w:tc>
          <w:tcPr>
            <w:tcW w:w="2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766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2024, December 31, 2023 and December 31, 2022</w:t>
            </w:r>
          </w:p>
        </w:tc>
        <w:tc>
          <w:tcPr>
            <w:tcW w:w="2380" w:type="dxa"/>
            <w:vAlign w:val="bottom"/>
            <w:gridSpan w:val="3"/>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0000FF"/>
              </w:rPr>
              <w:t>F-6</w:t>
            </w:r>
          </w:p>
        </w:tc>
      </w:tr>
      <w:tr>
        <w:trPr>
          <w:trHeight w:val="26"/>
        </w:trPr>
        <w:tc>
          <w:tcPr>
            <w:tcW w:w="20" w:type="dxa"/>
            <w:vAlign w:val="bottom"/>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64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4640" w:type="dxa"/>
            <w:vAlign w:val="bottom"/>
            <w:gridSpan w:val="3"/>
            <w:shd w:val="clear" w:color="auto" w:fill="CCEEFF"/>
          </w:tcPr>
          <w:p>
            <w:pPr>
              <w:spacing w:after="0"/>
              <w:rPr>
                <w:sz w:val="13"/>
                <w:szCs w:val="13"/>
                <w:color w:val="auto"/>
              </w:rPr>
            </w:pPr>
          </w:p>
        </w:tc>
        <w:tc>
          <w:tcPr>
            <w:tcW w:w="2920" w:type="dxa"/>
            <w:vAlign w:val="bottom"/>
            <w:gridSpan w:val="5"/>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center"/>
              <w:ind w:right="520"/>
              <w:spacing w:after="0" w:line="155" w:lineRule="exact"/>
              <w:rPr>
                <w:sz w:val="20"/>
                <w:szCs w:val="20"/>
                <w:color w:val="auto"/>
              </w:rPr>
            </w:pPr>
            <w:r>
              <w:rPr>
                <w:rFonts w:ascii="Times New Roman" w:cs="Times New Roman" w:eastAsia="Times New Roman" w:hAnsi="Times New Roman"/>
                <w:sz w:val="14"/>
                <w:szCs w:val="14"/>
                <w:color w:val="0000FF"/>
              </w:rPr>
              <w:t>F-7</w:t>
            </w:r>
          </w:p>
        </w:tc>
      </w:tr>
      <w:tr>
        <w:trPr>
          <w:trHeight w:val="32"/>
        </w:trPr>
        <w:tc>
          <w:tcPr>
            <w:tcW w:w="2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Statement Schedules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schedules required by Regulation S-X have been omitted as not applicable or not required, or the information required has been included in the notes to the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Index to Exhibits</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exhibits marked with the asterisk symbol (*) are filed or furnished (in the case of Exhibit 32.1) with this Form 10-K. The exhibits marked with the cross symbol (†) are management contracts or compensatory plans or arrangements filed pursuant to Item 601(b)(10)(iii) of Regulation S-K.</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0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80" w:type="dxa"/>
            <w:vAlign w:val="bottom"/>
            <w:tcBorders>
              <w:top w:val="single" w:sz="8" w:color="auto"/>
            </w:tcBorders>
            <w:gridSpan w:val="5"/>
            <w:shd w:val="clear" w:color="auto" w:fill="CCEEFF"/>
          </w:tcPr>
          <w:p>
            <w:pPr>
              <w:jc w:val="center"/>
              <w:ind w:left="249"/>
              <w:spacing w:after="0" w:line="129" w:lineRule="exact"/>
              <w:rPr>
                <w:rFonts w:ascii="Times New Roman" w:cs="Times New Roman" w:eastAsia="Times New Roman" w:hAnsi="Times New Roman"/>
                <w:sz w:val="14"/>
                <w:szCs w:val="14"/>
                <w:color w:val="0000FF"/>
              </w:rPr>
            </w:pPr>
            <w:hyperlink r:id="rId67">
              <w:r>
                <w:rPr>
                  <w:rFonts w:ascii="Times New Roman" w:cs="Times New Roman" w:eastAsia="Times New Roman" w:hAnsi="Times New Roman"/>
                  <w:sz w:val="14"/>
                  <w:szCs w:val="14"/>
                  <w:color w:val="0000FF"/>
                </w:rPr>
                <w:t>2.</w:t>
              </w:r>
              <w:r>
                <w:rPr>
                  <w:rFonts w:ascii="Times New Roman" w:cs="Times New Roman" w:eastAsia="Times New Roman" w:hAnsi="Times New Roman"/>
                  <w:sz w:val="14"/>
                  <w:szCs w:val="14"/>
                  <w:u w:val="single" w:color="auto"/>
                  <w:color w:val="0000FF"/>
                </w:rPr>
                <w:t>1</w:t>
              </w:r>
            </w:hyperlink>
          </w:p>
        </w:tc>
        <w:tc>
          <w:tcPr>
            <w:tcW w:w="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Share and Asset Purchase Agreement, dated as of December 2, 2020, by and between LivaNova PLC and Mitral Holdco S.à.r.l., incorporated by reference to Exhibit 2.1 of the</w:t>
            </w:r>
          </w:p>
        </w:tc>
        <w:tc>
          <w:tcPr>
            <w:tcW w:w="0" w:type="dxa"/>
            <w:vAlign w:val="bottom"/>
          </w:tcPr>
          <w:p>
            <w:pPr>
              <w:spacing w:after="0"/>
              <w:rPr>
                <w:sz w:val="1"/>
                <w:szCs w:val="1"/>
                <w:color w:val="auto"/>
              </w:rPr>
            </w:pPr>
          </w:p>
        </w:tc>
      </w:tr>
      <w:tr>
        <w:trPr>
          <w:trHeight w:val="203"/>
        </w:trPr>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Company’s Current Report on Form 8-K, filed on December 3, 2020</w:t>
            </w:r>
          </w:p>
        </w:tc>
        <w:tc>
          <w:tcPr>
            <w:tcW w:w="0" w:type="dxa"/>
            <w:vAlign w:val="bottom"/>
          </w:tcPr>
          <w:p>
            <w:pPr>
              <w:spacing w:after="0"/>
              <w:rPr>
                <w:sz w:val="1"/>
                <w:szCs w:val="1"/>
                <w:color w:val="auto"/>
              </w:rPr>
            </w:pPr>
          </w:p>
        </w:tc>
      </w:tr>
      <w:tr>
        <w:trPr>
          <w:trHeight w:val="149"/>
        </w:trPr>
        <w:tc>
          <w:tcPr>
            <w:tcW w:w="580" w:type="dxa"/>
            <w:vAlign w:val="bottom"/>
            <w:gridSpan w:val="5"/>
          </w:tcPr>
          <w:p>
            <w:pPr>
              <w:jc w:val="center"/>
              <w:ind w:left="249"/>
              <w:spacing w:after="0" w:line="149" w:lineRule="exact"/>
              <w:rPr>
                <w:rFonts w:ascii="Times New Roman" w:cs="Times New Roman" w:eastAsia="Times New Roman" w:hAnsi="Times New Roman"/>
                <w:sz w:val="14"/>
                <w:szCs w:val="14"/>
                <w:color w:val="0000FF"/>
              </w:rPr>
            </w:pPr>
            <w:hyperlink r:id="rId68">
              <w:r>
                <w:rPr>
                  <w:rFonts w:ascii="Times New Roman" w:cs="Times New Roman" w:eastAsia="Times New Roman" w:hAnsi="Times New Roman"/>
                  <w:sz w:val="14"/>
                  <w:szCs w:val="14"/>
                  <w:color w:val="0000FF"/>
                </w:rPr>
                <w:t>2.</w:t>
              </w:r>
              <w:r>
                <w:rPr>
                  <w:rFonts w:ascii="Times New Roman" w:cs="Times New Roman" w:eastAsia="Times New Roman" w:hAnsi="Times New Roman"/>
                  <w:sz w:val="14"/>
                  <w:szCs w:val="14"/>
                  <w:u w:val="single" w:color="auto"/>
                  <w:color w:val="0000FF"/>
                </w:rPr>
                <w:t>2</w:t>
              </w:r>
            </w:hyperlink>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Amended and Restated Share and Asset Purchase Agreement, dated as of April 9, 2021, by and between LivaNova PLC and Mitral Holdco S.à.r.l., incorporated by reference to</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80" w:type="dxa"/>
            <w:vAlign w:val="bottom"/>
          </w:tcPr>
          <w:p>
            <w:pPr>
              <w:spacing w:after="0"/>
              <w:rPr>
                <w:sz w:val="20"/>
                <w:szCs w:val="20"/>
                <w:color w:val="auto"/>
              </w:rPr>
            </w:pPr>
            <w:r>
              <w:rPr>
                <w:rFonts w:ascii="Times New Roman" w:cs="Times New Roman" w:eastAsia="Times New Roman" w:hAnsi="Times New Roman"/>
                <w:sz w:val="14"/>
                <w:szCs w:val="14"/>
                <w:color w:val="auto"/>
              </w:rPr>
              <w:t>Exhibit 2.1 of the Company’s Current Report on Form 8-K, filed on April 15, 2021</w:t>
            </w:r>
          </w:p>
        </w:tc>
        <w:tc>
          <w:tcPr>
            <w:tcW w:w="0" w:type="dxa"/>
            <w:vAlign w:val="bottom"/>
          </w:tcPr>
          <w:p>
            <w:pPr>
              <w:spacing w:after="0"/>
              <w:rPr>
                <w:sz w:val="1"/>
                <w:szCs w:val="1"/>
                <w:color w:val="auto"/>
              </w:rPr>
            </w:pPr>
          </w:p>
        </w:tc>
      </w:tr>
      <w:tr>
        <w:trPr>
          <w:trHeight w:val="22"/>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60" w:type="dxa"/>
            <w:vAlign w:val="bottom"/>
            <w:tcBorders>
              <w:bottom w:val="single" w:sz="8" w:color="CCEEFF"/>
            </w:tcBorders>
            <w:gridSpan w:val="3"/>
            <w:shd w:val="clear" w:color="auto" w:fill="CCEEFF"/>
          </w:tcPr>
          <w:p>
            <w:pPr>
              <w:spacing w:after="0"/>
              <w:rPr>
                <w:sz w:val="13"/>
                <w:szCs w:val="13"/>
                <w:color w:val="auto"/>
              </w:rPr>
            </w:pPr>
          </w:p>
        </w:tc>
        <w:tc>
          <w:tcPr>
            <w:tcW w:w="180" w:type="dxa"/>
            <w:vAlign w:val="bottom"/>
            <w:tcBorders>
              <w:bottom w:val="single" w:sz="8" w:color="0000FF"/>
            </w:tcBorders>
            <w:shd w:val="clear" w:color="auto" w:fill="CCEEFF"/>
          </w:tcPr>
          <w:p>
            <w:pPr>
              <w:jc w:val="center"/>
              <w:spacing w:after="0" w:line="149" w:lineRule="exact"/>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hyperlink>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2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Amended Articles of Association, incorporated by reference to Exhibit 3.1 of the Company’s Quarterly Report on Form 10-Q for the quarter ended June 30, 2020</w:t>
            </w:r>
          </w:p>
        </w:tc>
        <w:tc>
          <w:tcPr>
            <w:tcW w:w="0" w:type="dxa"/>
            <w:vAlign w:val="bottom"/>
          </w:tcPr>
          <w:p>
            <w:pPr>
              <w:spacing w:after="0"/>
              <w:rPr>
                <w:sz w:val="1"/>
                <w:szCs w:val="1"/>
                <w:color w:val="auto"/>
              </w:rPr>
            </w:pPr>
          </w:p>
        </w:tc>
      </w:tr>
      <w:tr>
        <w:trPr>
          <w:trHeight w:val="154"/>
        </w:trPr>
        <w:tc>
          <w:tcPr>
            <w:tcW w:w="320" w:type="dxa"/>
            <w:vAlign w:val="bottom"/>
            <w:gridSpan w:val="2"/>
          </w:tcPr>
          <w:p>
            <w:pPr>
              <w:spacing w:after="0"/>
              <w:rPr>
                <w:sz w:val="13"/>
                <w:szCs w:val="13"/>
                <w:color w:val="auto"/>
              </w:rPr>
            </w:pPr>
          </w:p>
        </w:tc>
        <w:tc>
          <w:tcPr>
            <w:tcW w:w="260" w:type="dxa"/>
            <w:vAlign w:val="bottom"/>
            <w:tcBorders>
              <w:bottom w:val="single" w:sz="8" w:color="0000FF"/>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Description of Securities Registered Under Section 12 of the Securities Exchange Act of 1934, as amended</w:t>
            </w:r>
          </w:p>
        </w:tc>
        <w:tc>
          <w:tcPr>
            <w:tcW w:w="0" w:type="dxa"/>
            <w:vAlign w:val="bottom"/>
          </w:tcPr>
          <w:p>
            <w:pPr>
              <w:spacing w:after="0"/>
              <w:rPr>
                <w:sz w:val="1"/>
                <w:szCs w:val="1"/>
                <w:color w:val="auto"/>
              </w:rPr>
            </w:pPr>
          </w:p>
        </w:tc>
      </w:tr>
      <w:tr>
        <w:trPr>
          <w:trHeight w:val="154"/>
        </w:trPr>
        <w:tc>
          <w:tcPr>
            <w:tcW w:w="580" w:type="dxa"/>
            <w:vAlign w:val="bottom"/>
            <w:gridSpan w:val="5"/>
            <w:shd w:val="clear" w:color="auto" w:fill="CCEEFF"/>
          </w:tcPr>
          <w:p>
            <w:pPr>
              <w:jc w:val="center"/>
              <w:ind w:left="249"/>
              <w:spacing w:after="0" w:line="135" w:lineRule="exact"/>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2</w:t>
              </w:r>
            </w:hyperlink>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Indenture, dated as of June 17, 2020, among LivaNova USA, Inc., as Issuer, LivaNova PLC, as Guarantor, and Citibank, N.A., as Trustee, incorporated by reference to Exhibit 4.1 of</w:t>
            </w:r>
          </w:p>
        </w:tc>
        <w:tc>
          <w:tcPr>
            <w:tcW w:w="0" w:type="dxa"/>
            <w:vAlign w:val="bottom"/>
          </w:tcPr>
          <w:p>
            <w:pPr>
              <w:spacing w:after="0"/>
              <w:rPr>
                <w:sz w:val="1"/>
                <w:szCs w:val="1"/>
                <w:color w:val="auto"/>
              </w:rPr>
            </w:pPr>
          </w:p>
        </w:tc>
      </w:tr>
      <w:tr>
        <w:trPr>
          <w:trHeight w:val="203"/>
        </w:trPr>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Company’s Current Report on Form 8-K, filed on June 17, 2020</w:t>
            </w:r>
          </w:p>
        </w:tc>
        <w:tc>
          <w:tcPr>
            <w:tcW w:w="0" w:type="dxa"/>
            <w:vAlign w:val="bottom"/>
          </w:tcPr>
          <w:p>
            <w:pPr>
              <w:spacing w:after="0"/>
              <w:rPr>
                <w:sz w:val="1"/>
                <w:szCs w:val="1"/>
                <w:color w:val="auto"/>
              </w:rPr>
            </w:pPr>
          </w:p>
        </w:tc>
      </w:tr>
      <w:tr>
        <w:trPr>
          <w:trHeight w:val="149"/>
        </w:trPr>
        <w:tc>
          <w:tcPr>
            <w:tcW w:w="580" w:type="dxa"/>
            <w:vAlign w:val="bottom"/>
            <w:gridSpan w:val="5"/>
          </w:tcPr>
          <w:p>
            <w:pPr>
              <w:jc w:val="center"/>
              <w:ind w:left="249"/>
              <w:spacing w:after="0" w:line="129" w:lineRule="exact"/>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3</w:t>
              </w:r>
            </w:hyperlink>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Form of 3.00% Cash Exchangeable Senior Notes due 2025 (included in Exhibit 4.1 of the Company’s Current Report on Form 8-K, filed on June 17, 2020)</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0" w:type="dxa"/>
            <w:vAlign w:val="bottom"/>
            <w:gridSpan w:val="5"/>
            <w:shd w:val="clear" w:color="auto" w:fill="CCEEFF"/>
          </w:tcPr>
          <w:p>
            <w:pPr>
              <w:jc w:val="center"/>
              <w:ind w:left="249"/>
              <w:spacing w:after="0" w:line="149" w:lineRule="exact"/>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4</w:t>
              </w:r>
            </w:hyperlink>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Indenture, dated as of March 8, 2024 between LivaNova PLC and Citibank, N.A., as trustee, incorporated by reference to Exhibit 4.1 of the Company’s Current Report on Form 8-</w:t>
            </w:r>
          </w:p>
        </w:tc>
        <w:tc>
          <w:tcPr>
            <w:tcW w:w="0" w:type="dxa"/>
            <w:vAlign w:val="bottom"/>
          </w:tcPr>
          <w:p>
            <w:pPr>
              <w:spacing w:after="0"/>
              <w:rPr>
                <w:sz w:val="1"/>
                <w:szCs w:val="1"/>
                <w:color w:val="auto"/>
              </w:rPr>
            </w:pPr>
          </w:p>
        </w:tc>
      </w:tr>
      <w:tr>
        <w:trPr>
          <w:trHeight w:val="160"/>
        </w:trPr>
        <w:tc>
          <w:tcPr>
            <w:tcW w:w="3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K, filed on March 8, 2024</w:t>
            </w:r>
          </w:p>
        </w:tc>
        <w:tc>
          <w:tcPr>
            <w:tcW w:w="0" w:type="dxa"/>
            <w:vAlign w:val="bottom"/>
          </w:tcPr>
          <w:p>
            <w:pPr>
              <w:spacing w:after="0"/>
              <w:rPr>
                <w:sz w:val="1"/>
                <w:szCs w:val="1"/>
                <w:color w:val="auto"/>
              </w:rPr>
            </w:pPr>
          </w:p>
        </w:tc>
      </w:tr>
      <w:tr>
        <w:trPr>
          <w:trHeight w:val="149"/>
        </w:trPr>
        <w:tc>
          <w:tcPr>
            <w:tcW w:w="580" w:type="dxa"/>
            <w:vAlign w:val="bottom"/>
            <w:gridSpan w:val="5"/>
          </w:tcPr>
          <w:p>
            <w:pPr>
              <w:jc w:val="center"/>
              <w:ind w:left="249"/>
              <w:spacing w:after="0" w:line="149" w:lineRule="exact"/>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5</w:t>
              </w:r>
            </w:hyperlink>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Form of Global Note, representing LivaNova’s 2.50% convertible senior notes due 2029 (included in Exhibit 4.1 of the Company’s Current Report on Form 8-K, filed on March 8,</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8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49"/>
        </w:trPr>
        <w:tc>
          <w:tcPr>
            <w:tcW w:w="300" w:type="dxa"/>
            <w:vAlign w:val="bottom"/>
            <w:shd w:val="clear" w:color="auto" w:fill="CCEEFF"/>
          </w:tcPr>
          <w:p>
            <w:pPr>
              <w:spacing w:after="0"/>
              <w:rPr>
                <w:sz w:val="12"/>
                <w:szCs w:val="12"/>
                <w:color w:val="auto"/>
              </w:rPr>
            </w:pPr>
          </w:p>
        </w:tc>
        <w:tc>
          <w:tcPr>
            <w:tcW w:w="700" w:type="dxa"/>
            <w:vAlign w:val="bottom"/>
            <w:gridSpan w:val="7"/>
            <w:shd w:val="clear" w:color="auto" w:fill="CCEEFF"/>
          </w:tcPr>
          <w:p>
            <w:pPr>
              <w:jc w:val="center"/>
              <w:ind w:right="400"/>
              <w:spacing w:after="0" w:line="149" w:lineRule="exact"/>
              <w:rPr>
                <w:rFonts w:ascii="Times New Roman" w:cs="Times New Roman" w:eastAsia="Times New Roman" w:hAnsi="Times New Roman"/>
                <w:sz w:val="14"/>
                <w:szCs w:val="14"/>
                <w:color w:val="0000FF"/>
                <w:w w:val="95"/>
              </w:rPr>
            </w:pPr>
            <w:hyperlink r:id="rId72">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1†</w:t>
              </w:r>
            </w:hyperlink>
          </w:p>
        </w:tc>
        <w:tc>
          <w:tcPr>
            <w:tcW w:w="10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Form of Deed of Indemnification (Directors), each effective October 19, 2015, incorporated by reference to Exhibit 10.3 of the Company’s Current Report on Form 8-K, filed on</w:t>
            </w:r>
          </w:p>
        </w:tc>
        <w:tc>
          <w:tcPr>
            <w:tcW w:w="0" w:type="dxa"/>
            <w:vAlign w:val="bottom"/>
          </w:tcPr>
          <w:p>
            <w:pPr>
              <w:spacing w:after="0"/>
              <w:rPr>
                <w:sz w:val="1"/>
                <w:szCs w:val="1"/>
                <w:color w:val="auto"/>
              </w:rPr>
            </w:pPr>
          </w:p>
        </w:tc>
      </w:tr>
      <w:tr>
        <w:trPr>
          <w:trHeight w:val="160"/>
        </w:trPr>
        <w:tc>
          <w:tcPr>
            <w:tcW w:w="3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October 19, 2015</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700" w:type="dxa"/>
            <w:vAlign w:val="bottom"/>
            <w:gridSpan w:val="7"/>
          </w:tcPr>
          <w:p>
            <w:pPr>
              <w:jc w:val="center"/>
              <w:ind w:right="400"/>
              <w:spacing w:after="0" w:line="149" w:lineRule="exact"/>
              <w:rPr>
                <w:rFonts w:ascii="Times New Roman" w:cs="Times New Roman" w:eastAsia="Times New Roman" w:hAnsi="Times New Roman"/>
                <w:sz w:val="14"/>
                <w:szCs w:val="14"/>
                <w:color w:val="0000FF"/>
                <w:w w:val="95"/>
              </w:rPr>
            </w:pPr>
            <w:hyperlink r:id="rId73">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2†</w:t>
              </w:r>
            </w:hyperlink>
          </w:p>
        </w:tc>
        <w:tc>
          <w:tcPr>
            <w:tcW w:w="10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Form of Deed of Indemnification (Officers), each effective October 19, 2015, incorporated by reference to Exhibit 10.4 of the Company’s Current Report on Form 8-K, filed on</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80" w:type="dxa"/>
            <w:vAlign w:val="bottom"/>
          </w:tcPr>
          <w:p>
            <w:pPr>
              <w:spacing w:after="0"/>
              <w:rPr>
                <w:sz w:val="20"/>
                <w:szCs w:val="20"/>
                <w:color w:val="auto"/>
              </w:rPr>
            </w:pPr>
            <w:r>
              <w:rPr>
                <w:rFonts w:ascii="Times New Roman" w:cs="Times New Roman" w:eastAsia="Times New Roman" w:hAnsi="Times New Roman"/>
                <w:sz w:val="14"/>
                <w:szCs w:val="14"/>
                <w:color w:val="auto"/>
              </w:rPr>
              <w:t>October 19, 2015</w:t>
            </w:r>
          </w:p>
        </w:tc>
        <w:tc>
          <w:tcPr>
            <w:tcW w:w="0" w:type="dxa"/>
            <w:vAlign w:val="bottom"/>
          </w:tcPr>
          <w:p>
            <w:pPr>
              <w:spacing w:after="0"/>
              <w:rPr>
                <w:sz w:val="1"/>
                <w:szCs w:val="1"/>
                <w:color w:val="auto"/>
              </w:rPr>
            </w:pPr>
          </w:p>
        </w:tc>
      </w:tr>
      <w:tr>
        <w:trPr>
          <w:trHeight w:val="149"/>
        </w:trPr>
        <w:tc>
          <w:tcPr>
            <w:tcW w:w="300" w:type="dxa"/>
            <w:vAlign w:val="bottom"/>
            <w:shd w:val="clear" w:color="auto" w:fill="CCEEFF"/>
          </w:tcPr>
          <w:p>
            <w:pPr>
              <w:spacing w:after="0"/>
              <w:rPr>
                <w:sz w:val="12"/>
                <w:szCs w:val="12"/>
                <w:color w:val="auto"/>
              </w:rPr>
            </w:pPr>
          </w:p>
        </w:tc>
        <w:tc>
          <w:tcPr>
            <w:tcW w:w="700" w:type="dxa"/>
            <w:vAlign w:val="bottom"/>
            <w:gridSpan w:val="7"/>
            <w:shd w:val="clear" w:color="auto" w:fill="CCEEFF"/>
          </w:tcPr>
          <w:p>
            <w:pPr>
              <w:jc w:val="center"/>
              <w:ind w:right="400"/>
              <w:spacing w:after="0" w:line="149" w:lineRule="exact"/>
              <w:rPr>
                <w:rFonts w:ascii="Times New Roman" w:cs="Times New Roman" w:eastAsia="Times New Roman" w:hAnsi="Times New Roman"/>
                <w:sz w:val="14"/>
                <w:szCs w:val="14"/>
                <w:color w:val="0000FF"/>
                <w:w w:val="95"/>
              </w:rPr>
            </w:pPr>
            <w:hyperlink r:id="rId74">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3†</w:t>
              </w:r>
            </w:hyperlink>
          </w:p>
        </w:tc>
        <w:tc>
          <w:tcPr>
            <w:tcW w:w="10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2015 Incentive Award Plan and related Sub-Plan for UK Participants, adopted on October 16, 2015, incorporated by reference to Exhibit 10.1 of the Company’s Current Report on</w:t>
            </w:r>
          </w:p>
        </w:tc>
        <w:tc>
          <w:tcPr>
            <w:tcW w:w="0" w:type="dxa"/>
            <w:vAlign w:val="bottom"/>
          </w:tcPr>
          <w:p>
            <w:pPr>
              <w:spacing w:after="0"/>
              <w:rPr>
                <w:sz w:val="1"/>
                <w:szCs w:val="1"/>
                <w:color w:val="auto"/>
              </w:rPr>
            </w:pPr>
          </w:p>
        </w:tc>
      </w:tr>
      <w:tr>
        <w:trPr>
          <w:trHeight w:val="160"/>
        </w:trPr>
        <w:tc>
          <w:tcPr>
            <w:tcW w:w="3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Form 8-K, filed on October 19, 2015</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700" w:type="dxa"/>
            <w:vAlign w:val="bottom"/>
            <w:gridSpan w:val="7"/>
          </w:tcPr>
          <w:p>
            <w:pPr>
              <w:jc w:val="center"/>
              <w:ind w:right="400"/>
              <w:spacing w:after="0" w:line="149" w:lineRule="exact"/>
              <w:rPr>
                <w:rFonts w:ascii="Times New Roman" w:cs="Times New Roman" w:eastAsia="Times New Roman" w:hAnsi="Times New Roman"/>
                <w:sz w:val="14"/>
                <w:szCs w:val="14"/>
                <w:color w:val="0000FF"/>
                <w:w w:val="95"/>
              </w:rPr>
            </w:pPr>
            <w:hyperlink r:id="rId75">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4†</w:t>
              </w:r>
            </w:hyperlink>
          </w:p>
        </w:tc>
        <w:tc>
          <w:tcPr>
            <w:tcW w:w="10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Form of 2018 Long-Term Incentive Plan SAR Award Agreement, incorporated by reference to Exhibit 10.3 of the Company’s Current Report on Form 8-K, filed on March 16, 2018</w:t>
            </w:r>
          </w:p>
        </w:tc>
        <w:tc>
          <w:tcPr>
            <w:tcW w:w="0" w:type="dxa"/>
            <w:vAlign w:val="bottom"/>
          </w:tcPr>
          <w:p>
            <w:pPr>
              <w:spacing w:after="0"/>
              <w:rPr>
                <w:sz w:val="1"/>
                <w:szCs w:val="1"/>
                <w:color w:val="auto"/>
              </w:rPr>
            </w:pPr>
          </w:p>
        </w:tc>
      </w:tr>
      <w:tr>
        <w:trPr>
          <w:trHeight w:val="680"/>
        </w:trPr>
        <w:tc>
          <w:tcPr>
            <w:tcW w:w="3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80" w:type="dxa"/>
            <w:vAlign w:val="bottom"/>
          </w:tcPr>
          <w:p>
            <w:pPr>
              <w:ind w:left="4640"/>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2"/>
        </w:trPr>
        <w:tc>
          <w:tcPr>
            <w:tcW w:w="3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2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11430</wp:posOffset>
            </wp:positionV>
            <wp:extent cx="7161530" cy="215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61530" cy="215900"/>
                    </a:xfrm>
                    <a:prstGeom prst="rect">
                      <a:avLst/>
                    </a:prstGeom>
                    <a:noFill/>
                  </pic:spPr>
                </pic:pic>
              </a:graphicData>
            </a:graphic>
          </wp:anchor>
        </w:drawing>
      </w:r>
    </w:p>
    <w:p>
      <w:pPr>
        <w:spacing w:after="0" w:line="5" w:lineRule="exact"/>
        <w:rPr>
          <w:sz w:val="20"/>
          <w:szCs w:val="20"/>
          <w:color w:val="auto"/>
        </w:rPr>
      </w:pPr>
    </w:p>
    <w:p>
      <w:pPr>
        <w:jc w:val="both"/>
        <w:ind w:left="800" w:hanging="713"/>
        <w:spacing w:after="0" w:line="239" w:lineRule="auto"/>
        <w:tabs>
          <w:tab w:leader="none" w:pos="780" w:val="left"/>
        </w:tabs>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u w:val="single" w:color="auto"/>
            <w:color w:val="0000FF"/>
          </w:rPr>
          <w:t>10.5†</w:t>
        </w:r>
      </w:hyperlink>
      <w:r>
        <w:rPr>
          <w:rFonts w:ascii="Times New Roman" w:cs="Times New Roman" w:eastAsia="Times New Roman" w:hAnsi="Times New Roman"/>
          <w:sz w:val="14"/>
          <w:szCs w:val="14"/>
          <w:color w:val="0000FF"/>
        </w:rPr>
        <w:tab/>
        <w:t>General Provisions of the Company’s Global Employee Share Purchase Plan dated 12 June 2018, incorporated by reference to Exhibit 10.4 of the Company’s Quarterly Report on Form 10-Q for the quarter ended June 30, 2018</w:t>
      </w:r>
    </w:p>
    <w:p>
      <w:pPr>
        <w:spacing w:after="0" w:line="8" w:lineRule="exact"/>
        <w:rPr>
          <w:sz w:val="20"/>
          <w:szCs w:val="20"/>
          <w:color w:val="auto"/>
        </w:rPr>
      </w:pPr>
    </w:p>
    <w:p>
      <w:pPr>
        <w:jc w:val="both"/>
        <w:ind w:left="800" w:hanging="713"/>
        <w:spacing w:after="0" w:line="239" w:lineRule="auto"/>
        <w:tabs>
          <w:tab w:leader="none" w:pos="780" w:val="left"/>
        </w:tabs>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u w:val="single" w:color="auto"/>
            <w:color w:val="0000FF"/>
          </w:rPr>
          <w:t>10.6†</w:t>
        </w:r>
      </w:hyperlink>
      <w:r>
        <w:rPr>
          <w:rFonts w:ascii="Times New Roman" w:cs="Times New Roman" w:eastAsia="Times New Roman" w:hAnsi="Times New Roman"/>
          <w:sz w:val="14"/>
          <w:szCs w:val="14"/>
          <w:color w:val="0000FF"/>
        </w:rPr>
        <w:tab/>
        <w:t>Form of the Company’s 2019 Long-Term Incentive Plan SAR Award Agreement, incorporated by reference to Exhibit 10.3 of the Company’s Current Report on Form 8-K, filed on April 1, 2019</w:t>
      </w:r>
    </w:p>
    <w:p>
      <w:pPr>
        <w:spacing w:after="0" w:line="8" w:lineRule="exact"/>
        <w:rPr>
          <w:sz w:val="20"/>
          <w:szCs w:val="20"/>
          <w:color w:val="auto"/>
        </w:rPr>
      </w:pPr>
    </w:p>
    <w:p>
      <w:pPr>
        <w:jc w:val="both"/>
        <w:ind w:left="800" w:hanging="713"/>
        <w:spacing w:after="0" w:line="239" w:lineRule="auto"/>
        <w:tabs>
          <w:tab w:leader="none" w:pos="780" w:val="left"/>
        </w:tabs>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u w:val="single" w:color="auto"/>
            <w:color w:val="0000FF"/>
          </w:rPr>
          <w:t>10.7†</w:t>
        </w:r>
      </w:hyperlink>
      <w:r>
        <w:rPr>
          <w:rFonts w:ascii="Times New Roman" w:cs="Times New Roman" w:eastAsia="Times New Roman" w:hAnsi="Times New Roman"/>
          <w:sz w:val="14"/>
          <w:szCs w:val="14"/>
          <w:color w:val="0000FF"/>
        </w:rPr>
        <w:tab/>
        <w:t>Service Agreement, dated January 2, 2019, between Trui Hebbelinck and LivaNova PLC, incorporated by reference to Exhibit 10.1 of the Company’s Quarterly Report on Form 10-Q for the quarter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-200660</wp:posOffset>
            </wp:positionV>
            <wp:extent cx="7161530" cy="2089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100"/>
        <w:spacing w:after="0"/>
        <w:tabs>
          <w:tab w:leader="none" w:pos="780" w:val="left"/>
        </w:tabs>
        <w:rPr>
          <w:rFonts w:ascii="Times New Roman" w:cs="Times New Roman" w:eastAsia="Times New Roman" w:hAnsi="Times New Roman"/>
          <w:sz w:val="14"/>
          <w:szCs w:val="14"/>
          <w:color w:val="0000FF"/>
        </w:rPr>
      </w:pPr>
      <w:hyperlink r:id="rId83">
        <w:r>
          <w:rPr>
            <w:rFonts w:ascii="Times New Roman" w:cs="Times New Roman" w:eastAsia="Times New Roman" w:hAnsi="Times New Roman"/>
            <w:sz w:val="14"/>
            <w:szCs w:val="14"/>
            <w:u w:val="single" w:color="auto"/>
            <w:color w:val="0000FF"/>
          </w:rPr>
          <w:t>10.8†</w:t>
        </w:r>
      </w:hyperlink>
      <w:r>
        <w:rPr>
          <w:rFonts w:ascii="Times New Roman" w:cs="Times New Roman" w:eastAsia="Times New Roman" w:hAnsi="Times New Roman"/>
          <w:sz w:val="14"/>
          <w:szCs w:val="14"/>
          <w:color w:val="0000FF"/>
        </w:rPr>
        <w:tab/>
        <w:t>Trui Hebbelinck Settlement Agreement, dated September 7, 2024, incorporated by reference to Exhibit 10.1 of the Company’s Quarterly Report on Form 10-Q, filed on October 30,</w:t>
      </w:r>
    </w:p>
    <w:p>
      <w:pPr>
        <w:ind w:left="800"/>
        <w:spacing w:after="0"/>
        <w:rPr>
          <w:sz w:val="20"/>
          <w:szCs w:val="20"/>
          <w:color w:val="auto"/>
        </w:rPr>
      </w:pPr>
      <w:r>
        <w:rPr>
          <w:rFonts w:ascii="Times New Roman" w:cs="Times New Roman" w:eastAsia="Times New Roman" w:hAnsi="Times New Roman"/>
          <w:sz w:val="14"/>
          <w:szCs w:val="14"/>
          <w:color w:val="auto"/>
        </w:rPr>
        <w:t>2024</w:t>
      </w:r>
    </w:p>
    <w:p>
      <w:pPr>
        <w:spacing w:after="0" w:line="14" w:lineRule="exact"/>
        <w:rPr>
          <w:sz w:val="20"/>
          <w:szCs w:val="20"/>
          <w:color w:val="auto"/>
        </w:rPr>
      </w:pPr>
    </w:p>
    <w:p>
      <w:pPr>
        <w:ind w:left="120"/>
        <w:spacing w:after="0"/>
        <w:tabs>
          <w:tab w:leader="none" w:pos="780" w:val="left"/>
        </w:tabs>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u w:val="single" w:color="auto"/>
            <w:color w:val="0000FF"/>
          </w:rPr>
          <w:t>10.9</w:t>
        </w:r>
      </w:hyperlink>
      <w:r>
        <w:rPr>
          <w:rFonts w:ascii="Times New Roman" w:cs="Times New Roman" w:eastAsia="Times New Roman" w:hAnsi="Times New Roman"/>
          <w:sz w:val="14"/>
          <w:szCs w:val="14"/>
          <w:color w:val="0000FF"/>
        </w:rPr>
        <w:tab/>
        <w:t>Form of Capped Call Confirmation incorporated by reference to Exhibit 10.1 of the Company’s Current Report on Form 8-K, filed on June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-99060</wp:posOffset>
            </wp:positionV>
            <wp:extent cx="7161530" cy="114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ind w:left="100"/>
        <w:spacing w:after="0"/>
        <w:tabs>
          <w:tab w:leader="none" w:pos="780" w:val="left"/>
        </w:tabs>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u w:val="single" w:color="auto"/>
            <w:color w:val="0000FF"/>
          </w:rPr>
          <w:t>10.10</w:t>
        </w:r>
      </w:hyperlink>
      <w:r>
        <w:rPr>
          <w:rFonts w:ascii="Times New Roman" w:cs="Times New Roman" w:eastAsia="Times New Roman" w:hAnsi="Times New Roman"/>
          <w:sz w:val="14"/>
          <w:szCs w:val="14"/>
          <w:color w:val="0000FF"/>
        </w:rPr>
        <w:tab/>
        <w:t>Form of Confirmation for Capped Call Transactions, incorporated by reference to Exhibit 10.1 of the Company’s Current Report on Form 8-K, filed on March 8, 2024</w:t>
      </w:r>
    </w:p>
    <w:p>
      <w:pPr>
        <w:spacing w:after="0" w:line="19" w:lineRule="exact"/>
        <w:rPr>
          <w:sz w:val="20"/>
          <w:szCs w:val="20"/>
          <w:color w:val="auto"/>
        </w:rPr>
      </w:pPr>
    </w:p>
    <w:p>
      <w:pPr>
        <w:ind w:left="800" w:hanging="746"/>
        <w:spacing w:after="0" w:line="237" w:lineRule="auto"/>
        <w:tabs>
          <w:tab w:leader="none" w:pos="780" w:val="left"/>
        </w:tabs>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u w:val="single" w:color="auto"/>
            <w:color w:val="0000FF"/>
          </w:rPr>
          <w:t>10.11†</w:t>
        </w:r>
      </w:hyperlink>
      <w:r>
        <w:rPr>
          <w:rFonts w:ascii="Times New Roman" w:cs="Times New Roman" w:eastAsia="Times New Roman" w:hAnsi="Times New Roman"/>
          <w:sz w:val="14"/>
          <w:szCs w:val="14"/>
          <w:color w:val="0000FF"/>
        </w:rPr>
        <w:tab/>
        <w:t>Amendment to Outstanding 2019 and 2020 Restricted Stock Unit Awards under the LivaNova PLC 2015 Incentive Award Plan, dated June 15, 2020, incorporated by reference to Exhibit 10.10 of the Company’s Quarterly Report on Form 10-Q for the quarter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-201295</wp:posOffset>
            </wp:positionV>
            <wp:extent cx="7161530" cy="2089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800" w:hanging="749"/>
        <w:spacing w:after="0" w:line="239" w:lineRule="auto"/>
        <w:tabs>
          <w:tab w:leader="none" w:pos="780" w:val="left"/>
        </w:tabs>
        <w:rPr>
          <w:rFonts w:ascii="Times New Roman" w:cs="Times New Roman" w:eastAsia="Times New Roman" w:hAnsi="Times New Roman"/>
          <w:sz w:val="14"/>
          <w:szCs w:val="14"/>
          <w:color w:val="0000FF"/>
        </w:rPr>
      </w:pPr>
      <w:hyperlink r:id="rId89">
        <w:r>
          <w:rPr>
            <w:rFonts w:ascii="Times New Roman" w:cs="Times New Roman" w:eastAsia="Times New Roman" w:hAnsi="Times New Roman"/>
            <w:sz w:val="14"/>
            <w:szCs w:val="14"/>
            <w:u w:val="single" w:color="auto"/>
            <w:color w:val="0000FF"/>
          </w:rPr>
          <w:t>10.12†</w:t>
        </w:r>
      </w:hyperlink>
      <w:r>
        <w:rPr>
          <w:rFonts w:ascii="Times New Roman" w:cs="Times New Roman" w:eastAsia="Times New Roman" w:hAnsi="Times New Roman"/>
          <w:sz w:val="14"/>
          <w:szCs w:val="14"/>
          <w:color w:val="0000FF"/>
        </w:rPr>
        <w:tab/>
        <w:t>Amendment to Outstanding 2018, 2019 and 2020 Performance Stock Unit Awards under the LivaNova PLC 2015 Incentive Award Plan, dated June 15, 2020, incorporated by reference to Exhibit 10.12 of the Company’s Quarterly Report on Form 10-Q for the quarter ended June 30, 2020</w:t>
      </w:r>
    </w:p>
    <w:p>
      <w:pPr>
        <w:spacing w:after="0" w:line="8" w:lineRule="exact"/>
        <w:rPr>
          <w:sz w:val="20"/>
          <w:szCs w:val="20"/>
          <w:color w:val="auto"/>
        </w:rPr>
      </w:pPr>
    </w:p>
    <w:p>
      <w:pPr>
        <w:ind w:left="800" w:hanging="749"/>
        <w:spacing w:after="0" w:line="239" w:lineRule="auto"/>
        <w:tabs>
          <w:tab w:leader="none" w:pos="780" w:val="left"/>
        </w:tabs>
        <w:rPr>
          <w:rFonts w:ascii="Times New Roman" w:cs="Times New Roman" w:eastAsia="Times New Roman" w:hAnsi="Times New Roman"/>
          <w:sz w:val="14"/>
          <w:szCs w:val="14"/>
          <w:color w:val="0000FF"/>
        </w:rPr>
      </w:pPr>
      <w:hyperlink r:id="rId90">
        <w:r>
          <w:rPr>
            <w:rFonts w:ascii="Times New Roman" w:cs="Times New Roman" w:eastAsia="Times New Roman" w:hAnsi="Times New Roman"/>
            <w:sz w:val="14"/>
            <w:szCs w:val="14"/>
            <w:u w:val="single" w:color="auto"/>
            <w:color w:val="0000FF"/>
          </w:rPr>
          <w:t>10.13†</w:t>
        </w:r>
      </w:hyperlink>
      <w:r>
        <w:rPr>
          <w:rFonts w:ascii="Times New Roman" w:cs="Times New Roman" w:eastAsia="Times New Roman" w:hAnsi="Times New Roman"/>
          <w:sz w:val="14"/>
          <w:szCs w:val="14"/>
          <w:color w:val="0000FF"/>
        </w:rPr>
        <w:tab/>
        <w:t>Form of Long-Term Incentive Plan Restricted Stock Unit Award Agreement, incorporated by reference to Exhibit 10.1 of the Company’s Quarterly Report on Form 10-Q for the quarter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-200660</wp:posOffset>
            </wp:positionV>
            <wp:extent cx="7161530" cy="2089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800" w:hanging="749"/>
        <w:spacing w:after="0" w:line="239" w:lineRule="auto"/>
        <w:tabs>
          <w:tab w:leader="none" w:pos="780" w:val="left"/>
        </w:tabs>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u w:val="single" w:color="auto"/>
            <w:color w:val="0000FF"/>
          </w:rPr>
          <w:t>10.14†</w:t>
        </w:r>
      </w:hyperlink>
      <w:r>
        <w:rPr>
          <w:rFonts w:ascii="Times New Roman" w:cs="Times New Roman" w:eastAsia="Times New Roman" w:hAnsi="Times New Roman"/>
          <w:sz w:val="14"/>
          <w:szCs w:val="14"/>
          <w:color w:val="0000FF"/>
        </w:rPr>
        <w:tab/>
        <w:t>Form of Long-Term Incentive Plan Performance Stock Unit Award Agreement, incorporated by reference to Exhibit 10.2 of the Company’s Quarterly Report on Form 10-Q for the quarter ended September 30, 2020</w:t>
      </w:r>
    </w:p>
    <w:p>
      <w:pPr>
        <w:spacing w:after="0" w:line="8" w:lineRule="exact"/>
        <w:rPr>
          <w:sz w:val="20"/>
          <w:szCs w:val="20"/>
          <w:color w:val="auto"/>
        </w:rPr>
      </w:pPr>
    </w:p>
    <w:p>
      <w:pPr>
        <w:ind w:left="800" w:hanging="749"/>
        <w:spacing w:after="0" w:line="239" w:lineRule="auto"/>
        <w:tabs>
          <w:tab w:leader="none" w:pos="780" w:val="left"/>
        </w:tabs>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u w:val="single" w:color="auto"/>
            <w:color w:val="0000FF"/>
          </w:rPr>
          <w:t>10.15†</w:t>
        </w:r>
      </w:hyperlink>
      <w:r>
        <w:rPr>
          <w:rFonts w:ascii="Times New Roman" w:cs="Times New Roman" w:eastAsia="Times New Roman" w:hAnsi="Times New Roman"/>
          <w:sz w:val="14"/>
          <w:szCs w:val="14"/>
          <w:color w:val="0000FF"/>
        </w:rPr>
        <w:tab/>
        <w:t>Form of Long-Term Incentive Plan Stock Appreciation Right Award Agreement, incorporated by reference to Exhibit 10.3 of the Company’s Quarterly Report on Form 10-Q for the quarter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-200660</wp:posOffset>
            </wp:positionV>
            <wp:extent cx="7161530" cy="2089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800" w:hanging="749"/>
        <w:spacing w:after="0" w:line="239" w:lineRule="auto"/>
        <w:tabs>
          <w:tab w:leader="none" w:pos="780" w:val="left"/>
        </w:tabs>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u w:val="single" w:color="auto"/>
            <w:color w:val="0000FF"/>
          </w:rPr>
          <w:t>10.16†</w:t>
        </w:r>
      </w:hyperlink>
      <w:r>
        <w:rPr>
          <w:rFonts w:ascii="Times New Roman" w:cs="Times New Roman" w:eastAsia="Times New Roman" w:hAnsi="Times New Roman"/>
          <w:sz w:val="14"/>
          <w:szCs w:val="14"/>
          <w:color w:val="0000FF"/>
        </w:rPr>
        <w:tab/>
        <w:t>Form of Director Restricted Stock Unit Award Grant Notice, dated June 2020 and Director Restricted Stock Unit Award Agreement under the Company’s 2015 Incentive Award Plan (Non-Employee Directors), incorporated by reference to Exhibit 10.42 of the Company’s Annual Report on Form 10-K for the year ended December 31, 2020</w:t>
      </w:r>
    </w:p>
    <w:p>
      <w:pPr>
        <w:spacing w:after="0" w:line="1" w:lineRule="exact"/>
        <w:rPr>
          <w:sz w:val="20"/>
          <w:szCs w:val="20"/>
          <w:color w:val="auto"/>
        </w:rPr>
      </w:pPr>
    </w:p>
    <w:p>
      <w:pPr>
        <w:ind w:left="60"/>
        <w:spacing w:after="0"/>
        <w:tabs>
          <w:tab w:leader="none" w:pos="780" w:val="left"/>
        </w:tabs>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u w:val="single" w:color="auto"/>
            <w:color w:val="0000FF"/>
          </w:rPr>
          <w:t>10.17†</w:t>
        </w:r>
      </w:hyperlink>
      <w:r>
        <w:rPr>
          <w:rFonts w:ascii="Times New Roman" w:cs="Times New Roman" w:eastAsia="Times New Roman" w:hAnsi="Times New Roman"/>
          <w:sz w:val="14"/>
          <w:szCs w:val="14"/>
          <w:color w:val="0000FF"/>
        </w:rPr>
        <w:tab/>
        <w:t>Service Agreement, effective August 1, 2021, between the Company and Alex Shvartsburg, incorporated by reference to Exhibit 10.1 of the Company’s Quarterly Report 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-94615</wp:posOffset>
            </wp:positionV>
            <wp:extent cx="7161530" cy="2089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4"/>
          <w:szCs w:val="14"/>
          <w:color w:val="auto"/>
        </w:rPr>
        <w:t>10-Q for the quarter ended June 30, 2021</w:t>
      </w:r>
    </w:p>
    <w:p>
      <w:pPr>
        <w:spacing w:after="0" w:line="14" w:lineRule="exact"/>
        <w:rPr>
          <w:sz w:val="20"/>
          <w:szCs w:val="20"/>
          <w:color w:val="auto"/>
        </w:rPr>
      </w:pPr>
    </w:p>
    <w:p>
      <w:pPr>
        <w:ind w:left="800" w:hanging="749"/>
        <w:spacing w:after="0" w:line="239" w:lineRule="auto"/>
        <w:tabs>
          <w:tab w:leader="none" w:pos="780" w:val="left"/>
        </w:tabs>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u w:val="single" w:color="auto"/>
            <w:color w:val="0000FF"/>
          </w:rPr>
          <w:t>10.18†</w:t>
        </w:r>
      </w:hyperlink>
      <w:r>
        <w:rPr>
          <w:rFonts w:ascii="Times New Roman" w:cs="Times New Roman" w:eastAsia="Times New Roman" w:hAnsi="Times New Roman"/>
          <w:sz w:val="14"/>
          <w:szCs w:val="14"/>
          <w:color w:val="0000FF"/>
        </w:rPr>
        <w:tab/>
        <w:t>Letter, dated December 14, 2022, to Alex Shvartsburg regarding an increase in gross annual base salary, effective January 1, 2023, incorporated by reference to Exhibit 10.50 of the Company’s Annual Report on Form 10-K for the year ended December 31, 2022</w:t>
      </w:r>
    </w:p>
    <w:p>
      <w:pPr>
        <w:spacing w:after="0" w:line="8" w:lineRule="exact"/>
        <w:rPr>
          <w:sz w:val="20"/>
          <w:szCs w:val="20"/>
          <w:color w:val="auto"/>
        </w:rPr>
      </w:pPr>
    </w:p>
    <w:p>
      <w:pPr>
        <w:jc w:val="both"/>
        <w:ind w:left="800" w:hanging="713"/>
        <w:spacing w:after="0" w:line="268" w:lineRule="auto"/>
        <w:tabs>
          <w:tab w:leader="none" w:pos="780" w:val="left"/>
        </w:tabs>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u w:val="single" w:color="auto"/>
            <w:color w:val="0000FF"/>
          </w:rPr>
          <w:t>10.19</w:t>
        </w:r>
      </w:hyperlink>
      <w:r>
        <w:rPr>
          <w:rFonts w:ascii="Times New Roman" w:cs="Times New Roman" w:eastAsia="Times New Roman" w:hAnsi="Times New Roman"/>
          <w:sz w:val="14"/>
          <w:szCs w:val="14"/>
          <w:color w:val="0000FF"/>
        </w:rPr>
        <w:tab/>
        <w:t>First Lien Credit Agreement dated as of August 13, 2021 among LivaNova PLC, LivaNova USA, Inc., the lenders and issuing banks party thereto and Goldman Sachs Bank USA as First Lien Administrative Agent and First Lien Collateral Agent, incorporated by reference to Exhibit 10.1 of the Company’s Current Report on Form 8-K, filed on August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-224790</wp:posOffset>
            </wp:positionV>
            <wp:extent cx="7161530" cy="229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jc w:val="both"/>
        <w:ind w:left="800" w:hanging="713"/>
        <w:spacing w:after="0" w:line="254" w:lineRule="auto"/>
        <w:tabs>
          <w:tab w:leader="none" w:pos="780" w:val="left"/>
        </w:tabs>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u w:val="single" w:color="auto"/>
            <w:color w:val="0000FF"/>
          </w:rPr>
          <w:t>10.20</w:t>
        </w:r>
      </w:hyperlink>
      <w:r>
        <w:rPr>
          <w:rFonts w:ascii="Times New Roman" w:cs="Times New Roman" w:eastAsia="Times New Roman" w:hAnsi="Times New Roman"/>
          <w:sz w:val="14"/>
          <w:szCs w:val="14"/>
          <w:color w:val="0000FF"/>
        </w:rPr>
        <w:tab/>
        <w:t>Incremental Facility Amendment No. 1 to Credit Agreement, dated as of February 24, 2022, by and among LivaNova PLC, LivaNova USA, Inc., the lenders and issuing banks party thereto and Goldman Sachs Bank USA as First Lien Administrative Agent, incorporated by reference to Exhibit 10.51 of the Company’s Annual Report on Form 10-K for the year ended December 31, 2021</w:t>
      </w:r>
    </w:p>
    <w:p>
      <w:pPr>
        <w:spacing w:after="0" w:line="9" w:lineRule="exact"/>
        <w:rPr>
          <w:sz w:val="20"/>
          <w:szCs w:val="20"/>
          <w:color w:val="auto"/>
        </w:rPr>
      </w:pPr>
    </w:p>
    <w:p>
      <w:pPr>
        <w:ind w:left="100"/>
        <w:spacing w:after="0"/>
        <w:tabs>
          <w:tab w:leader="none" w:pos="780" w:val="left"/>
        </w:tabs>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u w:val="single" w:color="auto"/>
            <w:color w:val="0000FF"/>
          </w:rPr>
          <w:t>10.21</w:t>
        </w:r>
      </w:hyperlink>
      <w:r>
        <w:rPr>
          <w:rFonts w:ascii="Times New Roman" w:cs="Times New Roman" w:eastAsia="Times New Roman" w:hAnsi="Times New Roman"/>
          <w:sz w:val="14"/>
          <w:szCs w:val="14"/>
          <w:color w:val="0000FF"/>
        </w:rPr>
        <w:tab/>
        <w:t>Letter of indemnity in respect of the issuance of Trade Finance guarantee by Barclays Bank Ireland PLC, Italy Branch dated March 18, 2022, by and among LivaNova PLC Italian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-99060</wp:posOffset>
            </wp:positionV>
            <wp:extent cx="7161530" cy="229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3">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4"/>
          <w:szCs w:val="14"/>
          <w:color w:val="auto"/>
        </w:rPr>
        <w:t>Branch and Barclays Bank Ireland PLC, Italy Branch, incorporated by reference to Exhibit 10.1 of the Company’s Current Report on Form 8-K, filed on March 21, 2022</w:t>
      </w:r>
    </w:p>
    <w:p>
      <w:pPr>
        <w:spacing w:after="0" w:line="25" w:lineRule="exact"/>
        <w:rPr>
          <w:sz w:val="20"/>
          <w:szCs w:val="20"/>
          <w:color w:val="auto"/>
        </w:rPr>
      </w:pPr>
    </w:p>
    <w:p>
      <w:pPr>
        <w:jc w:val="both"/>
        <w:ind w:left="800" w:hanging="713"/>
        <w:spacing w:after="0" w:line="268" w:lineRule="auto"/>
        <w:tabs>
          <w:tab w:leader="none" w:pos="780" w:val="left"/>
        </w:tabs>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u w:val="single" w:color="auto"/>
            <w:color w:val="0000FF"/>
          </w:rPr>
          <w:t>10.22</w:t>
        </w:r>
      </w:hyperlink>
      <w:r>
        <w:rPr>
          <w:rFonts w:ascii="Times New Roman" w:cs="Times New Roman" w:eastAsia="Times New Roman" w:hAnsi="Times New Roman"/>
          <w:sz w:val="14"/>
          <w:szCs w:val="14"/>
          <w:color w:val="0000FF"/>
        </w:rPr>
        <w:tab/>
        <w:t>Pledge Agreement dated as of March 18, 2022, among LivaNova PLC Italian Branch and Barclays Bank Ireland PLC, Italy Branch, incorporated by reference to Exhibit 10.2 of the Company’s Current Report on Form 8-K, filed on March 21, 2022</w:t>
      </w:r>
    </w:p>
    <w:p>
      <w:pPr>
        <w:spacing w:after="0" w:line="1" w:lineRule="exact"/>
        <w:rPr>
          <w:sz w:val="20"/>
          <w:szCs w:val="20"/>
          <w:color w:val="auto"/>
        </w:rPr>
      </w:pPr>
    </w:p>
    <w:p>
      <w:pPr>
        <w:jc w:val="both"/>
        <w:ind w:left="800" w:hanging="713"/>
        <w:spacing w:after="0" w:line="268" w:lineRule="auto"/>
        <w:tabs>
          <w:tab w:leader="none" w:pos="780" w:val="left"/>
        </w:tabs>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u w:val="single" w:color="auto"/>
            <w:color w:val="0000FF"/>
          </w:rPr>
          <w:t>10.23</w:t>
        </w:r>
      </w:hyperlink>
      <w:r>
        <w:rPr>
          <w:rFonts w:ascii="Times New Roman" w:cs="Times New Roman" w:eastAsia="Times New Roman" w:hAnsi="Times New Roman"/>
          <w:sz w:val="14"/>
          <w:szCs w:val="14"/>
          <w:color w:val="0000FF"/>
        </w:rPr>
        <w:tab/>
        <w:t>Amendment 2 to the Credit Agreement, dated as of March 16, 2022, by and among LivaNova PLC, LivaNova USA, Inc., the Lenders and Goldman Sachs Bank USA as First Lien Administrative Agent, incorporated by reference to Exhibit 10.1 of the Company's Quarterly Report on Form 10-Q, filed on May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-224790</wp:posOffset>
            </wp:positionV>
            <wp:extent cx="7161530" cy="229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6">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jc w:val="both"/>
        <w:ind w:left="800" w:hanging="713"/>
        <w:spacing w:after="0" w:line="254" w:lineRule="auto"/>
        <w:tabs>
          <w:tab w:leader="none" w:pos="780" w:val="left"/>
        </w:tabs>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u w:val="single" w:color="auto"/>
            <w:color w:val="0000FF"/>
          </w:rPr>
          <w:t>10.24</w:t>
        </w:r>
      </w:hyperlink>
      <w:r>
        <w:rPr>
          <w:rFonts w:ascii="Times New Roman" w:cs="Times New Roman" w:eastAsia="Times New Roman" w:hAnsi="Times New Roman"/>
          <w:sz w:val="14"/>
          <w:szCs w:val="14"/>
          <w:color w:val="0000FF"/>
        </w:rPr>
        <w:tab/>
        <w:t>Incremental Facility Amendment No. 2 to Credit Agreement, dated as of July 6, 2022, by and among LivaNova PLC, LivaNova USA, Inc., the Second Incremental Term Lenders, Delayed Draw Incremental Lenders, Goldman Sachs Bank USA, the Revolving Lenders and Issuing Banks, and for purposes of Sections 8 and 10 only, the other Loan Parties as of the date hereof., incorporated by reference to Exhibit 10.1 of the Company’s Current Report on Form 8-K, filed on July 6, 2022</w:t>
      </w: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116840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500" w:top="839" w:right="33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11430</wp:posOffset>
            </wp:positionV>
            <wp:extent cx="7161530" cy="3365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7161530" cy="336550"/>
                    </a:xfrm>
                    <a:prstGeom prst="rect">
                      <a:avLst/>
                    </a:prstGeom>
                    <a:noFill/>
                  </pic:spPr>
                </pic:pic>
              </a:graphicData>
            </a:graphic>
          </wp:anchor>
        </w:drawing>
      </w:r>
    </w:p>
    <w:p>
      <w:pPr>
        <w:spacing w:after="0" w:line="5" w:lineRule="exact"/>
        <w:rPr>
          <w:sz w:val="20"/>
          <w:szCs w:val="20"/>
          <w:color w:val="auto"/>
        </w:rPr>
      </w:pPr>
    </w:p>
    <w:p>
      <w:pPr>
        <w:jc w:val="both"/>
        <w:ind w:left="800" w:hanging="713"/>
        <w:spacing w:after="0" w:line="254" w:lineRule="auto"/>
        <w:tabs>
          <w:tab w:leader="none" w:pos="780" w:val="left"/>
        </w:tabs>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u w:val="single" w:color="auto"/>
            <w:color w:val="0000FF"/>
          </w:rPr>
          <w:t>10.25</w:t>
        </w:r>
      </w:hyperlink>
      <w:r>
        <w:rPr>
          <w:rFonts w:ascii="Times New Roman" w:cs="Times New Roman" w:eastAsia="Times New Roman" w:hAnsi="Times New Roman"/>
          <w:sz w:val="14"/>
          <w:szCs w:val="14"/>
          <w:color w:val="0000FF"/>
        </w:rPr>
        <w:tab/>
        <w:t>Incremental Facility Amendment No. 3 to Credit Agreement, dated as of March 8, 2024, by and among LivaNova PLC, LivaNova USA, Inc., the Third Incremental Amendment Revolving Lenders, Goldman Sachs Bank USA, the Term Lenders parties hereto, the Issuing Banks, the Swingline Lenders and, for purposes of Sections 7 and 9 only, the other Loan Parties as of the date hereof, incorporated by reference to Exhibit 10.2 of the Company’s Current Report on Form 8-K filed on March 8, 2024</w:t>
      </w:r>
    </w:p>
    <w:p>
      <w:pPr>
        <w:spacing w:after="0" w:line="9" w:lineRule="exact"/>
        <w:rPr>
          <w:sz w:val="20"/>
          <w:szCs w:val="20"/>
          <w:color w:val="auto"/>
        </w:rPr>
      </w:pPr>
    </w:p>
    <w:p>
      <w:pPr>
        <w:ind w:left="800" w:hanging="749"/>
        <w:spacing w:after="0" w:line="268" w:lineRule="auto"/>
        <w:tabs>
          <w:tab w:leader="none" w:pos="780" w:val="left"/>
        </w:tabs>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u w:val="single" w:color="auto"/>
            <w:color w:val="0000FF"/>
          </w:rPr>
          <w:t>10.26†</w:t>
        </w:r>
      </w:hyperlink>
      <w:r>
        <w:rPr>
          <w:rFonts w:ascii="Times New Roman" w:cs="Times New Roman" w:eastAsia="Times New Roman" w:hAnsi="Times New Roman"/>
          <w:sz w:val="14"/>
          <w:szCs w:val="14"/>
          <w:color w:val="0000FF"/>
        </w:rPr>
        <w:tab/>
        <w:t>Amendment to the LivaNova PLC 2015 Incentive Award Plan, dated 13 June 2022, incorporated by reference to Exhibit 10.1 of the Company’s Quarterly Report on Form 10-Q, filed on August 3, 2022</w:t>
      </w:r>
    </w:p>
    <w:p>
      <w:pPr>
        <w:spacing w:after="0" w:line="1" w:lineRule="exact"/>
        <w:rPr>
          <w:sz w:val="20"/>
          <w:szCs w:val="20"/>
          <w:color w:val="auto"/>
        </w:rPr>
      </w:pPr>
    </w:p>
    <w:p>
      <w:pPr>
        <w:ind w:left="60"/>
        <w:spacing w:after="0"/>
        <w:tabs>
          <w:tab w:leader="none" w:pos="780" w:val="left"/>
        </w:tabs>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u w:val="single" w:color="auto"/>
            <w:color w:val="0000FF"/>
          </w:rPr>
          <w:t>10.27†</w:t>
        </w:r>
      </w:hyperlink>
      <w:r>
        <w:rPr>
          <w:rFonts w:ascii="Times New Roman" w:cs="Times New Roman" w:eastAsia="Times New Roman" w:hAnsi="Times New Roman"/>
          <w:sz w:val="14"/>
          <w:szCs w:val="14"/>
          <w:color w:val="0000FF"/>
        </w:rPr>
        <w:tab/>
        <w:t>Amendment No. 2 to the LivaNova PLC 2015 Incentive Award Plan, incorporated by reference to Exhibit 10.2 of the Company’s Current Report on Form 8-K, filed on June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-99060</wp:posOffset>
            </wp:positionV>
            <wp:extent cx="7161530" cy="229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4"/>
          <w:szCs w:val="14"/>
          <w:color w:val="auto"/>
        </w:rPr>
        <w:t>2024</w:t>
      </w:r>
    </w:p>
    <w:p>
      <w:pPr>
        <w:spacing w:after="0" w:line="25" w:lineRule="exact"/>
        <w:rPr>
          <w:sz w:val="20"/>
          <w:szCs w:val="20"/>
          <w:color w:val="auto"/>
        </w:rPr>
      </w:pPr>
    </w:p>
    <w:p>
      <w:pPr>
        <w:ind w:left="800" w:hanging="749"/>
        <w:spacing w:after="0" w:line="268" w:lineRule="auto"/>
        <w:tabs>
          <w:tab w:leader="none" w:pos="780" w:val="left"/>
        </w:tabs>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u w:val="single" w:color="auto"/>
            <w:color w:val="0000FF"/>
          </w:rPr>
          <w:t>10.28†</w:t>
        </w:r>
      </w:hyperlink>
      <w:r>
        <w:rPr>
          <w:rFonts w:ascii="Times New Roman" w:cs="Times New Roman" w:eastAsia="Times New Roman" w:hAnsi="Times New Roman"/>
          <w:sz w:val="14"/>
          <w:szCs w:val="14"/>
          <w:color w:val="0000FF"/>
        </w:rPr>
        <w:tab/>
        <w:t>Form of LivaNova PLC 2022 Incentive Award Plan Stock Appreciation Right Grant Notice and Agreement, incorporated by reference to Exhibit 10.3 of the Company’s Quarterly Report on Form 10-Q, filed on August 3, 2022</w:t>
      </w:r>
    </w:p>
    <w:p>
      <w:pPr>
        <w:spacing w:after="0" w:line="1" w:lineRule="exact"/>
        <w:rPr>
          <w:sz w:val="20"/>
          <w:szCs w:val="20"/>
          <w:color w:val="auto"/>
        </w:rPr>
      </w:pPr>
    </w:p>
    <w:p>
      <w:pPr>
        <w:ind w:left="800" w:hanging="749"/>
        <w:spacing w:after="0" w:line="268" w:lineRule="auto"/>
        <w:tabs>
          <w:tab w:leader="none" w:pos="780" w:val="left"/>
        </w:tabs>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u w:val="single" w:color="auto"/>
            <w:color w:val="0000FF"/>
          </w:rPr>
          <w:t>10.29†</w:t>
        </w:r>
      </w:hyperlink>
      <w:r>
        <w:rPr>
          <w:rFonts w:ascii="Times New Roman" w:cs="Times New Roman" w:eastAsia="Times New Roman" w:hAnsi="Times New Roman"/>
          <w:sz w:val="14"/>
          <w:szCs w:val="14"/>
          <w:color w:val="0000FF"/>
        </w:rPr>
        <w:tab/>
        <w:t>Form of LivaNova PLC 2022 Incentive Award Plan Restricted Stock Unit Award Grant Notice and Agreement, incorporated by reference to Exhibit 10.4 of the Company’s Quarterly Report on Form 10-Q, filed on August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-224790</wp:posOffset>
            </wp:positionV>
            <wp:extent cx="7161530" cy="229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ind w:left="800" w:hanging="749"/>
        <w:spacing w:after="0" w:line="268" w:lineRule="auto"/>
        <w:tabs>
          <w:tab w:leader="none" w:pos="780" w:val="left"/>
        </w:tabs>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u w:val="single" w:color="auto"/>
            <w:color w:val="0000FF"/>
          </w:rPr>
          <w:t>10.30†</w:t>
        </w:r>
      </w:hyperlink>
      <w:r>
        <w:rPr>
          <w:rFonts w:ascii="Times New Roman" w:cs="Times New Roman" w:eastAsia="Times New Roman" w:hAnsi="Times New Roman"/>
          <w:sz w:val="14"/>
          <w:szCs w:val="14"/>
          <w:color w:val="0000FF"/>
        </w:rPr>
        <w:tab/>
        <w:t>Form of LivaNova PLC 2022 Incentive Award Plan Performance Stock Unit Award Grant Notice and Agreement, incorporated by reference to Exhibit 10.5 of the Company’s Quarterly Report on Form 10-Q, filed on August 3, 2022</w:t>
      </w:r>
    </w:p>
    <w:p>
      <w:pPr>
        <w:spacing w:after="0" w:line="1" w:lineRule="exact"/>
        <w:rPr>
          <w:sz w:val="20"/>
          <w:szCs w:val="20"/>
          <w:color w:val="auto"/>
        </w:rPr>
      </w:pPr>
    </w:p>
    <w:p>
      <w:pPr>
        <w:ind w:left="800" w:hanging="749"/>
        <w:spacing w:after="0" w:line="268" w:lineRule="auto"/>
        <w:tabs>
          <w:tab w:leader="none" w:pos="780" w:val="left"/>
        </w:tabs>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u w:val="single" w:color="auto"/>
            <w:color w:val="0000FF"/>
          </w:rPr>
          <w:t>10.31†</w:t>
        </w:r>
      </w:hyperlink>
      <w:r>
        <w:rPr>
          <w:rFonts w:ascii="Times New Roman" w:cs="Times New Roman" w:eastAsia="Times New Roman" w:hAnsi="Times New Roman"/>
          <w:sz w:val="14"/>
          <w:szCs w:val="14"/>
          <w:color w:val="0000FF"/>
        </w:rPr>
        <w:tab/>
        <w:t>Amendment to Outstanding 2021 and 2022 Performance Stock Unit Awards under the LivaNova PLC 2015 Incentive Award Plan, incorporated by reference to Exhibit 10.7 of the Company’s Quarterly Report on Form 10-Q, filed on August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-224790</wp:posOffset>
            </wp:positionV>
            <wp:extent cx="7161530" cy="229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9">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ind w:left="800" w:hanging="749"/>
        <w:spacing w:after="0" w:line="268" w:lineRule="auto"/>
        <w:tabs>
          <w:tab w:leader="none" w:pos="780" w:val="left"/>
        </w:tabs>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u w:val="single" w:color="auto"/>
            <w:color w:val="0000FF"/>
          </w:rPr>
          <w:t>10.32†</w:t>
        </w:r>
      </w:hyperlink>
      <w:r>
        <w:rPr>
          <w:rFonts w:ascii="Times New Roman" w:cs="Times New Roman" w:eastAsia="Times New Roman" w:hAnsi="Times New Roman"/>
          <w:sz w:val="14"/>
          <w:szCs w:val="14"/>
          <w:color w:val="0000FF"/>
        </w:rPr>
        <w:tab/>
        <w:t>Amendment to relevant 2020, 2021, and 2022 Restricted Stock Unit Awards under the LivaNova PLC 2015 Incentive Award Plan, incorporated by reference to Exhibit 10.8 of the Company’s Quarterly Report on Form 10-Q, filed on August 3, 2022</w:t>
      </w:r>
    </w:p>
    <w:p>
      <w:pPr>
        <w:spacing w:after="0" w:line="1" w:lineRule="exact"/>
        <w:rPr>
          <w:sz w:val="20"/>
          <w:szCs w:val="20"/>
          <w:color w:val="auto"/>
        </w:rPr>
      </w:pPr>
    </w:p>
    <w:p>
      <w:pPr>
        <w:ind w:left="800" w:hanging="749"/>
        <w:spacing w:after="0" w:line="268" w:lineRule="auto"/>
        <w:tabs>
          <w:tab w:leader="none" w:pos="780" w:val="left"/>
        </w:tabs>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u w:val="single" w:color="auto"/>
            <w:color w:val="0000FF"/>
          </w:rPr>
          <w:t>10.33†</w:t>
        </w:r>
      </w:hyperlink>
      <w:r>
        <w:rPr>
          <w:rFonts w:ascii="Times New Roman" w:cs="Times New Roman" w:eastAsia="Times New Roman" w:hAnsi="Times New Roman"/>
          <w:sz w:val="14"/>
          <w:szCs w:val="14"/>
          <w:color w:val="0000FF"/>
        </w:rPr>
        <w:tab/>
        <w:t>Form of LivaNova PLC 2022 Incentive Award Plan Stock Appreciation Right Grant Notice and Agreement, effective February 2023, incorporated by reference to Exhibit 10.1 of the Company’s Quarterly Report on Form 10-Q for the quarter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-224790</wp:posOffset>
            </wp:positionV>
            <wp:extent cx="7161530" cy="229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2">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ind w:left="800" w:hanging="749"/>
        <w:spacing w:after="0" w:line="268" w:lineRule="auto"/>
        <w:tabs>
          <w:tab w:leader="none" w:pos="780" w:val="left"/>
        </w:tabs>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u w:val="single" w:color="auto"/>
            <w:color w:val="0000FF"/>
          </w:rPr>
          <w:t>10.34†</w:t>
        </w:r>
      </w:hyperlink>
      <w:r>
        <w:rPr>
          <w:rFonts w:ascii="Times New Roman" w:cs="Times New Roman" w:eastAsia="Times New Roman" w:hAnsi="Times New Roman"/>
          <w:sz w:val="14"/>
          <w:szCs w:val="14"/>
          <w:color w:val="0000FF"/>
        </w:rPr>
        <w:tab/>
        <w:t>Form of LivaNova PLC 2022 Incentive Award Plan Restricted Stock Unit Award Grant Notice and Agreement, effective February 2023, incorporated by reference to Exhibit 10.2 of the Company’s Quarterly Report on Form 10-Q for the quarter ended March 31, 2023</w:t>
      </w:r>
    </w:p>
    <w:p>
      <w:pPr>
        <w:spacing w:after="0" w:line="1" w:lineRule="exact"/>
        <w:rPr>
          <w:sz w:val="20"/>
          <w:szCs w:val="20"/>
          <w:color w:val="auto"/>
        </w:rPr>
      </w:pPr>
    </w:p>
    <w:p>
      <w:pPr>
        <w:ind w:left="800" w:hanging="749"/>
        <w:spacing w:after="0" w:line="239" w:lineRule="auto"/>
        <w:tabs>
          <w:tab w:leader="none" w:pos="780" w:val="left"/>
        </w:tabs>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u w:val="single" w:color="auto"/>
            <w:color w:val="0000FF"/>
          </w:rPr>
          <w:t>10.35†</w:t>
        </w:r>
      </w:hyperlink>
      <w:r>
        <w:rPr>
          <w:rFonts w:ascii="Times New Roman" w:cs="Times New Roman" w:eastAsia="Times New Roman" w:hAnsi="Times New Roman"/>
          <w:sz w:val="14"/>
          <w:szCs w:val="14"/>
          <w:color w:val="0000FF"/>
        </w:rPr>
        <w:tab/>
        <w:t>Form of LivaNova PLC 2022 Incentive Award Plan Performance Stock Unit Award Grant Notice and Agreement, effective February 2023, incorporated by reference to Exhibit 10.3 of the Company’s Quarterly Report on Form 10-Q for the quarter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-200660</wp:posOffset>
            </wp:positionV>
            <wp:extent cx="7161530" cy="2089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5">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800" w:hanging="749"/>
        <w:spacing w:after="0" w:line="239" w:lineRule="auto"/>
        <w:tabs>
          <w:tab w:leader="none" w:pos="780" w:val="left"/>
        </w:tabs>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u w:val="single" w:color="auto"/>
            <w:color w:val="0000FF"/>
          </w:rPr>
          <w:t>10.36†</w:t>
        </w:r>
      </w:hyperlink>
      <w:r>
        <w:rPr>
          <w:rFonts w:ascii="Times New Roman" w:cs="Times New Roman" w:eastAsia="Times New Roman" w:hAnsi="Times New Roman"/>
          <w:sz w:val="14"/>
          <w:szCs w:val="14"/>
          <w:color w:val="0000FF"/>
        </w:rPr>
        <w:tab/>
        <w:t>Amendment to Form of LivaNova PLC 2022 Incentive Award Plan Stock Appreciation Right Grant Notice and Agreement, incorporated by reference to Exhibit 10.51 of the Company’s Annual Report on Form 10-K for the year ended December 31, 2022</w:t>
      </w:r>
    </w:p>
    <w:p>
      <w:pPr>
        <w:spacing w:after="0" w:line="8" w:lineRule="exact"/>
        <w:rPr>
          <w:sz w:val="20"/>
          <w:szCs w:val="20"/>
          <w:color w:val="auto"/>
        </w:rPr>
      </w:pPr>
    </w:p>
    <w:p>
      <w:pPr>
        <w:ind w:left="800" w:hanging="749"/>
        <w:spacing w:after="0" w:line="239" w:lineRule="auto"/>
        <w:tabs>
          <w:tab w:leader="none" w:pos="780" w:val="left"/>
        </w:tabs>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u w:val="single" w:color="auto"/>
            <w:color w:val="0000FF"/>
          </w:rPr>
          <w:t>10.37†</w:t>
        </w:r>
      </w:hyperlink>
      <w:r>
        <w:rPr>
          <w:rFonts w:ascii="Times New Roman" w:cs="Times New Roman" w:eastAsia="Times New Roman" w:hAnsi="Times New Roman"/>
          <w:sz w:val="14"/>
          <w:szCs w:val="14"/>
          <w:color w:val="0000FF"/>
        </w:rPr>
        <w:tab/>
        <w:t>Amendment to Form of LivaNova PLC 2022 Incentive Award Plan Restricted Stock Unit Award Grant Notice and Agreement, incorporated by reference to Exhibit 10.52 of the Company’s Annual Report on Form 10-K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-200660</wp:posOffset>
            </wp:positionV>
            <wp:extent cx="7161530" cy="2089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8">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800" w:hanging="749"/>
        <w:spacing w:after="0" w:line="239" w:lineRule="auto"/>
        <w:tabs>
          <w:tab w:leader="none" w:pos="780" w:val="left"/>
        </w:tabs>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u w:val="single" w:color="auto"/>
            <w:color w:val="0000FF"/>
          </w:rPr>
          <w:t>10.38†</w:t>
        </w:r>
      </w:hyperlink>
      <w:r>
        <w:rPr>
          <w:rFonts w:ascii="Times New Roman" w:cs="Times New Roman" w:eastAsia="Times New Roman" w:hAnsi="Times New Roman"/>
          <w:sz w:val="14"/>
          <w:szCs w:val="14"/>
          <w:color w:val="0000FF"/>
        </w:rPr>
        <w:tab/>
        <w:t>Amendment to Form of LivaNova PLC 2022 Incentive Award Plan Performance Stock Unit Award Grant Notice and Agreement, incorporated by reference to Exhibit 10.53 of the Company’s Annual Report on Form 10-K for the year ended December 31, 2022</w:t>
      </w:r>
    </w:p>
    <w:p>
      <w:pPr>
        <w:spacing w:after="0" w:line="8" w:lineRule="exact"/>
        <w:rPr>
          <w:sz w:val="20"/>
          <w:szCs w:val="20"/>
          <w:color w:val="auto"/>
        </w:rPr>
      </w:pPr>
    </w:p>
    <w:p>
      <w:pPr>
        <w:ind w:left="60"/>
        <w:spacing w:after="0"/>
        <w:tabs>
          <w:tab w:leader="none" w:pos="780" w:val="left"/>
        </w:tabs>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u w:val="single" w:color="auto"/>
            <w:color w:val="0000FF"/>
          </w:rPr>
          <w:t>10.39†</w:t>
        </w:r>
      </w:hyperlink>
      <w:r>
        <w:rPr>
          <w:rFonts w:ascii="Times New Roman" w:cs="Times New Roman" w:eastAsia="Times New Roman" w:hAnsi="Times New Roman"/>
          <w:sz w:val="14"/>
          <w:szCs w:val="14"/>
          <w:color w:val="0000FF"/>
        </w:rPr>
        <w:tab/>
        <w:t>Amended and Restated LivaNova PLC 2022 Incentive Award Plan, incorporated by reference to Exhibit 10.1 of the Company’s Current Report on Form 8-K, filed on June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-99060</wp:posOffset>
            </wp:positionV>
            <wp:extent cx="7161530" cy="114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ind w:left="800" w:hanging="749"/>
        <w:spacing w:after="0" w:line="237" w:lineRule="auto"/>
        <w:tabs>
          <w:tab w:leader="none" w:pos="780" w:val="left"/>
        </w:tabs>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u w:val="single" w:color="auto"/>
            <w:color w:val="0000FF"/>
          </w:rPr>
          <w:t>10.40†</w:t>
        </w:r>
      </w:hyperlink>
      <w:r>
        <w:rPr>
          <w:rFonts w:ascii="Times New Roman" w:cs="Times New Roman" w:eastAsia="Times New Roman" w:hAnsi="Times New Roman"/>
          <w:sz w:val="14"/>
          <w:szCs w:val="14"/>
          <w:color w:val="0000FF"/>
        </w:rPr>
        <w:tab/>
        <w:t>Amendment No. 1 to the Amended and Restated LivaNova PLC 2022 Incentive Award Plan, incorporated by reference to Exhibit 10.1 of the Company’s Current Report on Form 8-K, filed on June 12, 2024</w:t>
      </w:r>
    </w:p>
    <w:p>
      <w:pPr>
        <w:spacing w:after="0" w:line="7" w:lineRule="exact"/>
        <w:rPr>
          <w:sz w:val="20"/>
          <w:szCs w:val="20"/>
          <w:color w:val="auto"/>
        </w:rPr>
      </w:pPr>
    </w:p>
    <w:p>
      <w:pPr>
        <w:ind w:left="800" w:hanging="749"/>
        <w:spacing w:after="0" w:line="239" w:lineRule="auto"/>
        <w:tabs>
          <w:tab w:leader="none" w:pos="780" w:val="left"/>
        </w:tabs>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u w:val="single" w:color="auto"/>
            <w:color w:val="0000FF"/>
          </w:rPr>
          <w:t>10.41†</w:t>
        </w:r>
      </w:hyperlink>
      <w:r>
        <w:rPr>
          <w:rFonts w:ascii="Times New Roman" w:cs="Times New Roman" w:eastAsia="Times New Roman" w:hAnsi="Times New Roman"/>
          <w:sz w:val="14"/>
          <w:szCs w:val="14"/>
          <w:color w:val="0000FF"/>
        </w:rPr>
        <w:tab/>
        <w:t>Michael Hutchinson Employment Agreement, dated November 2, 2022 incorporated by reference to Exhibit 10.55 of the Company’s Annual Report on Form 10-K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-200660</wp:posOffset>
            </wp:positionV>
            <wp:extent cx="7161530" cy="2089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4">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60"/>
        <w:spacing w:after="0"/>
        <w:tabs>
          <w:tab w:leader="none" w:pos="780" w:val="left"/>
        </w:tabs>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u w:val="single" w:color="auto"/>
            <w:color w:val="0000FF"/>
          </w:rPr>
          <w:t>10.42†</w:t>
        </w:r>
      </w:hyperlink>
      <w:r>
        <w:rPr>
          <w:rFonts w:ascii="Times New Roman" w:cs="Times New Roman" w:eastAsia="Times New Roman" w:hAnsi="Times New Roman"/>
          <w:sz w:val="14"/>
          <w:szCs w:val="14"/>
          <w:color w:val="0000FF"/>
        </w:rPr>
        <w:tab/>
        <w:t>William Kozy Offer Letter, dated April 19, 2023, incorporated by reference to Exhibit 10.26 of the Company’s Quarterly Report on Form 10-Q for the quarter ended June 30, 2023</w:t>
      </w:r>
    </w:p>
    <w:p>
      <w:pPr>
        <w:spacing w:after="0" w:line="12" w:lineRule="exact"/>
        <w:rPr>
          <w:sz w:val="20"/>
          <w:szCs w:val="20"/>
          <w:color w:val="auto"/>
        </w:rPr>
      </w:pPr>
    </w:p>
    <w:p>
      <w:pPr>
        <w:ind w:left="60"/>
        <w:spacing w:after="0"/>
        <w:tabs>
          <w:tab w:leader="none" w:pos="780" w:val="left"/>
        </w:tabs>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u w:val="single" w:color="auto"/>
            <w:color w:val="0000FF"/>
          </w:rPr>
          <w:t>10.43†</w:t>
        </w:r>
      </w:hyperlink>
      <w:r>
        <w:rPr>
          <w:rFonts w:ascii="Times New Roman" w:cs="Times New Roman" w:eastAsia="Times New Roman" w:hAnsi="Times New Roman"/>
          <w:sz w:val="14"/>
          <w:szCs w:val="14"/>
          <w:color w:val="0000FF"/>
        </w:rPr>
        <w:tab/>
        <w:t>Vladimir Makatsaria Employment Agreement, dated February 1, 2024, incorporated by reference to Exhibit 10.1 of the Company’s Quarterly Report on Form 10-Q, filed on May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-94615</wp:posOffset>
            </wp:positionV>
            <wp:extent cx="7161530" cy="2089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7">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4"/>
          <w:szCs w:val="14"/>
          <w:color w:val="auto"/>
        </w:rPr>
        <w:t>2024</w:t>
      </w:r>
    </w:p>
    <w:p>
      <w:pPr>
        <w:spacing w:after="0" w:line="14"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4"/>
          <w:szCs w:val="14"/>
          <w:u w:val="single" w:color="auto"/>
          <w:color w:val="0000FF"/>
        </w:rPr>
        <w:t>10.44*†</w:t>
      </w:r>
      <w:r>
        <w:rPr>
          <w:sz w:val="20"/>
          <w:szCs w:val="20"/>
          <w:color w:val="auto"/>
        </w:rPr>
        <w:tab/>
      </w:r>
      <w:r>
        <w:rPr>
          <w:rFonts w:ascii="Times New Roman" w:cs="Times New Roman" w:eastAsia="Times New Roman" w:hAnsi="Times New Roman"/>
          <w:sz w:val="14"/>
          <w:szCs w:val="14"/>
          <w:color w:val="auto"/>
        </w:rPr>
        <w:t>Ahmet Tezel Employment Agreement, dated April 2024</w:t>
      </w:r>
    </w:p>
    <w:p>
      <w:pPr>
        <w:spacing w:after="0" w:line="23"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4"/>
          <w:szCs w:val="14"/>
          <w:u w:val="single" w:color="auto"/>
          <w:color w:val="0000FF"/>
        </w:rPr>
        <w:t>10.45*†</w:t>
      </w:r>
      <w:r>
        <w:rPr>
          <w:sz w:val="20"/>
          <w:szCs w:val="20"/>
          <w:color w:val="auto"/>
        </w:rPr>
        <w:tab/>
      </w:r>
      <w:r>
        <w:rPr>
          <w:rFonts w:ascii="Times New Roman" w:cs="Times New Roman" w:eastAsia="Times New Roman" w:hAnsi="Times New Roman"/>
          <w:sz w:val="14"/>
          <w:szCs w:val="14"/>
          <w:color w:val="auto"/>
        </w:rPr>
        <w:t>Franco Poletti Employment Agreement, dated July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-101600</wp:posOffset>
            </wp:positionV>
            <wp:extent cx="7161530" cy="114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tabs>
          <w:tab w:leader="none" w:pos="780" w:val="left"/>
        </w:tabs>
        <w:rPr>
          <w:sz w:val="20"/>
          <w:szCs w:val="20"/>
          <w:color w:val="auto"/>
        </w:rPr>
      </w:pPr>
      <w:r>
        <w:rPr>
          <w:rFonts w:ascii="Times New Roman" w:cs="Times New Roman" w:eastAsia="Times New Roman" w:hAnsi="Times New Roman"/>
          <w:sz w:val="14"/>
          <w:szCs w:val="14"/>
          <w:u w:val="single" w:color="auto"/>
          <w:color w:val="0000FF"/>
        </w:rPr>
        <w:t>19.1*</w:t>
      </w:r>
      <w:r>
        <w:rPr>
          <w:sz w:val="20"/>
          <w:szCs w:val="20"/>
          <w:color w:val="auto"/>
        </w:rPr>
        <w:tab/>
      </w:r>
      <w:r>
        <w:rPr>
          <w:rFonts w:ascii="Times New Roman" w:cs="Times New Roman" w:eastAsia="Times New Roman" w:hAnsi="Times New Roman"/>
          <w:sz w:val="14"/>
          <w:szCs w:val="14"/>
          <w:color w:val="auto"/>
        </w:rPr>
        <w:t>LivaNova Insider Trading Policy</w:t>
      </w:r>
    </w:p>
    <w:p>
      <w:pPr>
        <w:spacing w:after="0" w:line="19" w:lineRule="exact"/>
        <w:rPr>
          <w:sz w:val="20"/>
          <w:szCs w:val="20"/>
          <w:color w:val="auto"/>
        </w:rPr>
      </w:pPr>
    </w:p>
    <w:p>
      <w:pPr>
        <w:ind w:left="100"/>
        <w:spacing w:after="0"/>
        <w:tabs>
          <w:tab w:leader="none" w:pos="780" w:val="left"/>
        </w:tabs>
        <w:rPr>
          <w:sz w:val="20"/>
          <w:szCs w:val="20"/>
          <w:color w:val="auto"/>
        </w:rPr>
      </w:pPr>
      <w:r>
        <w:rPr>
          <w:rFonts w:ascii="Times New Roman" w:cs="Times New Roman" w:eastAsia="Times New Roman" w:hAnsi="Times New Roman"/>
          <w:sz w:val="14"/>
          <w:szCs w:val="14"/>
          <w:u w:val="single" w:color="auto"/>
          <w:color w:val="0000FF"/>
        </w:rPr>
        <w:t>21.1*</w:t>
      </w:r>
      <w:r>
        <w:rPr>
          <w:sz w:val="20"/>
          <w:szCs w:val="20"/>
          <w:color w:val="auto"/>
        </w:rPr>
        <w:tab/>
      </w:r>
      <w:r>
        <w:rPr>
          <w:rFonts w:ascii="Times New Roman" w:cs="Times New Roman" w:eastAsia="Times New Roman" w:hAnsi="Times New Roman"/>
          <w:sz w:val="14"/>
          <w:szCs w:val="14"/>
          <w:color w:val="auto"/>
        </w:rPr>
        <w:t>List of Subsidiaries of LivaNova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-101600</wp:posOffset>
            </wp:positionV>
            <wp:extent cx="7161530" cy="114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tabs>
          <w:tab w:leader="none" w:pos="780" w:val="left"/>
        </w:tabs>
        <w:rPr>
          <w:sz w:val="20"/>
          <w:szCs w:val="20"/>
          <w:color w:val="auto"/>
        </w:rPr>
      </w:pPr>
      <w:r>
        <w:rPr>
          <w:rFonts w:ascii="Times New Roman" w:cs="Times New Roman" w:eastAsia="Times New Roman" w:hAnsi="Times New Roman"/>
          <w:sz w:val="14"/>
          <w:szCs w:val="14"/>
          <w:u w:val="single" w:color="auto"/>
          <w:color w:val="0000FF"/>
        </w:rPr>
        <w:t>23.1*</w:t>
      </w:r>
      <w:r>
        <w:rPr>
          <w:sz w:val="20"/>
          <w:szCs w:val="20"/>
          <w:color w:val="auto"/>
        </w:rPr>
        <w:tab/>
      </w:r>
      <w:r>
        <w:rPr>
          <w:rFonts w:ascii="Times New Roman" w:cs="Times New Roman" w:eastAsia="Times New Roman" w:hAnsi="Times New Roman"/>
          <w:sz w:val="14"/>
          <w:szCs w:val="14"/>
          <w:color w:val="auto"/>
        </w:rPr>
        <w:t>Consent of PricewaterhouseCoopers LLP</w:t>
      </w: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116840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500" w:top="839" w:right="339" w:bottom="1440" w:gutter="0" w:footer="0" w:header="0"/>
        </w:sectPr>
      </w:pPr>
    </w:p>
    <w:bookmarkStart w:id="52" w:name="page53"/>
    <w:bookmarkEnd w:id="52"/>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1212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4"/>
          <w:szCs w:val="14"/>
          <w:u w:val="single" w:color="auto"/>
          <w:color w:val="0000FF"/>
        </w:rPr>
        <w:t>31.1*</w:t>
      </w:r>
      <w:r>
        <w:rPr>
          <w:sz w:val="20"/>
          <w:szCs w:val="20"/>
          <w:color w:val="auto"/>
        </w:rPr>
        <w:tab/>
      </w:r>
      <w:r>
        <w:rPr>
          <w:rFonts w:ascii="Times New Roman" w:cs="Times New Roman" w:eastAsia="Times New Roman" w:hAnsi="Times New Roman"/>
          <w:sz w:val="14"/>
          <w:szCs w:val="14"/>
          <w:color w:val="auto"/>
        </w:rPr>
        <w:t>Certification of the Chief Executive Officer of LivaNova PLC pursuant to Section 302 of the Sarbanes-Oxley Act of 2002</w:t>
      </w:r>
    </w:p>
    <w:p>
      <w:pPr>
        <w:spacing w:after="0" w:line="23"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4"/>
          <w:szCs w:val="14"/>
          <w:u w:val="single" w:color="auto"/>
          <w:color w:val="0000FF"/>
        </w:rPr>
        <w:t>31.2*</w:t>
      </w:r>
      <w:r>
        <w:rPr>
          <w:sz w:val="20"/>
          <w:szCs w:val="20"/>
          <w:color w:val="auto"/>
        </w:rPr>
        <w:tab/>
      </w:r>
      <w:r>
        <w:rPr>
          <w:rFonts w:ascii="Times New Roman" w:cs="Times New Roman" w:eastAsia="Times New Roman" w:hAnsi="Times New Roman"/>
          <w:sz w:val="14"/>
          <w:szCs w:val="14"/>
          <w:color w:val="auto"/>
        </w:rPr>
        <w:t>Certification of the Chief Financial Officer of LivaNova PLC pursuant to Section 302 of the Sarbanes-Oxley Act of 2002</w:t>
      </w:r>
    </w:p>
    <w:p>
      <w:pPr>
        <w:spacing w:after="0" w:line="9"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4"/>
          <w:szCs w:val="14"/>
          <w:u w:val="single" w:color="auto"/>
          <w:color w:val="0000FF"/>
        </w:rPr>
        <w:t>32.1*</w:t>
      </w:r>
      <w:r>
        <w:rPr>
          <w:sz w:val="20"/>
          <w:szCs w:val="20"/>
          <w:color w:val="auto"/>
        </w:rPr>
        <w:tab/>
      </w:r>
      <w:r>
        <w:rPr>
          <w:rFonts w:ascii="Times New Roman" w:cs="Times New Roman" w:eastAsia="Times New Roman" w:hAnsi="Times New Roman"/>
          <w:sz w:val="14"/>
          <w:szCs w:val="14"/>
          <w:color w:val="auto"/>
        </w:rPr>
        <w:t>Certification of the Chief Executive Officer and of the Chief Financial Officer pursuant to 18 U.S.C. Section 1350, as adopted pursuant to Section 906 of the Sarbanes-Oxley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2089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2">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4"/>
          <w:szCs w:val="14"/>
          <w:color w:val="auto"/>
        </w:rPr>
        <w:t>2002.</w:t>
      </w:r>
    </w:p>
    <w:p>
      <w:pPr>
        <w:spacing w:after="0" w:line="14"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4"/>
          <w:szCs w:val="14"/>
          <w:u w:val="single" w:color="auto"/>
          <w:color w:val="0000FF"/>
        </w:rPr>
        <w:t>97.1*</w:t>
      </w:r>
      <w:r>
        <w:rPr>
          <w:sz w:val="20"/>
          <w:szCs w:val="20"/>
          <w:color w:val="auto"/>
        </w:rPr>
        <w:tab/>
      </w:r>
      <w:r>
        <w:rPr>
          <w:rFonts w:ascii="Times New Roman" w:cs="Times New Roman" w:eastAsia="Times New Roman" w:hAnsi="Times New Roman"/>
          <w:sz w:val="14"/>
          <w:szCs w:val="14"/>
          <w:color w:val="auto"/>
        </w:rPr>
        <w:t>LivaNova Incentive Compensation Clawback Policy, adopted July 19, 2023</w:t>
      </w:r>
    </w:p>
    <w:p>
      <w:pPr>
        <w:spacing w:after="0" w:line="23" w:lineRule="exact"/>
        <w:rPr>
          <w:sz w:val="20"/>
          <w:szCs w:val="20"/>
          <w:color w:val="auto"/>
        </w:rPr>
      </w:pPr>
    </w:p>
    <w:p>
      <w:pPr>
        <w:jc w:val="both"/>
        <w:ind w:left="1000" w:right="20" w:hanging="699"/>
        <w:spacing w:after="0" w:line="222" w:lineRule="auto"/>
        <w:tabs>
          <w:tab w:leader="none" w:pos="98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color w:val="auto"/>
        </w:rPr>
        <w:t>Interactive Data Files Pursuant to Rule 405 of Regulation S-T formatted in Inline XBRL: (i) the Consolidated Statements of Income (Loss) for the years ended December 31, 2024, December 31, 2023 and December 31, 2022, (ii) the Consolidated Statements of Comprehensive Income (Loss) for the years ended December 31, 2024, December 31, 2023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161530" cy="4781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3">
                      <a:extLst>
                        <a:ext uri="{28A0092B-C50C-407E-A947-70E740481C1C}"/>
                      </a:extLst>
                    </a:blip>
                    <a:srcRect/>
                    <a:stretch>
                      <a:fillRect/>
                    </a:stretch>
                  </pic:blipFill>
                  <pic:spPr bwMode="auto">
                    <a:xfrm>
                      <a:off x="0" y="0"/>
                      <a:ext cx="7161530" cy="478155"/>
                    </a:xfrm>
                    <a:prstGeom prst="rect">
                      <a:avLst/>
                    </a:prstGeom>
                    <a:noFill/>
                  </pic:spPr>
                </pic:pic>
              </a:graphicData>
            </a:graphic>
          </wp:anchor>
        </w:drawing>
      </w:r>
    </w:p>
    <w:p>
      <w:pPr>
        <w:jc w:val="both"/>
        <w:ind w:left="1000" w:right="20"/>
        <w:spacing w:after="0" w:line="220" w:lineRule="auto"/>
        <w:rPr>
          <w:sz w:val="20"/>
          <w:szCs w:val="20"/>
          <w:color w:val="auto"/>
        </w:rPr>
      </w:pPr>
      <w:r>
        <w:rPr>
          <w:rFonts w:ascii="Times New Roman" w:cs="Times New Roman" w:eastAsia="Times New Roman" w:hAnsi="Times New Roman"/>
          <w:sz w:val="14"/>
          <w:szCs w:val="14"/>
          <w:color w:val="auto"/>
        </w:rPr>
        <w:t>December 31, 2022, (iii) the Consolidated Balance Sheets as of December 31, 2024 and December 31, 2023, (iv) the Consolidated Statements of Stockholders’ Equity for the years ended December 31, 2024, December 31, 2023 and December 31, 2022, (v) the Consolidated Statements of Cash Flows for the years ended December 31, 2024, December 31, 2023 and December 31, 2022, and (vi) the Notes to the Consolidated Financial Statements.</w:t>
      </w:r>
    </w:p>
    <w:p>
      <w:pPr>
        <w:spacing w:after="0" w:line="8"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as Inline XBRL and contained in Exhibit 101)</w:t>
      </w:r>
    </w:p>
    <w:p>
      <w:pPr>
        <w:spacing w:after="0" w:line="1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agreements and other documents filed as exhibits to this Report are not intended to provide factual information or other disclosure other than the terms of the agreements or other documents themselves, and readers should not rely on them for that purpose. In particular, any representations and warranties made by the Company in these agreements or other documents were made solely within the specific context of the relevant agreement or document and may not describe the actual state of affairs at the date they were made or at any other time.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9"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87"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480" w:type="dxa"/>
            <w:vAlign w:val="bottom"/>
          </w:tcPr>
          <w:p>
            <w:pPr>
              <w:spacing w:after="0"/>
              <w:rPr>
                <w:sz w:val="16"/>
                <w:szCs w:val="16"/>
                <w:color w:val="auto"/>
              </w:rPr>
            </w:pP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LIVANOVA PLC</w:t>
            </w:r>
          </w:p>
        </w:tc>
      </w:tr>
      <w:tr>
        <w:trPr>
          <w:trHeight w:val="647"/>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25, 2025</w:t>
            </w: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VLADIMIR MAKATSARIA</w:t>
            </w:r>
          </w:p>
        </w:tc>
      </w:tr>
      <w:tr>
        <w:trPr>
          <w:trHeight w:val="175"/>
        </w:trPr>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Vladimir Makatsaria</w:t>
            </w:r>
          </w:p>
        </w:tc>
      </w:tr>
      <w:tr>
        <w:trPr>
          <w:trHeight w:val="187"/>
        </w:trPr>
        <w:tc>
          <w:tcPr>
            <w:tcW w:w="1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202"/>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393"/>
        </w:trPr>
        <w:tc>
          <w:tcPr>
            <w:tcW w:w="1480" w:type="dxa"/>
            <w:vAlign w:val="bottom"/>
          </w:tcPr>
          <w:p>
            <w:pPr>
              <w:spacing w:after="0"/>
              <w:rPr>
                <w:sz w:val="24"/>
                <w:szCs w:val="24"/>
                <w:color w:val="auto"/>
              </w:rPr>
            </w:pP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LIVANOVA PLC</w:t>
            </w:r>
          </w:p>
        </w:tc>
      </w:tr>
      <w:tr>
        <w:trPr>
          <w:trHeight w:val="647"/>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25, 2025</w:t>
            </w: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ALEX SHVARTSBURG</w:t>
            </w:r>
          </w:p>
        </w:tc>
      </w:tr>
      <w:tr>
        <w:trPr>
          <w:trHeight w:val="175"/>
        </w:trPr>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Alex Shvartsburg</w:t>
            </w:r>
          </w:p>
        </w:tc>
      </w:tr>
      <w:tr>
        <w:trPr>
          <w:trHeight w:val="187"/>
        </w:trPr>
        <w:tc>
          <w:tcPr>
            <w:tcW w:w="1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pacing w:after="0" w:line="200" w:lineRule="exact"/>
        <w:rPr>
          <w:sz w:val="20"/>
          <w:szCs w:val="20"/>
          <w:color w:val="auto"/>
        </w:rPr>
      </w:pPr>
    </w:p>
    <w:p>
      <w:pPr>
        <w:spacing w:after="0" w:line="3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54" w:name="page55"/>
    <w:bookmarkEnd w:id="54"/>
    <w:p>
      <w:pPr>
        <w:spacing w:after="0" w:line="30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3"/>
                <w:szCs w:val="13"/>
                <w:color w:val="auto"/>
              </w:rPr>
            </w:pPr>
          </w:p>
        </w:tc>
        <w:tc>
          <w:tcPr>
            <w:tcW w:w="574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80" w:type="dxa"/>
            <w:vAlign w:val="bottom"/>
          </w:tcPr>
          <w:p>
            <w:pPr>
              <w:spacing w:after="0"/>
              <w:rPr>
                <w:sz w:val="13"/>
                <w:szCs w:val="13"/>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0" w:type="dxa"/>
            <w:vAlign w:val="bottom"/>
          </w:tcPr>
          <w:p>
            <w:pPr>
              <w:spacing w:after="0"/>
              <w:rPr>
                <w:sz w:val="1"/>
                <w:szCs w:val="1"/>
                <w:color w:val="auto"/>
              </w:rPr>
            </w:pPr>
          </w:p>
        </w:tc>
      </w:tr>
      <w:tr>
        <w:trPr>
          <w:trHeight w:val="382"/>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VLADIMIR MAKATSARIA</w:t>
            </w:r>
          </w:p>
        </w:tc>
        <w:tc>
          <w:tcPr>
            <w:tcW w:w="80" w:type="dxa"/>
            <w:vAlign w:val="bottom"/>
          </w:tcPr>
          <w:p>
            <w:pPr>
              <w:spacing w:after="0"/>
              <w:rPr>
                <w:sz w:val="24"/>
                <w:szCs w:val="24"/>
                <w:color w:val="auto"/>
              </w:rPr>
            </w:pPr>
          </w:p>
        </w:tc>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2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Vladimir Makatsaria</w:t>
            </w:r>
          </w:p>
        </w:tc>
        <w:tc>
          <w:tcPr>
            <w:tcW w:w="80" w:type="dxa"/>
            <w:vAlign w:val="bottom"/>
          </w:tcPr>
          <w:p>
            <w:pPr>
              <w:spacing w:after="0"/>
              <w:rPr>
                <w:sz w:val="16"/>
                <w:szCs w:val="16"/>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382"/>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ALEX SHVARTSBURG</w:t>
            </w:r>
          </w:p>
        </w:tc>
        <w:tc>
          <w:tcPr>
            <w:tcW w:w="80" w:type="dxa"/>
            <w:vAlign w:val="bottom"/>
          </w:tcPr>
          <w:p>
            <w:pPr>
              <w:spacing w:after="0"/>
              <w:rPr>
                <w:sz w:val="24"/>
                <w:szCs w:val="24"/>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Alex Shvartsburg</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382"/>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WILLIAM A. KOZY</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William A. Kozy</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Chair of the Board of Directors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541"/>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 CHRISTOPHER BARRY</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 Christopher Barry</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541"/>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FRANCESCO BIANCHI</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Francesco Bianchi</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541"/>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STACY ENXING SENG</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Stacy Enxing Seng</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541"/>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SHARON O’KANE</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Sharon O’Kane, Ph.D.</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552"/>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SUSAN PODLOGAR</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Susan Podlogar</w:t>
            </w:r>
          </w:p>
        </w:tc>
        <w:tc>
          <w:tcPr>
            <w:tcW w:w="80" w:type="dxa"/>
            <w:vAlign w:val="bottom"/>
          </w:tcPr>
          <w:p>
            <w:pPr>
              <w:spacing w:after="0"/>
              <w:rPr>
                <w:sz w:val="16"/>
                <w:szCs w:val="16"/>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541"/>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TODD C. SCHERMERHORN</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Todd C. Schermerhorn</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541"/>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BROOKE STORY</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Brooke Story</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541"/>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PETER M. WILVER</w:t>
            </w: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Peter M. Wilver</w:t>
            </w:r>
          </w:p>
        </w:tc>
        <w:tc>
          <w:tcPr>
            <w:tcW w:w="80" w:type="dxa"/>
            <w:vAlign w:val="bottom"/>
          </w:tcPr>
          <w:p>
            <w:pPr>
              <w:spacing w:after="0"/>
              <w:rPr>
                <w:sz w:val="15"/>
                <w:szCs w:val="15"/>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LivaNova PLC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LivaNova PLC and its subsidiaries (the "Company") as of December 31, 2024 and 2023, and the related consolidated statements of income (loss), of comprehensive income (loss),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Control - Integrated Framework </w:t>
      </w:r>
      <w:r>
        <w:rPr>
          <w:rFonts w:ascii="Times New Roman" w:cs="Times New Roman" w:eastAsia="Times New Roman" w:hAnsi="Times New Roman"/>
          <w:sz w:val="14"/>
          <w:szCs w:val="14"/>
          <w:color w:val="auto"/>
        </w:rPr>
        <w:t>(2013) issued by the Committee of Sponsoring Organizations of the Treadway Commission (COSO).</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w:t>
      </w:r>
      <w:r>
        <w:rPr>
          <w:rFonts w:ascii="Times New Roman" w:cs="Times New Roman" w:eastAsia="Times New Roman" w:hAnsi="Times New Roman"/>
          <w:sz w:val="14"/>
          <w:szCs w:val="14"/>
          <w:color w:val="auto"/>
        </w:rPr>
        <w:t>(2013) issued by the COSO.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 Impairment Assessment – Cardiopulmonary (CP) Reporting Unit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described in Notes 2 and 5 to the consolidated financial statements, the Company’s consolidated goodwill balance was $750.0 million as of December 31, 2024, and the amount of goodwill associated with the CP reporting unit was $351.3 million. Management conducts impairment testing of goodwill on October 1st each year. If management determines that goodwill is more-likely-than-not impaired, management compares the fair value of the reporting unit to its carrying amount, including goodwill. Fair value refers to the price that would be received if management were to sell the unit as a whole in an orderly transaction. Fair value is estimated using a discounted cash flow model and requires various assumptions, including revenue growth rates and discount rates.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goodwill impairment assessment of the CP reporting unit is a critical audit matter are (i) the significant judgment by management when developing the fair value estimate of the CP reporting unit; (ii) a high degree of auditor judgment, subjectivity, and effort in performing procedures and evaluating management’s significant assumptions relating to revenue growth rates and the discount rate; and (iii) the audit effort involved the use of professionals with specialized skill and knowledge.</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CP reporting unit. These procedures also included, among others (i) testing management’s process for developing the fair value estimate of the reporting unit; (ii) evaluating the appropriateness of the discounted cash flow model; (iii) testing the completeness and accuracy of underlying data used in the discounted cash flow model; and (iv) evaluating the reasonableness of the significant assumptions used by management related to revenue growth rates and the discount rate. Evaluating management’s assumptions related to revenue growth rates involved evaluating whether the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the evaluating (i) the appropriateness of the discounted cash flow model and (ii) the reasonableness of the discount rate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2025</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2018.</w:t>
      </w:r>
    </w:p>
    <w:p>
      <w:pPr>
        <w:spacing w:after="0" w:line="2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7"/>
          <w:szCs w:val="17"/>
          <w:b w:val="1"/>
          <w:bCs w:val="1"/>
          <w:color w:val="auto"/>
        </w:rPr>
        <w:t>LIVANOVA PLC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INCOME (LOSS)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per share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71"/>
        </w:trPr>
        <w:tc>
          <w:tcPr>
            <w:tcW w:w="57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1,253,437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1,153,545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1,021,805</w:t>
            </w:r>
          </w:p>
        </w:tc>
      </w:tr>
      <w:tr>
        <w:trPr>
          <w:trHeight w:val="18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382,564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382,295</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314,577</w:t>
            </w:r>
          </w:p>
        </w:tc>
      </w:tr>
      <w:tr>
        <w:trPr>
          <w:trHeight w:val="171"/>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profit</w:t>
            </w:r>
          </w:p>
        </w:tc>
        <w:tc>
          <w:tcPr>
            <w:tcW w:w="1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870,873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771,250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707,228</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526,265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518,129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469,243</w:t>
            </w:r>
          </w:p>
        </w:tc>
      </w:tr>
      <w:tr>
        <w:trPr>
          <w:trHeight w:val="180"/>
        </w:trPr>
        <w:tc>
          <w:tcPr>
            <w:tcW w:w="5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193,817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155,805</w:t>
            </w:r>
          </w:p>
        </w:tc>
      </w:tr>
      <w:tr>
        <w:trPr>
          <w:trHeight w:val="18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of goodwill</w:t>
            </w:r>
          </w:p>
        </w:tc>
        <w:tc>
          <w:tcPr>
            <w:tcW w:w="1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129,396</w:t>
            </w:r>
          </w:p>
        </w:tc>
      </w:tr>
      <w:tr>
        <w:trPr>
          <w:trHeight w:val="180"/>
        </w:trPr>
        <w:tc>
          <w:tcPr>
            <w:tcW w:w="5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89,974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37,828</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29,536</w:t>
            </w:r>
          </w:p>
        </w:tc>
      </w:tr>
      <w:tr>
        <w:trPr>
          <w:trHeight w:val="171"/>
        </w:trPr>
        <w:tc>
          <w:tcPr>
            <w:tcW w:w="5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income (loss)</w:t>
            </w:r>
          </w:p>
        </w:tc>
        <w:tc>
          <w:tcPr>
            <w:tcW w:w="1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(76,752)</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(48,250)</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46,125</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49,860</w:t>
            </w:r>
          </w:p>
        </w:tc>
      </w:tr>
      <w:tr>
        <w:trPr>
          <w:trHeight w:val="171"/>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before tax</w:t>
            </w:r>
          </w:p>
        </w:tc>
        <w:tc>
          <w:tcPr>
            <w:tcW w:w="1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(81,226)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(75,142)</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(98,876)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w:t>
            </w:r>
          </w:p>
        </w:tc>
      </w:tr>
      <w:tr>
        <w:trPr>
          <w:trHeight w:val="18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from equity method investments</w:t>
            </w: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96"/>
        </w:trPr>
        <w:tc>
          <w:tcPr>
            <w:tcW w:w="5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17,546</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(86,246)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income (loss) per share</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income (loss) per share</w:t>
            </w:r>
          </w:p>
        </w:tc>
        <w:tc>
          <w:tcPr>
            <w:tcW w:w="11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212"/>
        </w:trPr>
        <w:tc>
          <w:tcPr>
            <w:tcW w:w="5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used in computing basic income (loss) per share</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53,939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53,472</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used in computing diluted income (loss) per share</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54,212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6"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7"/>
          <w:szCs w:val="17"/>
          <w:b w:val="1"/>
          <w:bCs w:val="1"/>
          <w:color w:val="auto"/>
        </w:rPr>
        <w:t>LIVANOVA PLC AND SUBSIDIARIES</w:t>
      </w:r>
    </w:p>
    <w:p>
      <w:pPr>
        <w:jc w:val="center"/>
        <w:spacing w:after="0" w:line="228" w:lineRule="auto"/>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71"/>
        </w:trPr>
        <w:tc>
          <w:tcPr>
            <w:tcW w:w="61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(86,246)</w:t>
            </w: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Unrealized (loss) gain on cash flow hedges</w:t>
            </w:r>
          </w:p>
        </w:tc>
        <w:tc>
          <w:tcPr>
            <w:tcW w:w="10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r>
      <w:tr>
        <w:trPr>
          <w:trHeight w:val="180"/>
        </w:trPr>
        <w:tc>
          <w:tcPr>
            <w:tcW w:w="6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effect</w:t>
            </w:r>
          </w:p>
        </w:tc>
        <w:tc>
          <w:tcPr>
            <w:tcW w:w="10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1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10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r>
      <w:tr>
        <w:trPr>
          <w:trHeight w:val="180"/>
        </w:trPr>
        <w:tc>
          <w:tcPr>
            <w:tcW w:w="6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 net of tax</w:t>
            </w:r>
          </w:p>
        </w:tc>
        <w:tc>
          <w:tcPr>
            <w:tcW w:w="10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(42,853)</w:t>
            </w:r>
          </w:p>
        </w:tc>
      </w:tr>
      <w:tr>
        <w:trPr>
          <w:trHeight w:val="171"/>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(loss) income</w:t>
            </w:r>
          </w:p>
        </w:tc>
        <w:tc>
          <w:tcPr>
            <w:tcW w:w="10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20,236</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(40,942)</w:t>
            </w:r>
          </w:p>
        </w:tc>
      </w:tr>
      <w:tr>
        <w:trPr>
          <w:trHeight w:val="171"/>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37,782</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(127,188)</w:t>
            </w:r>
          </w:p>
        </w:tc>
      </w:tr>
      <w:tr>
        <w:trPr>
          <w:trHeight w:val="20"/>
        </w:trPr>
        <w:tc>
          <w:tcPr>
            <w:tcW w:w="6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2"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color w:val="auto"/>
        </w:rPr>
        <w:t>LIVANOVA PLC AND SUBSIDIARIES</w:t>
      </w:r>
    </w:p>
    <w:p>
      <w:pPr>
        <w:jc w:val="center"/>
        <w:spacing w:after="0" w:line="208" w:lineRule="auto"/>
        <w:rPr>
          <w:sz w:val="20"/>
          <w:szCs w:val="20"/>
          <w:color w:val="auto"/>
        </w:rPr>
      </w:pPr>
      <w:r>
        <w:rPr>
          <w:rFonts w:ascii="Times New Roman" w:cs="Times New Roman" w:eastAsia="Times New Roman" w:hAnsi="Times New Roman"/>
          <w:sz w:val="17"/>
          <w:szCs w:val="17"/>
          <w:b w:val="1"/>
          <w:bCs w:val="1"/>
          <w:color w:val="auto"/>
        </w:rPr>
        <w:t>CONSOLIDATED BALANCE SHEETS</w:t>
      </w:r>
    </w:p>
    <w:p>
      <w:pPr>
        <w:jc w:val="center"/>
        <w:spacing w:after="0" w:line="229" w:lineRule="auto"/>
        <w:rPr>
          <w:sz w:val="20"/>
          <w:szCs w:val="20"/>
          <w:color w:val="auto"/>
        </w:rPr>
      </w:pPr>
      <w:r>
        <w:rPr>
          <w:rFonts w:ascii="Times New Roman" w:cs="Times New Roman" w:eastAsia="Times New Roman" w:hAnsi="Times New Roman"/>
          <w:sz w:val="17"/>
          <w:szCs w:val="17"/>
          <w:b w:val="1"/>
          <w:bCs w:val="1"/>
          <w:color w:val="auto"/>
        </w:rPr>
        <w:t>December 31, 2024 and 2023</w:t>
      </w: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Current Assets:</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428,858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266,504</w:t>
            </w:r>
          </w:p>
        </w:tc>
      </w:tr>
      <w:tr>
        <w:trPr>
          <w:trHeight w:val="180"/>
        </w:trPr>
        <w:tc>
          <w:tcPr>
            <w:tcW w:w="7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294,698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311,368</w:t>
            </w:r>
          </w:p>
        </w:tc>
      </w:tr>
      <w:tr>
        <w:trPr>
          <w:trHeight w:val="18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 of $11,275 at December 31, 2024 and $12,019 at December 31, 2023</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193,158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215,072</w:t>
            </w:r>
          </w:p>
        </w:tc>
      </w:tr>
      <w:tr>
        <w:trPr>
          <w:trHeight w:val="180"/>
        </w:trPr>
        <w:tc>
          <w:tcPr>
            <w:tcW w:w="7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147,566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147,887</w:t>
            </w:r>
          </w:p>
        </w:tc>
      </w:tr>
      <w:tr>
        <w:trPr>
          <w:trHeight w:val="18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and refundable taxes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30,544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20,145</w:t>
            </w:r>
          </w:p>
        </w:tc>
      </w:tr>
      <w:tr>
        <w:trPr>
          <w:trHeight w:val="180"/>
        </w:trPr>
        <w:tc>
          <w:tcPr>
            <w:tcW w:w="7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32,362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27,182</w:t>
            </w:r>
          </w:p>
        </w:tc>
      </w:tr>
      <w:tr>
        <w:trPr>
          <w:trHeight w:val="171"/>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1,127,186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988,158</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170,260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154,181</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782,941</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237,294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261,178</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50,845</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22,843</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111,855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118,858</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38,496</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14,132</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12,063</w:t>
            </w:r>
          </w:p>
        </w:tc>
      </w:tr>
      <w:tr>
        <w:trPr>
          <w:trHeight w:val="171"/>
        </w:trPr>
        <w:tc>
          <w:tcPr>
            <w:tcW w:w="7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2,506,389</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2,429,563</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42"/>
        </w:trPr>
        <w:tc>
          <w:tcPr>
            <w:tcW w:w="79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Current Liabilities: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debt obligations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18,111</w:t>
            </w:r>
          </w:p>
        </w:tc>
      </w:tr>
      <w:tr>
        <w:trPr>
          <w:trHeight w:val="180"/>
        </w:trPr>
        <w:tc>
          <w:tcPr>
            <w:tcW w:w="7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69,726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80,845</w:t>
            </w:r>
          </w:p>
        </w:tc>
      </w:tr>
      <w:tr>
        <w:trPr>
          <w:trHeight w:val="18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118,485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107,301</w:t>
            </w:r>
          </w:p>
        </w:tc>
      </w:tr>
      <w:tr>
        <w:trPr>
          <w:trHeight w:val="180"/>
        </w:trPr>
        <w:tc>
          <w:tcPr>
            <w:tcW w:w="7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litigation provision liability</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10,756</w:t>
            </w:r>
          </w:p>
        </w:tc>
      </w:tr>
      <w:tr>
        <w:trPr>
          <w:trHeight w:val="18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Taxes payable</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23,340</w:t>
            </w:r>
          </w:p>
        </w:tc>
      </w:tr>
      <w:tr>
        <w:trPr>
          <w:trHeight w:val="180"/>
        </w:trPr>
        <w:tc>
          <w:tcPr>
            <w:tcW w:w="7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Accrued employee compensation and related benefits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80,536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94,630</w:t>
            </w:r>
          </w:p>
        </w:tc>
      </w:tr>
      <w:tr>
        <w:trPr>
          <w:trHeight w:val="171"/>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392,125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334,983</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obligations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549,624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568,543</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80,902</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11,567</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45,388</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employee compensation and related benefits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17,254</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45,569</w:t>
            </w:r>
          </w:p>
        </w:tc>
      </w:tr>
      <w:tr>
        <w:trPr>
          <w:trHeight w:val="18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44,478</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47,729</w:t>
            </w:r>
          </w:p>
        </w:tc>
      </w:tr>
      <w:tr>
        <w:trPr>
          <w:trHeight w:val="171"/>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1,186,131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1,151,935</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Stockholders’ Equity:</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38"/>
        </w:trPr>
        <w:tc>
          <w:tcPr>
            <w:tcW w:w="79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Ordinary Shares, £1.00 par value: unlimited shares authorized; 54,437,670 shares issued and 54,348,542 shares outstanding at</w:t>
            </w: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9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 53,942,151 shares issued and 53,918,222 shares outstanding at December 31, 2023</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83,156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82,533</w:t>
            </w:r>
          </w:p>
        </w:tc>
      </w:tr>
      <w:tr>
        <w:trPr>
          <w:trHeight w:val="181"/>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2,220,658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2,189,517</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(80,170)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(27,883)</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(903,250)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(966,484)</w:t>
            </w:r>
          </w:p>
        </w:tc>
      </w:tr>
      <w:tr>
        <w:trPr>
          <w:trHeight w:val="18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Treasury stock at cost, 89,128 ordinary shares at December 31, 2024, 23,929 ordinary shares at December 31, 2023</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71"/>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1,320,258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1,277,628</w:t>
            </w:r>
          </w:p>
        </w:tc>
      </w:tr>
      <w:tr>
        <w:trPr>
          <w:trHeight w:val="171"/>
        </w:trPr>
        <w:tc>
          <w:tcPr>
            <w:tcW w:w="7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2,506,389</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2,429,563</w:t>
            </w:r>
          </w:p>
        </w:tc>
      </w:tr>
      <w:tr>
        <w:trPr>
          <w:trHeight w:val="20"/>
        </w:trPr>
        <w:tc>
          <w:tcPr>
            <w:tcW w:w="7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color w:val="auto"/>
        </w:rPr>
        <w:t>LIVANOVA PLC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1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8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8"/>
        </w:trPr>
        <w:tc>
          <w:tcPr>
            <w:tcW w:w="314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140" w:type="dxa"/>
            <w:vAlign w:val="bottom"/>
            <w:gridSpan w:val="3"/>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1"/>
                <w:szCs w:val="11"/>
                <w:color w:val="auto"/>
              </w:rPr>
            </w:pPr>
          </w:p>
        </w:tc>
        <w:tc>
          <w:tcPr>
            <w:tcW w:w="118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9"/>
              <w:spacing w:after="0" w:line="138"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3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1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98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53,762</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82,295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2,117,961</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(7,177)</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(897,784)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1,294,645</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39,763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40,167</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(86,246)</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(40,942)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(40,942)</w:t>
            </w:r>
          </w:p>
        </w:tc>
        <w:tc>
          <w:tcPr>
            <w:tcW w:w="0" w:type="dxa"/>
            <w:vAlign w:val="bottom"/>
          </w:tcPr>
          <w:p>
            <w:pPr>
              <w:spacing w:after="0"/>
              <w:rPr>
                <w:sz w:val="1"/>
                <w:szCs w:val="1"/>
                <w:color w:val="auto"/>
              </w:rPr>
            </w:pPr>
          </w:p>
        </w:tc>
      </w:tr>
      <w:tr>
        <w:trPr>
          <w:trHeight w:val="171"/>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53,852</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82,424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2,157,724</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(48,119)</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(984,030)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1,207,624</w:t>
            </w:r>
          </w:p>
        </w:tc>
        <w:tc>
          <w:tcPr>
            <w:tcW w:w="0" w:type="dxa"/>
            <w:vAlign w:val="bottom"/>
          </w:tcPr>
          <w:p>
            <w:pPr>
              <w:spacing w:after="0"/>
              <w:rPr>
                <w:sz w:val="1"/>
                <w:szCs w:val="1"/>
                <w:color w:val="auto"/>
              </w:rPr>
            </w:pPr>
          </w:p>
        </w:tc>
      </w:tr>
      <w:tr>
        <w:trPr>
          <w:trHeight w:val="17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32,222</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17,546</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20,236</w:t>
            </w:r>
          </w:p>
        </w:tc>
        <w:tc>
          <w:tcPr>
            <w:tcW w:w="0" w:type="dxa"/>
            <w:vAlign w:val="bottom"/>
          </w:tcPr>
          <w:p>
            <w:pPr>
              <w:spacing w:after="0"/>
              <w:rPr>
                <w:sz w:val="1"/>
                <w:szCs w:val="1"/>
                <w:color w:val="auto"/>
              </w:rPr>
            </w:pPr>
          </w:p>
        </w:tc>
      </w:tr>
      <w:tr>
        <w:trPr>
          <w:trHeight w:val="171"/>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53,942</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82,533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2,189,517</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(966,484)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1,277,628</w:t>
            </w:r>
          </w:p>
        </w:tc>
        <w:tc>
          <w:tcPr>
            <w:tcW w:w="0" w:type="dxa"/>
            <w:vAlign w:val="bottom"/>
          </w:tcPr>
          <w:p>
            <w:pPr>
              <w:spacing w:after="0"/>
              <w:rPr>
                <w:sz w:val="1"/>
                <w:szCs w:val="1"/>
                <w:color w:val="auto"/>
              </w:rPr>
            </w:pPr>
          </w:p>
        </w:tc>
      </w:tr>
      <w:tr>
        <w:trPr>
          <w:trHeight w:val="17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31,683</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63,234</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0" w:type="dxa"/>
            <w:vAlign w:val="bottom"/>
          </w:tcPr>
          <w:p>
            <w:pPr>
              <w:spacing w:after="0"/>
              <w:rPr>
                <w:sz w:val="1"/>
                <w:szCs w:val="1"/>
                <w:color w:val="auto"/>
              </w:rPr>
            </w:pPr>
          </w:p>
        </w:tc>
      </w:tr>
      <w:tr>
        <w:trPr>
          <w:trHeight w:val="196"/>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54,438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83,156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2,220,658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(80,170)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(903,250)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1,320,258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56"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b w:val="1"/>
          <w:bCs w:val="1"/>
          <w:color w:val="auto"/>
        </w:rPr>
        <w:t>LIVANOVA PLC AND SUBSIDIARIES</w:t>
      </w:r>
    </w:p>
    <w:p>
      <w:pPr>
        <w:jc w:val="center"/>
        <w:spacing w:after="0" w:line="218" w:lineRule="auto"/>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60"/>
        </w:trPr>
        <w:tc>
          <w:tcPr>
            <w:tcW w:w="734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0"/>
        </w:trPr>
        <w:tc>
          <w:tcPr>
            <w:tcW w:w="734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2"/>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63,234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(86,246)</w:t>
            </w:r>
          </w:p>
        </w:tc>
      </w:tr>
      <w:tr>
        <w:trPr>
          <w:trHeight w:val="168"/>
        </w:trPr>
        <w:tc>
          <w:tcPr>
            <w:tcW w:w="7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33,933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36,352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44,809</w:t>
            </w:r>
          </w:p>
        </w:tc>
      </w:tr>
      <w:tr>
        <w:trPr>
          <w:trHeight w:val="168"/>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7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Remeasurement of derivative instruments, net</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(25,345)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(22,911)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(38,656)</w:t>
            </w:r>
          </w:p>
        </w:tc>
      </w:tr>
      <w:tr>
        <w:trPr>
          <w:trHeight w:val="168"/>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w:t>
            </w:r>
          </w:p>
        </w:tc>
        <w:tc>
          <w:tcPr>
            <w:tcW w:w="7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25,104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24,737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22,373</w:t>
            </w:r>
          </w:p>
        </w:tc>
      </w:tr>
      <w:tr>
        <w:trPr>
          <w:trHeight w:val="17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19,053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21,334</w:t>
            </w:r>
          </w:p>
        </w:tc>
      </w:tr>
      <w:tr>
        <w:trPr>
          <w:trHeight w:val="168"/>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w:t>
            </w:r>
          </w:p>
        </w:tc>
        <w:tc>
          <w:tcPr>
            <w:tcW w:w="7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25,472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25,198</w:t>
            </w:r>
          </w:p>
        </w:tc>
      </w:tr>
      <w:tr>
        <w:trPr>
          <w:trHeight w:val="17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of operating lease assets</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10,225</w:t>
            </w:r>
          </w:p>
        </w:tc>
      </w:tr>
      <w:tr>
        <w:trPr>
          <w:trHeight w:val="168"/>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Gain on investment revaluation - Ceribell, Inc.</w:t>
            </w:r>
          </w:p>
        </w:tc>
        <w:tc>
          <w:tcPr>
            <w:tcW w:w="7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income tax expense (benefit)</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(114,428)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w:t>
            </w:r>
          </w:p>
        </w:tc>
      </w:tr>
      <w:tr>
        <w:trPr>
          <w:trHeight w:val="168"/>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Impairment of investments</w:t>
            </w:r>
          </w:p>
        </w:tc>
        <w:tc>
          <w:tcPr>
            <w:tcW w:w="7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Remeasurement of contingent consideration to fair value</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(29,881)</w:t>
            </w:r>
          </w:p>
        </w:tc>
      </w:tr>
      <w:tr>
        <w:trPr>
          <w:trHeight w:val="168"/>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Impairment of long-lived assets</w:t>
            </w:r>
          </w:p>
        </w:tc>
        <w:tc>
          <w:tcPr>
            <w:tcW w:w="7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89,974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ACS inventory obsolescence adjustment</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Impairment of goodwill</w:t>
            </w:r>
          </w:p>
        </w:tc>
        <w:tc>
          <w:tcPr>
            <w:tcW w:w="7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129,396</w:t>
            </w:r>
          </w:p>
        </w:tc>
      </w:tr>
      <w:tr>
        <w:trPr>
          <w:trHeight w:val="17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1,653</w:t>
            </w:r>
          </w:p>
        </w:tc>
      </w:tr>
      <w:tr>
        <w:trPr>
          <w:trHeight w:val="168"/>
        </w:trPr>
        <w:tc>
          <w:tcPr>
            <w:tcW w:w="7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 net</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11,060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(28,864)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(4,810)</w:t>
            </w:r>
          </w:p>
        </w:tc>
      </w:tr>
      <w:tr>
        <w:trPr>
          <w:trHeight w:val="168"/>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7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(28,478)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(25,679)</w:t>
            </w:r>
          </w:p>
        </w:tc>
      </w:tr>
      <w:tr>
        <w:trPr>
          <w:trHeight w:val="17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current and non-current assets</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15,302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7,486</w:t>
            </w:r>
          </w:p>
        </w:tc>
      </w:tr>
      <w:tr>
        <w:trPr>
          <w:trHeight w:val="168"/>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 and accrued current and non-current liabilities</w:t>
            </w:r>
          </w:p>
        </w:tc>
        <w:tc>
          <w:tcPr>
            <w:tcW w:w="7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(14,478)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19,190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(3,510)</w:t>
            </w:r>
          </w:p>
        </w:tc>
      </w:tr>
      <w:tr>
        <w:trPr>
          <w:trHeight w:val="17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Taxes payable</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w:t>
            </w:r>
          </w:p>
        </w:tc>
      </w:tr>
      <w:tr>
        <w:trPr>
          <w:trHeight w:val="165"/>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Litigation provision liability</w:t>
            </w:r>
          </w:p>
        </w:tc>
        <w:tc>
          <w:tcPr>
            <w:tcW w:w="7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183,038</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74,914</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69,921</w:t>
            </w:r>
          </w:p>
        </w:tc>
      </w:tr>
      <w:tr>
        <w:trPr>
          <w:trHeight w:val="149"/>
        </w:trPr>
        <w:tc>
          <w:tcPr>
            <w:tcW w:w="73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Investing Activities: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71"/>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Purchases of property, plant, and equipment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(47,107)</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(34,981)</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(26,517)</w:t>
            </w:r>
          </w:p>
        </w:tc>
      </w:tr>
      <w:tr>
        <w:trPr>
          <w:trHeight w:val="168"/>
        </w:trPr>
        <w:tc>
          <w:tcPr>
            <w:tcW w:w="7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Purchase of investments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(6,504)</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(2,952)</w:t>
            </w:r>
          </w:p>
        </w:tc>
      </w:tr>
      <w:tr>
        <w:trPr>
          <w:trHeight w:val="172"/>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Acquisitions, net of cash acquired</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(8,857)</w:t>
            </w:r>
          </w:p>
        </w:tc>
      </w:tr>
      <w:tr>
        <w:trPr>
          <w:trHeight w:val="165"/>
        </w:trPr>
        <w:tc>
          <w:tcPr>
            <w:tcW w:w="7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1,154</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(48,160)</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(40,331)</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(38,414)</w:t>
            </w:r>
          </w:p>
        </w:tc>
      </w:tr>
      <w:tr>
        <w:trPr>
          <w:trHeight w:val="149"/>
        </w:trPr>
        <w:tc>
          <w:tcPr>
            <w:tcW w:w="73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Financing Activities: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71"/>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Proceeds from long-term debt obligations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335,513</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507,547</w:t>
            </w:r>
          </w:p>
        </w:tc>
      </w:tr>
      <w:tr>
        <w:trPr>
          <w:trHeight w:val="168"/>
        </w:trPr>
        <w:tc>
          <w:tcPr>
            <w:tcW w:w="7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Repayment of long-term debt obligations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(247,546)</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(21,624)</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(223,541)</w:t>
            </w:r>
          </w:p>
        </w:tc>
      </w:tr>
      <w:tr>
        <w:trPr>
          <w:trHeight w:val="172"/>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Payment of debt extinguishment costs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(38,953)</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Purchase of capped calls</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(31,637)</w:t>
            </w:r>
          </w:p>
        </w:tc>
        <w:tc>
          <w:tcPr>
            <w:tcW w:w="10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Proceeds from unwind of capped calls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22,523</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Payment of contingent consideration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(13,750)</w:t>
            </w:r>
          </w:p>
        </w:tc>
        <w:tc>
          <w:tcPr>
            <w:tcW w:w="10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Shares repurchased from employees for minimum tax withholding</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(8,439)</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(7,503)</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(8,671)</w:t>
            </w:r>
          </w:p>
        </w:tc>
      </w:tr>
      <w:tr>
        <w:trPr>
          <w:trHeight w:val="168"/>
        </w:trPr>
        <w:tc>
          <w:tcPr>
            <w:tcW w:w="7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6,341</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w:t>
            </w:r>
          </w:p>
        </w:tc>
      </w:tr>
      <w:tr>
        <w:trPr>
          <w:trHeight w:val="172"/>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(5,939)</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w:t>
            </w:r>
          </w:p>
        </w:tc>
      </w:tr>
      <w:tr>
        <w:trPr>
          <w:trHeight w:val="168"/>
        </w:trPr>
        <w:tc>
          <w:tcPr>
            <w:tcW w:w="7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Proceeds from deferred consideration from sale of Heart Valves, net of working capital adjustments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4,596</w:t>
            </w:r>
          </w:p>
        </w:tc>
      </w:tr>
      <w:tr>
        <w:trPr>
          <w:trHeight w:val="170"/>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1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18,551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21,484</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280,130</w:t>
            </w:r>
          </w:p>
        </w:tc>
        <w:tc>
          <w:tcPr>
            <w:tcW w:w="0" w:type="dxa"/>
            <w:vAlign w:val="bottom"/>
          </w:tcPr>
          <w:p>
            <w:pPr>
              <w:spacing w:after="0"/>
              <w:rPr>
                <w:sz w:val="1"/>
                <w:szCs w:val="1"/>
                <w:color w:val="auto"/>
              </w:rPr>
            </w:pPr>
          </w:p>
        </w:tc>
      </w:tr>
      <w:tr>
        <w:trPr>
          <w:trHeight w:val="16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4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(7,745)</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6,187</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(4,011)</w:t>
            </w:r>
          </w:p>
        </w:tc>
        <w:tc>
          <w:tcPr>
            <w:tcW w:w="0" w:type="dxa"/>
            <w:vAlign w:val="bottom"/>
          </w:tcPr>
          <w:p>
            <w:pPr>
              <w:spacing w:after="0"/>
              <w:rPr>
                <w:sz w:val="1"/>
                <w:szCs w:val="1"/>
                <w:color w:val="auto"/>
              </w:rPr>
            </w:pPr>
          </w:p>
        </w:tc>
      </w:tr>
      <w:tr>
        <w:trPr>
          <w:trHeight w:val="159"/>
        </w:trPr>
        <w:tc>
          <w:tcPr>
            <w:tcW w:w="734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4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145,684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62,254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307,626</w:t>
            </w:r>
          </w:p>
        </w:tc>
        <w:tc>
          <w:tcPr>
            <w:tcW w:w="0" w:type="dxa"/>
            <w:vAlign w:val="bottom"/>
          </w:tcPr>
          <w:p>
            <w:pPr>
              <w:spacing w:after="0"/>
              <w:rPr>
                <w:sz w:val="1"/>
                <w:szCs w:val="1"/>
                <w:color w:val="auto"/>
              </w:rPr>
            </w:pPr>
          </w:p>
        </w:tc>
      </w:tr>
      <w:tr>
        <w:trPr>
          <w:trHeight w:val="16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4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577,872</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515,618</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207,992</w:t>
            </w:r>
          </w:p>
        </w:tc>
        <w:tc>
          <w:tcPr>
            <w:tcW w:w="0" w:type="dxa"/>
            <w:vAlign w:val="bottom"/>
          </w:tcPr>
          <w:p>
            <w:pPr>
              <w:spacing w:after="0"/>
              <w:rPr>
                <w:sz w:val="1"/>
                <w:szCs w:val="1"/>
                <w:color w:val="auto"/>
              </w:rPr>
            </w:pPr>
          </w:p>
        </w:tc>
      </w:tr>
      <w:tr>
        <w:trPr>
          <w:trHeight w:val="16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723,556</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577,872</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515,618</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Supplementary Disclosures of Cash Flow Information:</w:t>
            </w: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3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paid for interest</w:t>
            </w: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36,910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19,044</w:t>
            </w:r>
          </w:p>
        </w:tc>
        <w:tc>
          <w:tcPr>
            <w:tcW w:w="0" w:type="dxa"/>
            <w:vAlign w:val="bottom"/>
          </w:tcPr>
          <w:p>
            <w:pPr>
              <w:spacing w:after="0"/>
              <w:rPr>
                <w:sz w:val="1"/>
                <w:szCs w:val="1"/>
                <w:color w:val="auto"/>
              </w:rPr>
            </w:pPr>
          </w:p>
        </w:tc>
      </w:tr>
      <w:tr>
        <w:trPr>
          <w:trHeight w:val="165"/>
        </w:trPr>
        <w:tc>
          <w:tcPr>
            <w:tcW w:w="7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paid (received) for income taxes, net</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15,912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4" w:right="319" w:bottom="1440" w:gutter="0" w:footer="0" w:header="0"/>
        </w:sectPr>
      </w:pPr>
    </w:p>
    <w:bookmarkStart w:id="61" w:name="page62"/>
    <w:bookmarkEnd w:id="61"/>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LIVANOVA PLC AND SUBSIDIARIES’</w:t>
      </w:r>
    </w:p>
    <w:p>
      <w:pPr>
        <w:jc w:val="center"/>
        <w:ind w:right="-139"/>
        <w:spacing w:after="0" w:line="228" w:lineRule="auto"/>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Nature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Description of the Business</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PLC is a market-leading global medical technology company. The Company designs, develops, manufactures, markets, and sells products and therapies that are consistent with LivaNova’s mission to provide hope for patients and their families through medical technologies, delivering life-changing solutions in select neurological and cardiac conditions. LivaNova is a public limited company organized under the laws of England and Wales and is headquartered in London, England. LivaNova’s ordinary shares are listed for trading on the Nasdaq under the symbol “LIVN.”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Business Segments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periods presented herein, LivaNova was comprised of two reportable segments: Cardiopulmonary and Neuromodulation.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Cybersecurity Incident</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The Company implemented remediation measures to mitigate the impact of the incident. The Company also assessed the nature and scope of the affected data, analyzed its statutory notification obligations, and notified affected individuals and regulators as required by applicable law. For further discussion on legal and regulatory developments, refer to “Note 11. Commitments and Contingencies.” The incident has been contained, and the Company’s mitigation efforts are considered complete.</w:t>
      </w:r>
    </w:p>
    <w:p>
      <w:pPr>
        <w:spacing w:after="0" w:line="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Through December 31, 2024, LivaNova incurred direct costs totaling $11.6 million in connection with this cybersecurity incident, including $9.0 million and $2.6 million during the twelve months ended December 31, 2024 and 2023, respectively. The total incurred direct costs primarily included external cybersecurity expert and legal fees, system restoration costs, and a $1.2 million provision related to the class action settlement, and do not include business interruption losses. The Company expects to incur additional costs related to this incident in the future. For further discussion on legal and regulatory developments, refer to “Note 11. Commitments and Contingencies.” LivaNova maintains insurance, including cyber insurance, which is subject to certain retentions and policy limitations that will likely limit the amount that the insurers may reimburse the Company. LivaNova has filed claims for insurance reimbursement of covered costs and business interruption losses related to this incident and has submitted additional claims and supplemental requests for reimbursement as new costs have been incurred. During 2024, LivaNova received $8.4 million, including $5.1 million in reimbursement of covered costs and $3.3 million in reimbursement of business interruption losses under the Company’s cyber insurance policy. The Company’s insurance coverage may be insufficient to cover all costs and expenses related to this cybersecurity incident or may be unavailable to cover all costs and expenses related to this cybersecurity incident.</w:t>
      </w:r>
    </w:p>
    <w:p>
      <w:pPr>
        <w:spacing w:after="0" w:line="57" w:lineRule="exact"/>
        <w:rPr>
          <w:sz w:val="20"/>
          <w:szCs w:val="20"/>
          <w:color w:val="auto"/>
        </w:rPr>
      </w:pPr>
    </w:p>
    <w:p>
      <w:pPr>
        <w:ind w:right="4980"/>
        <w:spacing w:after="0" w:line="363" w:lineRule="auto"/>
        <w:rPr>
          <w:sz w:val="20"/>
          <w:szCs w:val="20"/>
          <w:color w:val="auto"/>
        </w:rPr>
      </w:pPr>
      <w:r>
        <w:rPr>
          <w:rFonts w:ascii="Times New Roman" w:cs="Times New Roman" w:eastAsia="Times New Roman" w:hAnsi="Times New Roman"/>
          <w:sz w:val="16"/>
          <w:szCs w:val="16"/>
          <w:b w:val="1"/>
          <w:bCs w:val="1"/>
          <w:color w:val="auto"/>
        </w:rPr>
        <w:t xml:space="preserve">Note 2. Basis of Presentation, Use of Accounting Estimates, and Significant Accounting Policies </w:t>
      </w:r>
      <w:r>
        <w:rPr>
          <w:rFonts w:ascii="Times New Roman" w:cs="Times New Roman" w:eastAsia="Times New Roman" w:hAnsi="Times New Roman"/>
          <w:sz w:val="16"/>
          <w:szCs w:val="16"/>
          <w:color w:val="auto"/>
        </w:rPr>
        <w:t>Basis of Presentation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consolidated financial statements of LivaNova have been prepared in accordance with U.S. GAAP.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consolidated financial statements for LivaNova include LivaNova’s wholly-owned subsidiaries and the Trust. All intercompany accounts and transactions have been eliminated.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Use of Estimates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preparation of LivaNova’s consolidated financial statements in conformity with U.S. GAAP requires management to make estimates and assumptions that affect the amounts reported in such financial statements and accompanying notes. These estimates are based on management’s best knowledge of current events and actions that LivaNova may undertake in the future. Estimates are used in accounting for, among other items, valuation and amortization of intangible assets; goodwill, other long-lived assets (asset group); measurement of deferred tax assets and liabilities; uncertain income tax positions; contingent consideration arrangements; derivative assets and liabilities; legal and other contingencies; stock-based compensation; obsolete</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0" w:right="319" w:bottom="1440" w:gutter="0" w:footer="0" w:header="0"/>
        </w:sectPr>
      </w:pPr>
    </w:p>
    <w:bookmarkStart w:id="62" w:name="page63"/>
    <w:bookmarkEnd w:id="62"/>
    <w:p>
      <w:pPr>
        <w:jc w:val="both"/>
        <w:spacing w:after="0" w:line="303" w:lineRule="auto"/>
        <w:rPr>
          <w:sz w:val="20"/>
          <w:szCs w:val="20"/>
          <w:color w:val="auto"/>
        </w:rPr>
      </w:pPr>
      <w:r>
        <w:rPr>
          <w:rFonts w:ascii="Times New Roman" w:cs="Times New Roman" w:eastAsia="Times New Roman" w:hAnsi="Times New Roman"/>
          <w:sz w:val="14"/>
          <w:szCs w:val="14"/>
          <w:color w:val="auto"/>
        </w:rPr>
        <w:t>and slow-moving inventories; models, such as an impairment analysis; and, in general, allocations to provisions and the fair value of assets and liabilities recorded in a business combination. Actual results could differ materially from those estimates.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Reclassifications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reclassified certain prior period amounts on the consolidated statements of cash flows for comparative purposes.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considers all highly liquid investments with an original maturity of three months or less, consisting of demand deposit accounts and money market mutual funds, to be cash equivalents.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equivalents are carried on the consolidated balance sheets at cost, which approximates their fair value.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Cash</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classifies cash that is not available for use in its operations as restricted cash within current assets on the consolidated balance sheets. As of December 31, 2024, LivaNova’s restricted cash balance was $294.7 million and was comprised of cash deposits with Barclays held as collateral for the SNIA Litigation Guarantee. As security for the SNIA Litigation Guarantee, LivaNova is required to grant cash collateral to Barclays in USD in an amount equal to the USD equivalent of 105% of the amount of the SNIA Litigation Guarantee calibrated on a biweekly basis. For additional information regarding the SNIA litigation, please refer to “Note 11. Commitments and Contingencies.”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Accounts receivable consists of trade receivables from direct customers and distributors. The Company maintains an allowance for doubtful accounts for potential credit losses based on its estimates of the ability of customers to make required payments, historical credit experience, existing economic conditions, and expected future trends. LivaNova writes off uncollectible accounts against the allowance when all reasonable collection efforts have been exhausted.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Inventories</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states its inventories at the lower of cost, using the FIFO method, or net realizable value. The Company’s calculation of cost includes the acquisition cost of raw materials and components, direct labor, and overhead, including depreciation of manufacturing related assets. LivaNova reduces the carrying value of inventories for those items that are potentially excess, obsolete, or slow moving based on changes in customer demand, technology developments, or other economic factors.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PP&amp;E</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PP&amp;E is carried at cost, less accumulated depreciation. Maintenance, repairs, and minor replacements are charged to expense as incurred, while significant renewals and improvements are capitalized. LivaNova computes depreciation using the straight-line method over the asset’s estimated useful lives. Leasehold improvements are depreciated over the shorter of the following terms: the useful life of the asset or a term that includes required lease periods and renewals that are deemed to be reasonably assured on the date the leasehold improvements are purchased. Capital improvements to buildings are added as building components and are depreciated over the useful life of the improvement or the building, whichever is less.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LivaNova allocates the amounts the Company pays for an acquisition to the assets acquired and liabilities assumed based on the fair values at the date of acquisition, including property, plant, and equipment; inventories; accounts receivable; long-term debt; and identifiable intangible assets which either arise from a contractual or legal right or are separable from goodwill. The Company bases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 LivaNova allocates any excess purchase price over the fair value of the net tangible and identifiable intangible assets acquired to goodwill. Transaction costs associated with these acquisitions are expensed as incurred and are reported in SG&amp;A on the consolidated statements of income (loss). LivaNova recognizes adjustments to the provisional amounts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is recorded in the same period’s consolidated financial statements, calculated as if the accounting had been completed at the acquisition date.</w:t>
      </w: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color w:val="auto"/>
        </w:rPr>
        <w:t>Intangible Assets, Other Than Goodwill</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as well as trade names and customer relationships. Customer relationships consist of relationships with hospitals and surgeons in the countries where LivaNova operates. Indefinite-lived intangible assets other than goodwill are composed of IPR&amp;D assets acquired in acquisitions. LivaNova amortizes its finite-lived intangible assets over the assets’ useful lives using the straight-line method. Estimating the useful lives of intangible assets requires LivaNova to apply significant judgment.</w:t>
      </w:r>
    </w:p>
    <w:p>
      <w:pPr>
        <w:spacing w:after="0" w:line="6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Amortization expense is included on LivaNova’s consolidated statements of income (loss) within cost of sales or SG&amp;A based on the nature of the underlying intangible asset. LivaNova evaluates its intangible assets each reporting period to determine whether events and circumstances indicate either a different useful life or impairment. If LivaNova changes its estimate of the useful life of an asset, the Company amortizes the carrying amount over the revised remaining useful life.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Impairments of Long-lived Assets and Goodwill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Long-lived Assets Impairment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Assets Held and Used</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evaluates the carrying value of its long-lived assets and investments for impairment when events or changes in circumstances indicate that the carrying value of such assets may not be recoverable. Such changes in circumstance may include, among other items, (i) an expectation of a sale, discontinuation, or disposal of a long-lived asset or asset group; (ii) adverse changes in market or competitive conditions; (iii) an adverse change in legal factors or business climate in the markets in which LivaNova operates; and (iv) operating or cash flow losses.</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For PP&amp;E and intangible assets used in LivaNova’s operations, recoverability generally is determined by comparing the carrying value of an asset or group of assets to the expected undiscounted future cash flows. If the carrying value of an asset, or group of assets is not recoverable, the amount of impairment loss is measured as the difference between the carrying value of the asset or group of assets and its estimated fair value. The asset grouping as well as the determination of expected undiscounted cash flow amounts requires significant judgments, estimates, and assumptions, including with regard to cash flows generated upon disposition. LivaNova measures fair value as the price that would be received if the Company were to sell the assets in an orderly transaction. Assets to be disposed of are carried at the lower of their financial statement carrying amount or fair value less costs to sell.</w:t>
      </w:r>
    </w:p>
    <w:p>
      <w:pPr>
        <w:spacing w:after="0" w:line="6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conducts impairment testing of its indefinite-lived intangible assets on October 1st each year. LivaNova tests indefinite-lived intangible assets for impairment between annual tests if an event occurs or circumstances change that would indicate the carrying amount may be impaired. An impairment loss is recognized when the asset’s carrying value exceeds its fair value.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 Impairment</w:t>
      </w:r>
    </w:p>
    <w:p>
      <w:pPr>
        <w:spacing w:after="0" w:line="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conducts impairment testing of its goodwill on October 1st each year. Testing is performed at the reporting unit level, which is defined as an operating segment or a component of an operating segment that constitutes a business for which financial information is available and is regularly viewed by management. LivaNova’s operating segments are deemed to be its reporting units for purposes of goodwill impairment testing. LivaNova tests goodwill for impairment between annual tests if an event occurs or circumstances change that would more likely than not reduce the fair value of a reporting unit below its carrying amount.</w:t>
      </w:r>
    </w:p>
    <w:p>
      <w:pPr>
        <w:spacing w:after="0" w:line="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If LivaNova determines that goodwill is more likely than not impaired, the Company compares the fair value of the reporting unit to its carrying amount, including goodwill. Fair value refers to the price that would be received if LivaNova were to sell the unit as a whole in an orderly transaction. Fair value is estimated using a discounted cash flow model and requires various assumptions, including revenue growth rates and discount rates. If the carrying amount of the Company’s reporting unit is greater than zero and its fair value exceeds its carrying amount, goodwill of the reporting unit is considered not impaired. An impairment loss is recognized when the carrying amount of the reporting unit’s net assets exceeds the estimated fair value of the reporting unit, up to and including the carrying amount of the goodwill.</w:t>
      </w:r>
    </w:p>
    <w:p>
      <w:pPr>
        <w:spacing w:after="0" w:line="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the aggregate fair value of LivaNova’s reporting units exceeds its market capitalization, the Company evaluates the reasonableness of the implied control premium, which includes a comparison to implied control premiums from recent market transactions within its industry or other relevant benchmark data.</w:t>
      </w: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64" w:name="page65"/>
    <w:bookmarkEnd w:id="64"/>
    <w:p>
      <w:pPr>
        <w:jc w:val="both"/>
        <w:spacing w:after="0" w:line="275" w:lineRule="auto"/>
        <w:rPr>
          <w:sz w:val="20"/>
          <w:szCs w:val="20"/>
          <w:color w:val="auto"/>
        </w:rPr>
      </w:pPr>
      <w:r>
        <w:rPr>
          <w:rFonts w:ascii="Times New Roman" w:cs="Times New Roman" w:eastAsia="Times New Roman" w:hAnsi="Times New Roman"/>
          <w:sz w:val="14"/>
          <w:szCs w:val="14"/>
          <w:color w:val="auto"/>
        </w:rPr>
        <w:t>Goodwill impairment evaluations are highly subjective. In most instances, such evaluations involve expectations of future cash flows that reflect LivaNova’s judgments and assumptions regarding future industry conditions and operations. The estimates, judgments, and assumptions used in the application of LivaNova’s goodwill impairment policies reflect both historical experience and an assessment of current operational, industry, market, economic, and political environments. The use of different estimates, judgments, assumptions, and expectations regarding future industry and market conditions and operations could result in materially different asset carrying values and operating results.</w:t>
      </w:r>
    </w:p>
    <w:p>
      <w:pPr>
        <w:spacing w:after="0" w:line="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Quantitative factors used to determine the fair value of the reporting units reflect LivaNova’s best estimates, which the Company believes are reasonable. Future declines in the reporting units’ operating performance or LivaNova’s anticipated business outlook may reduce the estimated fair value of the Company’s reporting units and result in an impairment in the future. Factors that could have a negative impact on the fair value of the reporting units include, but are not limited to:</w:t>
      </w:r>
    </w:p>
    <w:p>
      <w:pPr>
        <w:spacing w:after="0" w:line="56" w:lineRule="exact"/>
        <w:rPr>
          <w:sz w:val="20"/>
          <w:szCs w:val="20"/>
          <w:color w:val="auto"/>
        </w:rPr>
      </w:pPr>
    </w:p>
    <w:p>
      <w:pPr>
        <w:ind w:left="380" w:hanging="248"/>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Decreases in revenue as a result of the inability of LivaNova’s sales force to effectively market and promote the Company’s products;</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patent expirations, or new technologies or treatments commercialized by competitors;</w:t>
      </w:r>
    </w:p>
    <w:p>
      <w:pPr>
        <w:spacing w:after="0" w:line="104"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operating costs required to sustain the business;</w:t>
      </w:r>
    </w:p>
    <w:p>
      <w:pPr>
        <w:spacing w:after="0" w:line="104"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legal proceedings, investigations, or other claims resulting in significant cash outflows; and</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the market-participant risk-adjusted WACC.</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Derivatives and Risk Management</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U.S. GAAP requires companies to recognize all derivatives as assets and liabilities on the balance sheet and to measure the instruments at fair value through earnings unless the derivative qualifies for hedge accounting. If the derivative qualifies for hedge accounting, depending on the nature of the hedge and hedge effectiveness, changes in the fair value of the derivative will either be recognized immediately in earnings or recorded in OCI until the hedged item is recognized in earnings. The changes in the fair value of the derivative are intended to offset the change in fair value of the hedged asset, liability, or probable commitment. LivaNova evaluates hedge effectiveness at inception. Cash flows from hedging and economic hedges are reported as operating activities on the consolidated statements of cash flows.</w:t>
      </w:r>
    </w:p>
    <w:p>
      <w:pPr>
        <w:spacing w:after="0" w:line="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uses currency exchange rate derivative contracts to manage the impact of currency exchange on earnings and cash flows. Forward currency exchange rate contracts are designed to hedge anticipated foreign currency transactions and changes in the value of specific assets and liabilities. At inception of the forward contract, the derivative is designated as either a freestanding derivative or a cash flow hedge. LivaNova does not enter into derivative contracts for speculative purposes. All derivative instruments are recorded at fair value on the consolidated balance sheets as assets or liabilities (current or non-current) depending upon the gain or loss position of the contract and contract maturity date.</w:t>
      </w:r>
    </w:p>
    <w:p>
      <w:pPr>
        <w:spacing w:after="0" w:line="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Forward contracts designated as cash flow hedges are designed to hedge the variability of cash flows associated with forecasted transactions denominated in a foreign currency that will take place in the future. For derivative instruments that are designated and qualify as a cash flow hedge, the gain or loss on the derivative instrument is reported as a component of AOCI and reclassified into earnings to offset exchange differences originated by the hedged item or the current earnings effect of the hedged item.</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Upon the settlement of LivaNova’s foreign currency cash flow hedges in the fourth quarter of 2022 and following an in-depth analysis of the utility of the Company’s cash flow hedging program, LivaNova discontinued its foreign currency cash flow hedging program. LivaNova continues to use freestanding derivative forward contracts to offset exposure to the variability of the value associated with assets and liabilities denominated in a foreign currency. These derivatives are not designated as hedges, and therefore, changes in the value of these forward contracts are recognized in earnings, thereby offsetting the current earnings effect of the related change in value of foreign currency denominated assets and liabilities.</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Historically, LivaNova has entered into interest rate derivative instruments designated as cash flow hedges to manage the exposure to interest rate movements and to reduce the risk of increased borrowing costs by converting floating-rate debt into fixed-rate debt. Under these agreements, LivaNova agrees to exchange, at specified intervals, the difference between fixed and floating interest amounts calculated by reference to agreed-upon notional principal amounts. These interest rate swaps are structured to mirror the payment terms of the underlying loan. The fair value of the interest rate swaps is reported on the consolidated balance sheets as assets or liabilities (current or non-current) depending upon the gain or loss position of the contract and the maturity of the future cash flows of each contract. The gain or loss on these derivatives is reported as a component of AOCI and reclassified to interest expense during the period of the respective interest payment. The Company’s interest rate swaps expired on April 6, 2023. LivaNova elected not to renew the interest rate swaps as interest expense</w:t>
      </w: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color w:val="auto"/>
        </w:rPr>
        <w:t>associated with the Initial Term Facility is principally offset by holding proceeds from the Initial Term Facility in a depository account, which earns a floating rate of interest.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Fair Value Measurements</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follows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LivaNova. Unobservable inputs are inputs that reflect LivaNova’s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 The hierarchy is broken down into three levels defined as follows:</w:t>
      </w:r>
    </w:p>
    <w:p>
      <w:pPr>
        <w:spacing w:after="0" w:line="63"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Level 1</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Inputs are quoted prices in active markets for identical assets or liabilities;</w:t>
            </w:r>
          </w:p>
        </w:tc>
      </w:tr>
      <w:tr>
        <w:trPr>
          <w:trHeight w:val="251"/>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Level 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Inputs include quoted prices for similar assets or liabilities in active markets, quoted prices for identical or similar assets or liabilities in markets that are not active, and inputs</w:t>
            </w:r>
          </w:p>
        </w:tc>
      </w:tr>
      <w:tr>
        <w:trPr>
          <w:trHeight w:val="184"/>
        </w:trPr>
        <w:tc>
          <w:tcPr>
            <w:tcW w:w="140" w:type="dxa"/>
            <w:vAlign w:val="bottom"/>
          </w:tcPr>
          <w:p>
            <w:pPr>
              <w:spacing w:after="0"/>
              <w:rPr>
                <w:sz w:val="16"/>
                <w:szCs w:val="16"/>
                <w:color w:val="auto"/>
              </w:rPr>
            </w:pPr>
          </w:p>
        </w:tc>
        <w:tc>
          <w:tcPr>
            <w:tcW w:w="110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(other than quoted prices) that are observable for the asset or liability, either directly or indirectly; and</w:t>
            </w:r>
          </w:p>
        </w:tc>
      </w:tr>
      <w:tr>
        <w:trPr>
          <w:trHeight w:val="265"/>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Level 3</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Inputs are unobservable for the asset or liability.</w:t>
            </w:r>
          </w:p>
        </w:tc>
      </w:tr>
    </w:tbl>
    <w:p>
      <w:pPr>
        <w:spacing w:after="0" w:line="7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financial assets and liabilities classified as Level 2 include derivative instruments, primarily forward and option currency contracts and interest rate swap contracts, which are valued using standard calculations and models that use readily observable market data as their basis.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LivaNova’s financial assets and liabilities classified as Level 3 include contingent consideration liability arrangements and embedded and capped call derivative instruments.</w:t>
      </w:r>
    </w:p>
    <w:p>
      <w:pPr>
        <w:spacing w:after="0" w:line="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Contingent consideration liabilities result from acquisition agreements that include potential future payment of consideration that is contingent upon the achievement of performance milestones and/or sales-based earnouts. Contingent consideration is recognized at fair value at the date of acquisition based on the consideration expected to be transferred and estimated as the probability of future cash flows, discounted to present value in accordance with accepted valuation methodologies. The discount rate used is determined at the time of measurement. Contingent consideration is remeasured each reporting period with the change in fair value, including accretion for the passage of time, recorded in earnings. The change in fair value of contingent consideration based on the achievement of regulatory milestones is recorded as research and development expense while the change in fair value of sales-based earnout contingent consideration is recorded as cost of sales. Contingent consideration payments made soon after the acquisition date are classified as an investing activity. Contingent consideration payments that are not made soon after the acquisition date are classified as a financing activity up to the amount of the contingent consideration liability recognized at the acquisition date, with any excess classified as an operating activity. For further information on LivaNova’s Level 3 contingent consideration liability arrangements, please refer to “Note 8. Fair Value Measurements.” For further information on LivaNova’s Level 3 derivative and embedded derivative instruments, please refer to “Note 9. Financing Arrangements” and “Note 8. Fair Value Measurements.” For further information on LivaNova’s Level 3 convertible notes receivable, please refer to “Note 6. Investments.”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LivaNova’s investments are comprised of equity securities that may be publicly traded, are in various stages of development, and are reported as investments on the consolidated balance sheets.</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Investments in affiliates in which the Company has significant influence, but does not control, and that do not have a readily determinable fair value, are accounted for using the equity method. LivaNova’s share of net income or loss is reflected as one line item on the Company’s consolidated statements of income (loss) under loss from equity method investments and will increase or decrease, as applicable, the carrying value of the Company’s equity method investment reported under investments on the consolidated balance sheets.</w:t>
      </w:r>
    </w:p>
    <w:p>
      <w:pPr>
        <w:spacing w:after="0" w:line="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Investments in equity securities with readily determinable fair values and are not accounted for under the equity method are measured at fair value with unrealized gains and losses included in earnings.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6" w:name="page67"/>
    <w:bookmarkEnd w:id="66"/>
    <w:p>
      <w:pPr>
        <w:jc w:val="both"/>
        <w:spacing w:after="0" w:line="303" w:lineRule="auto"/>
        <w:rPr>
          <w:sz w:val="20"/>
          <w:szCs w:val="20"/>
          <w:color w:val="auto"/>
        </w:rPr>
      </w:pPr>
      <w:r>
        <w:rPr>
          <w:rFonts w:ascii="Times New Roman" w:cs="Times New Roman" w:eastAsia="Times New Roman" w:hAnsi="Times New Roman"/>
          <w:sz w:val="14"/>
          <w:szCs w:val="14"/>
          <w:color w:val="auto"/>
        </w:rPr>
        <w:t>Investments in equity securities that do not have readily determinable fair values and are not accounted for under the equity method are measured at cost minus impairment, if any, plus or minus changes resulting from observable price changes in orderly transactions for an identical or a similar investment of the same issuer.</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regularly reviews its investments for changes in circumstance or the occurrence of events that suggest its investments may not be recoverable, and if an impairment is considered to be other than temporary, the loss is recognized on the consolidated statements of income (loss) in the period the determination is made.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Warranty Obligation</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offers a warranty on various products. The Company estimates the costs that may be incurred under warranties and records a liability in the amount of such costs at the time the product is sold. The amount of the reserve recorded is equal to the estimated net costs to repair or otherwise satisfy the claim. LivaNova includes the warranty obligation in accrued liabilities and other on the consolidated balance sheets. Warranty expense is recorded to cost of goods sold on LivaNova’s consolidated statements of income (loss).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Retirement Benefit Plan Assumptions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sponsors various retirement benefit plans, including defined benefit pension plans (pension benefits), defined contribution savings plans, and termination indemnity plans, covering substantially all U.S. employees and employees outside the U.S. Pension benefit costs include assumptions for the discount rate, retirement age, compensation rate increases, and the expected return on plan assets.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Liability Accruals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Accruals for product liability claims are recorded when it is probable that a liability has been incurred and the amount of the liability can be reasonably estimated based on existing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Accruals for product liability claims are adjusted periodically as additional information becomes available.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Recognition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3. Revenue Recognition.”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All R&amp;D costs are expensed as incurred. R&amp;D includes costs of basic research activities as well as engineering and technical effort required to develop a new product or make significant improvements to an existing product or manufacturing process. R&amp;D costs also include regulatory and clinical study expenses, including post-market clinical studies.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Leases</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determines whether an arrangement is or contains a lease at its inception. For operating leases with a term greater than 12 months, LivaNova recognizes operating lease assets and operating lease liabilities based on the present value of the future minimum lease payments over the lease term at the latter of the Company’s lease standard adoption date of January 1, 2019, or the lease commencement date. LivaNova does not record an operating lease asset and corresponding liability for leases with terms of 12 months or less. The Company recognizes the lease payments for such short-term leases within profit and loss on a straight-line basis over the lease term. Variable lease payments, such as common area rent, maintenance charges, and rent escalations not known upon lease commencement, are not included in the determination of the minimum lease payments and are expensed in the period in which the obligation for those payments is incurred. Operating lease assets also includes any lease payments made in advance and excludes lease incentives. LivaNova’s lease terms may include options to extend or terminate a lease when it is reasonably certain that the Company will exercise that option. Lease expense for minimum lease payments is recognized on a straight-line basis over the lease term.</w:t>
      </w:r>
    </w:p>
    <w:p>
      <w:pPr>
        <w:spacing w:after="0" w:line="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As most of LivaNova’s leases do not provide a readily determinable implicit rate, LivaNova uses its IBR based on the information available at the lease commencement date in determining the present value of future payments. LivaNova’s IBR represents an estimate of the interest rate the Company would incur at lease commencement to borrow an amount equal to the lease payments on a collateralized basis over the lease term within a particular currency environment. LivaNova used the IBR available nearest to the Company’s adoption date for leases that commenced prior to that date.</w:t>
      </w:r>
    </w:p>
    <w:p>
      <w:pPr>
        <w:spacing w:after="0" w:line="23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Additionally, LivaNova monitors for events or changes in circumstances that may require a reassessment of the Company’s leases to determine whether a remeasurement is required. For additional information, refer to “Note 10. Leases.”</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Stock-Based Awards</w:t>
      </w:r>
    </w:p>
    <w:p>
      <w:pPr>
        <w:spacing w:after="0" w:line="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may grant stock-based awards to directors, officers, and key employees. The Company measures the cost of services received in exchange for an award of equity instruments based on the grant date fair market value of the award. LivaNova recognizes equity-based compensation expense ratably over the period that services are provided in exchange for the entire award (all vesting periods). LivaNova issues treasury shares for vesting of RSUs and the exercise of SARs and new shares upon stock option exercises. The Company has the right to elect to pay the cash value of vested restricted stock units in lieu of the issuance of new shares.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SARs</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may grant SARs that confer upon the grantee the contractual right to receive an amount of cash, stock, or a combination of both, that equals the appreciation in the Company’s stock from the award’s grant date to the exercise date. SARs may be exercised at the grantee’s discretion during the exercise period and do not give the grantee an ownership right in the underlying stock. SARs do not involve payment of an exercise price. LivaNova uses the Black-Scholes option pricing methodology to calculate the grant date fair market value of SARs and compensation is expensed ratably over the service period. The Company determines the expected volatility of the awards based on historical volatility. Calculation of compensation for SAR stock awards requires the Company to estimate historical volatility and forfeiture rates.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Service-Based RSUs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may grant service-based RSUs at no purchase cost to the grantee. The grantees of unvested units have no voting rights or rights to dividends, and sale or transfer of the units is restricted until they are vested. The fair market value of service-based RSUs is determined using the market closing price on the grant date, and compensation is expensed ratably over the service period. Calculation of compensation for RSU stock awards requires the Company to estimate forfeiture rates.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Market Performance-Based RSUs</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may grant market performance-based RSUs at no purchase cost to the grantee. The grantees of unvested units have no voting rights or rights to dividends and sale or transfer of the units is restricted until they are vested. The number of shares that are ultimately transferred to the grantee is dependent upon the Company’s percentile rank of total shareholder return relative to a peer group. The fair market value of market performance-based RSUs is determined utilizing a Monte Carlo simulation on the grant date and compensation is then expensed ratably over the service period. Calculation of compensation for market performance-based stock awards requires the Company to estimate historical volatility and forfeiture rates.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Performance-Based Awards RSUs</w:t>
      </w:r>
    </w:p>
    <w:p>
      <w:pPr>
        <w:spacing w:after="0" w:line="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may grant operating performance-based RSUs at no purchase cost to the grantee. The grantees of unvested units have no voting rights or rights to dividends and sale or transfer of the units is restricted until they are vested. The number of shares that are ultimately transferred to the grantee is dependent upon the Company’s percent achievement of certain targets for cumulative adjusted free cash flow and adjusted return on invested capital. The fair market value of operating performance-based RSUs is determined using the market closing price on the grant date. Compensation is expensed ratably over the service period and is adjusted based upon the estimated and actual percentage achievement of cumulative adjusted free cash flow and return on invested capital as compared to target.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is a UK corporation and operates through the Company’s various subsidiaries in a number of countries throughout the world. LivaNova’s provision for income taxes is based on the tax laws and rates applicable in the jurisdictions in which the Company operates and earns income. LivaNova uses significant judgment and estimates in accounting for its income taxes. The Company recognizes deferred tax assets and liabilities for the anticipated future tax effects of temporary differences between the financial statement basis and the tax basis of LivaNova’s assets and liabilities, which are measured using enacted tax rates expected to apply to taxable income in the years in which those temporary differences are expected to be recovered or settled.</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periodically assesses the recoverability of its deferred tax assets by considering whether it is more likely than not that some or all of the actual benefit of those assets will be realized. To the extent that realization does not meet the “more-likely-than-not” criterion, the Company establishes a valuation allowance. LivaNova periodically reviews the adequacy and necessity of the valuation allowance by considering significant positive and negative evidence relative to its ability to recover deferred tax assets and to determine the timing and amount of valuation allowance that should be released. This evidence includes: profitability in the most recent quarters; internal profitability forecasts for the current and next two future years; the amount of</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68" w:name="page69"/>
    <w:bookmarkEnd w:id="68"/>
    <w:p>
      <w:pPr>
        <w:jc w:val="both"/>
        <w:spacing w:after="0" w:line="278" w:lineRule="auto"/>
        <w:rPr>
          <w:sz w:val="20"/>
          <w:szCs w:val="20"/>
          <w:color w:val="auto"/>
        </w:rPr>
      </w:pPr>
      <w:r>
        <w:rPr>
          <w:rFonts w:ascii="Times New Roman" w:cs="Times New Roman" w:eastAsia="Times New Roman" w:hAnsi="Times New Roman"/>
          <w:sz w:val="14"/>
          <w:szCs w:val="14"/>
          <w:color w:val="auto"/>
        </w:rPr>
        <w:t>deferred tax asset relative to estimated profitability; the potential effects on future profitability from increasing competition, healthcare reforms, and overall economic conditions; limitations and potential limitations on the use of LivaNova’s net operating losses due to ownership changes, pursuant to IRC Section 382; and the implementation of prudent and feasible tax planning strategies, if any.</w:t>
      </w:r>
    </w:p>
    <w:p>
      <w:pPr>
        <w:spacing w:after="0" w:line="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LivaNova files federal and local tax returns in many jurisdictions throughout the world and is subject to income tax examinations for its fiscal year 2019 and subsequent years, with certain exceptions. While LivaNova believes that its tax return positions are fully supported, tax authorities may disagree with certain positions the Company has taken and assess additional taxes, and as a result, LivaNova may establish reserves for uncertain tax positions, which require a significant degree of management judgment. LivaNova regularly assesses the likely outcomes of its tax positions in order to determine the appropriateness of the Company’s reserves; however, the actual outcome of an audit can be significantly different from LivaNova’s expectations, which could have a material impact on the Company’s tax provision. LivaNova’s tax positions are evaluated for recognition using a more-likely-than-not threshold. Uncertain tax positions requiring recognition are measured as the largest amount of tax benefit that has a greater than 50% likelihood of being realized upon effective settlement with a taxing authority that has full knowledge of all relevant information. Some of the reasons a reserve for an uncertain tax benefit may be reversed are: completion of a tax audit; a change in applicable tax law, including a tax case or legislative guidance; or an expiration of the statute of limitations. LivaNova recognizes interest and penalties associated with unrecognized tax benefits and records interest in interest expense, and penalties in SG&amp;A, on LivaNova’s consolidated statements of income (loss).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Currency</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reporting currency is the USD; however, a portion of the revenues earned and expenses incurred by certain of LivaNova’s subsidiaries are denominated in currencies other than the USD. LivaNova determines the functional currency of its subsidiaries that exist and operate in different economic and currency environments based on the primary economic environment in which the subsidiary operates, that is, the currency of the environment in which an entity primarily generates and expends cash. LivaNova’s foreign subsidiaries are located in Europe and the United States. The functional currency of LivaNova’s significant European subsidiaries is the Euro, and the functional currency of LivaNova’s significant U.S. subsidiaries is the USD.</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Assets and liabilities of subsidiaries whose functional currency is not the USD are translated into USD based on a combination of both current and historical exchange rates, while their revenues earned, and expenses incurred are translated into USD at average period exchange rates. Translation adjustments are included in AOCI on LivaNova’s consolidated balance sheets. Gains and losses arising from transactions denominated in a currency different from an entity’s functional currency are included in foreign exchange and other income/(expense) on LivaNova’s consolidated statements of income (loss). Taxes are not provided on cumulative translation adjustments as substantially all translation adjustments are related to earnings which are intended to be indefinitely reinvested in the countries where earned.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Contingencies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is subject to product liability claims, environmental obligations, government investigations, and other legal proceedings in the ordinary course of business. Legal fees and other expenses related to litigation are expensed as incurred and included in SG&amp;A on LivaNova’s consolidated statements of income (loss). Contingent liabilities are recorded when LivaNova determines that a loss is both probable and reasonably estimable. Due to the fact that legal proceedings and other contingencies are inherently unpredictable, LivaNova’s assessments involve significant judgment regarding future events.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Revenue Recognition</w:t>
      </w:r>
    </w:p>
    <w:p>
      <w:pPr>
        <w:spacing w:after="0" w:line="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generates revenue through contracts with customers consisting primarily of hospitals, healthcare institutions, and distributors. Revenue is measured based on consideration specified in customer contracts and excludes amounts collected on behalf of third parties. The Company measures the consideration based upon the estimated amount to be received. The amount of consideration LivaNova ultimately receives varies depending upon the return terms, sales rebates, discounts, and other incentives the Company may offer, which are accounted for as variable consideration when estimating the amount of revenue to recognize.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has historically experienced a low rate of product returns, and the total value of product returns has not been significant to the Company’s consolidated financial statements.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 recognizes revenue when a performance obligation is satisfied by transferring control of a product or providing service to a customer. Some of LivaNova’s contracts include the purchase of multiple products and/or services. In such cases, LivaNova allocates the transaction price based upon the relative estimated standalone selling price of each product and/or</w:t>
      </w: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auto"/>
        </w:rPr>
        <w:t>service sold. LivaNova records state and local sales taxes net; that is, the Company excludes sales tax from revenue. Typically, LivaNova’s contracts do not have a significant financing component.</w:t>
      </w:r>
    </w:p>
    <w:p>
      <w:pPr>
        <w:spacing w:after="0" w:line="1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incurs incremental commission fees paid to the sales force associated with the sale of products. LivaNova applies the practical expedient within ASC 606-10-50-22 and has elected to recognize the incremental costs of obtaining a contract as an expense when incurred if the amortization period of the asset the entity would otherwise recognize is one year or less. As a result, no commissions have been capitalized as contract costs since adoption of ASC 606. The following is a description of the principal activities (separated by reportable segments) from which LivaNova generates its revenue. For more detailed information about LivaNova’s reportable segments, including disaggregated revenue results by major product line and primary geographic markets, see “Note 17. Geographic and Segment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 Products and Services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Cardiopulmonary products include HLMs, oxygenators, autotransfusion systems, perfusion tubing systems, cannulae, and other related accessories.</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Cardiopulmonary products may include performance obligations associated with assembly and installation of equipment. Accordingly, LivaNova allocates a portion of the sales prices to installation obligations and recognizes that revenue when the service is provided. LivaNova recognizes revenue for equipment and accessory product sales when control of the equipment or product passes to the customer.</w:t>
      </w:r>
    </w:p>
    <w:p>
      <w:pPr>
        <w:spacing w:after="0" w:line="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Technical services include installation, repair, and maintenance of cardiopulmonary equipment under service contracts or upon customer request. Technical service agreements generally provide for upfront payments in advance of rendering services or periodic billing over the contract term. Amounts billed in advance are deferred and recognized as revenue when the performance obligation is satisfied. Technical services are not a significant component of Cardiopulmonary revenue and are presented with the related equipment and accessories revenue.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 Products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Neuromodulation products are comprised of neuromodulation therapy systems for the treatment of DRE and DTD. LivaNova’s Neuromodulation product line includes the VNS Therapy System, which consists of an implantable pulse generator, a lead that connects the generator to the vagus nerve, and other accessories. LivaNova recognizes revenue for Neuromodulation product sales when control passes to the customer.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 Balances</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Due to the nature of LivaNova’s products and services, revenue producing activities may result in contract assets and contract liabilities. These activities relate primarily to Cardiopulmonary technical services contracts for short-term and multi-year service agreements. Contract assets are primarily comprised of unbilled revenues, which occur when a performance obligation has been completed, but not billed to the customer. Contract liabilities are made up of deferred revenue, which occurs when a customer pays for a service before a performance obligation has been completed. Contract assets are included within prepaid expenses and other current assets on the consolidated balance sheets and were insignificant as of December 31, 2024 and 2023. As of December 31, 2024 and 2023, contract liabilities of $14.7 million and $15.3 million, respectively, were included within accrued liabilities and other and other long-term liabilities on LivaNova’s consolidated balance sheets.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Restructuring</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From time to time, LivaNova initiates restructuring plans to leverage economies of scale, streamline distribution and logistics, and strengthen operational and administrative effectiveness to reduce overall costs.</w:t>
      </w:r>
    </w:p>
    <w:p>
      <w:pPr>
        <w:spacing w:after="0" w:line="2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During the second quarter of 2022, management committed to implement a cost-optimization and cost reduction program to adapt to current economic conditions, which included a workforce reduction to be completed by mid-2023. LivaNova recognized restructuring expense under the 2022 Restructuring Plan of $0.9 million and $6.6 million during the years ended December 31, 2023 and 2022, respectively. The total estimated restructuring costs associated with the plan were approximately $10 million, including employee termination benefits, consulting fees, and contract termination costs.</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On January 5, 2024, the Board of Directors of LivaNova PLC approved the 2024 Restructuring Plan to enhance the Company’s focus on its core Cardiopulmonary and Neuromodulation segments. The main component of the 2024 Restructuring Plan was to wind down the ACS segment, which was substantially completed in 2024. LivaNova recognized restructuring expense under the 2024 Restructuring Plan of $0.1 million in other operating expenses, and $12.6 million for inventory obsolescence in cost of sales on its consolidated statements of income (loss) during the year ended December 31, 2023. Additionally, the Company determined that it was more likely than not that the carrying amounts associated with the ACS segment, including the long-lived assets (asset group), may not be recoverable. This was determined to be a triggering event occurring in the fourth quarter</w:t>
      </w: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color w:val="auto"/>
        </w:rPr>
        <w:t>of 2023 requiring an impairment assessment, based on certain factors, including the results of an updated long-term financial outlook for the ACS segment.</w:t>
      </w:r>
    </w:p>
    <w:p>
      <w:pPr>
        <w:spacing w:after="0" w:line="10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such, LivaNova recorded impairments of the following long-lived assets during the year ended December 31, 2023, included within impairment of long-lived assets on its consolidated statements of income (loss)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94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Developed technology</w:t>
            </w: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78,067</w:t>
            </w:r>
          </w:p>
        </w:tc>
        <w:tc>
          <w:tcPr>
            <w:tcW w:w="0" w:type="dxa"/>
            <w:vAlign w:val="bottom"/>
          </w:tcPr>
          <w:p>
            <w:pPr>
              <w:spacing w:after="0"/>
              <w:rPr>
                <w:sz w:val="1"/>
                <w:szCs w:val="1"/>
                <w:color w:val="auto"/>
              </w:rPr>
            </w:pPr>
          </w:p>
        </w:tc>
      </w:tr>
      <w:tr>
        <w:trPr>
          <w:trHeight w:val="180"/>
        </w:trPr>
        <w:tc>
          <w:tcPr>
            <w:tcW w:w="9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Trade names</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7,117</w:t>
            </w:r>
          </w:p>
        </w:tc>
        <w:tc>
          <w:tcPr>
            <w:tcW w:w="0" w:type="dxa"/>
            <w:vAlign w:val="bottom"/>
          </w:tcPr>
          <w:p>
            <w:pPr>
              <w:spacing w:after="0"/>
              <w:rPr>
                <w:sz w:val="1"/>
                <w:szCs w:val="1"/>
                <w:color w:val="auto"/>
              </w:rPr>
            </w:pPr>
          </w:p>
        </w:tc>
      </w:tr>
      <w:tr>
        <w:trPr>
          <w:trHeight w:val="18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0" w:type="dxa"/>
            <w:vAlign w:val="bottom"/>
          </w:tcPr>
          <w:p>
            <w:pPr>
              <w:spacing w:after="0"/>
              <w:rPr>
                <w:sz w:val="1"/>
                <w:szCs w:val="1"/>
                <w:color w:val="auto"/>
              </w:rPr>
            </w:pPr>
          </w:p>
        </w:tc>
      </w:tr>
      <w:tr>
        <w:trPr>
          <w:trHeight w:val="180"/>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96"/>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impairment of long-lived assets</w:t>
            </w: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89,974</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the 2024 Restructuring Plan was substantially complete. LivaNova incurred pre-tax restructuring charges of $13.4 million related to this plan, primarily comprised of severance expenses and retention bonuses. Minimal residual activities and expenses are expected, though estimates remain subject to change.</w:t>
      </w:r>
    </w:p>
    <w:p>
      <w:pPr>
        <w:spacing w:after="0" w:line="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following table presents a reconciliation of the beginning and ending balance of the accruals and other reserves recorded in connection with LivaNova’s restructuring plans included in accounts payable and accrued liabilities and other on the consolidated balance sheets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Employee Severance and Other</w:t>
            </w:r>
          </w:p>
        </w:tc>
        <w:tc>
          <w:tcPr>
            <w:tcW w:w="440" w:type="dxa"/>
            <w:vAlign w:val="bottom"/>
          </w:tcPr>
          <w:p>
            <w:pPr>
              <w:spacing w:after="0"/>
              <w:rPr>
                <w:sz w:val="13"/>
                <w:szCs w:val="13"/>
                <w:color w:val="auto"/>
              </w:rPr>
            </w:pPr>
          </w:p>
        </w:tc>
        <w:tc>
          <w:tcPr>
            <w:tcW w:w="1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60" w:type="dxa"/>
            <w:vAlign w:val="bottom"/>
          </w:tcPr>
          <w:p>
            <w:pPr>
              <w:spacing w:after="0"/>
              <w:rPr>
                <w:sz w:val="13"/>
                <w:szCs w:val="13"/>
                <w:color w:val="auto"/>
              </w:rPr>
            </w:pPr>
          </w:p>
        </w:tc>
        <w:tc>
          <w:tcPr>
            <w:tcW w:w="1520" w:type="dxa"/>
            <w:vAlign w:val="bottom"/>
            <w:vMerge w:val="restart"/>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Termination Costs</w:t>
            </w:r>
          </w:p>
        </w:tc>
        <w:tc>
          <w:tcPr>
            <w:tcW w:w="4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2021</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0" w:type="dxa"/>
            <w:vAlign w:val="bottom"/>
          </w:tcPr>
          <w:p>
            <w:pPr>
              <w:spacing w:after="0"/>
              <w:rPr>
                <w:sz w:val="1"/>
                <w:szCs w:val="1"/>
                <w:color w:val="auto"/>
              </w:rPr>
            </w:pPr>
          </w:p>
        </w:tc>
      </w:tr>
      <w:tr>
        <w:trPr>
          <w:trHeight w:val="180"/>
        </w:trPr>
        <w:tc>
          <w:tcPr>
            <w:tcW w:w="5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payments</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2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180"/>
        </w:trPr>
        <w:tc>
          <w:tcPr>
            <w:tcW w:w="5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payments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0" w:type="dxa"/>
            <w:vAlign w:val="bottom"/>
          </w:tcPr>
          <w:p>
            <w:pPr>
              <w:spacing w:after="0"/>
              <w:rPr>
                <w:sz w:val="1"/>
                <w:szCs w:val="1"/>
                <w:color w:val="auto"/>
              </w:rPr>
            </w:pPr>
          </w:p>
        </w:tc>
      </w:tr>
      <w:tr>
        <w:trPr>
          <w:trHeight w:val="171"/>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24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0" w:type="dxa"/>
            <w:vAlign w:val="bottom"/>
          </w:tcPr>
          <w:p>
            <w:pPr>
              <w:spacing w:after="0"/>
              <w:rPr>
                <w:sz w:val="1"/>
                <w:szCs w:val="1"/>
                <w:color w:val="auto"/>
              </w:rPr>
            </w:pPr>
          </w:p>
        </w:tc>
      </w:tr>
      <w:tr>
        <w:trPr>
          <w:trHeight w:val="180"/>
        </w:trPr>
        <w:tc>
          <w:tcPr>
            <w:tcW w:w="5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13,356</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payments</w:t>
            </w: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(9,441)</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(11,663)</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2024</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following table presents restructuring expense by reportable segment (in thousands):</w:t>
            </w: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240" w:type="dxa"/>
            <w:vAlign w:val="bottom"/>
          </w:tcPr>
          <w:p>
            <w:pPr>
              <w:spacing w:after="0"/>
              <w:rPr>
                <w:sz w:val="15"/>
                <w:szCs w:val="15"/>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13,356</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13,356</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500" w:hanging="240"/>
        <w:spacing w:after="0"/>
        <w:tabs>
          <w:tab w:leader="none" w:pos="500"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primarily includes restructuring expense not allocated to segments.</w:t>
      </w: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color w:val="auto"/>
        </w:rPr>
        <w:t>Note 5. Goodwill and Intangible Assets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LivaNova’s finite-lived and indefinite-lived intangible assets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Finite-lived intangible assets:</w:t>
            </w: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187,196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Developed technology</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Trade names</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Other intangible assets</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gross finite-lived intangible assets</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289,648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304,739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Accumulated amortization - Customer relationships</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Accumulated amortization - Developed technology</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Accumulated amortization - Trade names</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Accumulated amortization - Other intangible assets</w:t>
            </w:r>
          </w:p>
        </w:tc>
        <w:tc>
          <w:tcPr>
            <w:tcW w:w="1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Total accumulated amortization</w:t>
            </w: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164,354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finite-lived intangible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125,294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Indefinite-lived intangible assets: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IPR&amp;D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750,006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782,941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indefinite-lived intangible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862,006</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following table presents the amortization periods for LivaNova’s finite-lived intangible assets as of December 31, 2024:</w:t>
            </w: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Minimum Life in years</w:t>
            </w:r>
          </w:p>
        </w:tc>
        <w:tc>
          <w:tcPr>
            <w:tcW w:w="100" w:type="dxa"/>
            <w:vAlign w:val="bottom"/>
          </w:tcPr>
          <w:p>
            <w:pPr>
              <w:spacing w:after="0"/>
              <w:rPr>
                <w:sz w:val="24"/>
                <w:szCs w:val="24"/>
                <w:color w:val="auto"/>
              </w:rPr>
            </w:pPr>
          </w:p>
        </w:tc>
        <w:tc>
          <w:tcPr>
            <w:tcW w:w="15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Maximum Life in years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85"/>
              </w:rPr>
              <w:t>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99"/>
              </w:rPr>
              <w:t>18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Developed technology</w:t>
            </w:r>
          </w:p>
        </w:tc>
        <w:tc>
          <w:tcPr>
            <w:tcW w:w="100" w:type="dxa"/>
            <w:vAlign w:val="bottom"/>
          </w:tcPr>
          <w:p>
            <w:pPr>
              <w:spacing w:after="0"/>
              <w:rPr>
                <w:sz w:val="16"/>
                <w:szCs w:val="16"/>
                <w:color w:val="auto"/>
              </w:rPr>
            </w:pPr>
          </w:p>
        </w:tc>
        <w:tc>
          <w:tcPr>
            <w:tcW w:w="156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9"/>
              </w:rPr>
              <w:t>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9"/>
              </w:rPr>
              <w:t>17</w:t>
            </w:r>
          </w:p>
        </w:tc>
        <w:tc>
          <w:tcPr>
            <w:tcW w:w="0" w:type="dxa"/>
            <w:vAlign w:val="bottom"/>
          </w:tcPr>
          <w:p>
            <w:pPr>
              <w:spacing w:after="0"/>
              <w:rPr>
                <w:sz w:val="1"/>
                <w:szCs w:val="1"/>
                <w:color w:val="auto"/>
              </w:rPr>
            </w:pPr>
          </w:p>
        </w:tc>
      </w:tr>
      <w:tr>
        <w:trPr>
          <w:trHeight w:val="325"/>
        </w:trPr>
        <w:tc>
          <w:tcPr>
            <w:tcW w:w="96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presents estimated future amortization expense based on LivaNova’s finite-lived intangible assets as of December 31, 2024 (in thousands):</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7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7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4"/>
          <w:szCs w:val="14"/>
          <w:color w:val="auto"/>
        </w:rPr>
        <w:t>In connection with the 2024 Restructuring Plan, as previously discussed in “Note 4. Restructuring,” LivaNova recorded impairments of the ACS developed technology and trade names intangible assets of $78.1 million and $7.1 million, respectively, during the year ended December 31, 2023, which are included within impairment of long-lived assets on the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color w:val="auto"/>
        </w:rPr>
        <w:t>Goodwill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carrying amount of goodwill by reportable segment for the years ended December 31, 2024, 2023, and 2022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240" w:type="dxa"/>
            <w:vAlign w:val="bottom"/>
          </w:tcPr>
          <w:p>
            <w:pPr>
              <w:spacing w:after="0"/>
              <w:rPr>
                <w:sz w:val="17"/>
                <w:szCs w:val="17"/>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2021</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398,245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102,526</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899,525</w:t>
            </w:r>
          </w:p>
        </w:tc>
      </w:tr>
      <w:tr>
        <w:trPr>
          <w:trHeight w:val="180"/>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Goodwill as a result of acquisition</w:t>
            </w:r>
          </w:p>
        </w:tc>
        <w:tc>
          <w:tcPr>
            <w:tcW w:w="220" w:type="dxa"/>
            <w:vAlign w:val="bottom"/>
          </w:tcPr>
          <w:p>
            <w:pPr>
              <w:spacing w:after="0"/>
              <w:rPr>
                <w:sz w:val="15"/>
                <w:szCs w:val="15"/>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25,893</w:t>
            </w:r>
          </w:p>
        </w:tc>
      </w:tr>
      <w:tr>
        <w:trPr>
          <w:trHeight w:val="18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Measurement period adjustments</w:t>
            </w:r>
          </w:p>
        </w:tc>
        <w:tc>
          <w:tcPr>
            <w:tcW w:w="2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r>
      <w:tr>
        <w:trPr>
          <w:trHeight w:val="180"/>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Impairment</w:t>
            </w:r>
          </w:p>
        </w:tc>
        <w:tc>
          <w:tcPr>
            <w:tcW w:w="220" w:type="dxa"/>
            <w:vAlign w:val="bottom"/>
          </w:tcPr>
          <w:p>
            <w:pPr>
              <w:spacing w:after="0"/>
              <w:rPr>
                <w:sz w:val="15"/>
                <w:szCs w:val="15"/>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(129,396)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(129,396)</w:t>
            </w:r>
          </w:p>
        </w:tc>
      </w:tr>
      <w:tr>
        <w:trPr>
          <w:trHeight w:val="18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(28,212)</w:t>
            </w:r>
          </w:p>
        </w:tc>
      </w:tr>
      <w:tr>
        <w:trPr>
          <w:trHeight w:val="17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370,033</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1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768,787</w:t>
            </w:r>
          </w:p>
        </w:tc>
      </w:tr>
      <w:tr>
        <w:trPr>
          <w:trHeight w:val="18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14,154</w:t>
            </w:r>
          </w:p>
        </w:tc>
      </w:tr>
      <w:tr>
        <w:trPr>
          <w:trHeight w:val="17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384,187</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1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782,941</w:t>
            </w:r>
          </w:p>
        </w:tc>
      </w:tr>
      <w:tr>
        <w:trPr>
          <w:trHeight w:val="18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(32,935)</w:t>
            </w:r>
          </w:p>
        </w:tc>
      </w:tr>
      <w:tr>
        <w:trPr>
          <w:trHeight w:val="171"/>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2024</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351,252</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10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750,006</w:t>
            </w:r>
          </w:p>
        </w:tc>
      </w:tr>
      <w:tr>
        <w:trPr>
          <w:trHeight w:val="20"/>
        </w:trPr>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500" w:hanging="240"/>
        <w:spacing w:after="0"/>
        <w:tabs>
          <w:tab w:leader="none" w:pos="50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represents LivaNova’s former ACS reportable segment.</w:t>
      </w:r>
    </w:p>
    <w:p>
      <w:pPr>
        <w:spacing w:after="0" w:line="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As part of LivaNova’s third-quarter 2022 goodwill impairment assessment, the Company considered that revenue for its ACS reporting unit during the nine months ended September 30, 2022 had declined by 29% compared to the prior year period, primarily as a result of a reduction in severe COVID-19 cases, hospital-related challenges, and product mix. As a result, the Company lowered its future revenue projections for the ACS reporting unit. Based on these circumstances, LivaNova concluded it was more likely than not that the goodwill of LivaNova’s ACS reporting unit was impaired and performed a quantitative assessment of the goodwill as of September 30, 2022, using management’s then-current estimate of future cash flows. Based on the valuation performed, LivaNova determined that the fair value of the ACS reporting unit was less than the carrying value and recognized a goodwill impairment of $129.4 million in LivaNova’s consolidated statement of loss during the year ended December 31, 2022.</w:t>
      </w:r>
    </w:p>
    <w:p>
      <w:pPr>
        <w:spacing w:after="0" w:line="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performed a quantitative goodwill impairment assessment for its Cardiopulmonary and Neuromodulation reporting units as of October 1, 2024. The assessment was performed using management’s current estimate of future cash flows. LivaNova concluded that the fair value of its Cardiopulmonary and Neuromodulation reporting units exceeded the carrying value of the respective reporting units and were, therefore, not impaired on the October 1, 2024 test date.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Investments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carrying value of LivaNova’s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r>
      <w:tr>
        <w:trPr>
          <w:trHeight w:val="171"/>
        </w:trPr>
        <w:tc>
          <w:tcPr>
            <w:tcW w:w="78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with readily determinable fair value:</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0"/>
        </w:trPr>
        <w:tc>
          <w:tcPr>
            <w:tcW w:w="786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Ceribell, Inc. </w:t>
            </w:r>
            <w:r>
              <w:rPr>
                <w:rFonts w:ascii="Times New Roman" w:cs="Times New Roman" w:eastAsia="Times New Roman" w:hAnsi="Times New Roman"/>
                <w:sz w:val="18"/>
                <w:szCs w:val="18"/>
                <w:color w:val="auto"/>
                <w:vertAlign w:val="superscript"/>
              </w:rPr>
              <w:t>(1)</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10,144</w:t>
            </w: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without readily determinable fair values: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Cadence Neuroscience, Inc.</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8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Noctrix Health, Inc.</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w:t>
            </w:r>
          </w:p>
        </w:tc>
      </w:tr>
      <w:tr>
        <w:trPr>
          <w:trHeight w:val="180"/>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Rainbow Medical Ltd.</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r>
      <w:tr>
        <w:trPr>
          <w:trHeight w:val="18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Highlife S.A.S.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r>
      <w:tr>
        <w:trPr>
          <w:trHeight w:val="180"/>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MD Start II</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r>
      <w:tr>
        <w:trPr>
          <w:trHeight w:val="180"/>
        </w:trPr>
        <w:tc>
          <w:tcPr>
            <w:tcW w:w="78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ShiraTronics, Inc. </w:t>
            </w:r>
            <w:r>
              <w:rPr>
                <w:rFonts w:ascii="Times New Roman" w:cs="Times New Roman" w:eastAsia="Times New Roman" w:hAnsi="Times New Roman"/>
                <w:sz w:val="18"/>
                <w:szCs w:val="18"/>
                <w:color w:val="auto"/>
                <w:vertAlign w:val="superscript"/>
              </w:rPr>
              <w:t>(2)</w:t>
            </w:r>
          </w:p>
        </w:tc>
        <w:tc>
          <w:tcPr>
            <w:tcW w:w="3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w:t>
            </w:r>
          </w:p>
        </w:tc>
      </w:tr>
      <w:tr>
        <w:trPr>
          <w:trHeight w:val="180"/>
        </w:trPr>
        <w:tc>
          <w:tcPr>
            <w:tcW w:w="786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Ceribell, Inc. </w:t>
            </w:r>
            <w:r>
              <w:rPr>
                <w:rFonts w:ascii="Times New Roman" w:cs="Times New Roman" w:eastAsia="Times New Roman" w:hAnsi="Times New Roman"/>
                <w:sz w:val="18"/>
                <w:szCs w:val="18"/>
                <w:color w:val="auto"/>
                <w:vertAlign w:val="superscript"/>
              </w:rPr>
              <w:t>(1)</w:t>
            </w:r>
          </w:p>
        </w:tc>
        <w:tc>
          <w:tcPr>
            <w:tcW w:w="38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71"/>
        </w:trPr>
        <w:tc>
          <w:tcPr>
            <w:tcW w:w="78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11,222</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19,907</w:t>
            </w:r>
          </w:p>
        </w:tc>
      </w:tr>
      <w:tr>
        <w:trPr>
          <w:trHeight w:val="180"/>
        </w:trPr>
        <w:tc>
          <w:tcPr>
            <w:tcW w:w="786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Equity method investment </w:t>
            </w:r>
            <w:r>
              <w:rPr>
                <w:rFonts w:ascii="Times New Roman" w:cs="Times New Roman" w:eastAsia="Times New Roman" w:hAnsi="Times New Roman"/>
                <w:sz w:val="18"/>
                <w:szCs w:val="18"/>
                <w:color w:val="auto"/>
                <w:vertAlign w:val="superscript"/>
              </w:rPr>
              <w:t>(3)</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3,718</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2,936</w:t>
            </w:r>
          </w:p>
        </w:tc>
      </w:tr>
      <w:tr>
        <w:trPr>
          <w:trHeight w:val="196"/>
        </w:trPr>
        <w:tc>
          <w:tcPr>
            <w:tcW w:w="78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25,084</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line="225" w:lineRule="auto"/>
        <w:tabs>
          <w:tab w:leader="none" w:pos="51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October 10, 2024, Ceribell, Inc. (Nasdaq: CBLL) announced its initial public offering and began trading on October 11, 2024. Per the amended Articles of Incorporation, LivaNova’s Series B Preferred shares converted to common stock upon the offering. As a result, LivaNova’s investment in Ceribell, Inc. is now classified as an investment with a readily determinable fair value and</w:t>
      </w: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73" w:name="page74"/>
    <w:bookmarkEnd w:id="73"/>
    <w:p>
      <w:pPr>
        <w:ind w:left="520"/>
        <w:spacing w:after="0" w:line="260" w:lineRule="auto"/>
        <w:rPr>
          <w:sz w:val="20"/>
          <w:szCs w:val="20"/>
          <w:color w:val="auto"/>
        </w:rPr>
      </w:pPr>
      <w:r>
        <w:rPr>
          <w:rFonts w:ascii="Times New Roman" w:cs="Times New Roman" w:eastAsia="Times New Roman" w:hAnsi="Times New Roman"/>
          <w:sz w:val="13"/>
          <w:szCs w:val="13"/>
          <w:color w:val="auto"/>
        </w:rPr>
        <w:t>measured on a recurring basis (Level 1) (previously Level 3 with fair value measured on a nonrecurring basis). As of December 31, 2024, LivaNova held 391,952 common shares and recognized a $7.1 million unrealized gain on investment during the fourth quarter of 2024, which is included in foreign exchange and other income/(expense) on LivaNova’s consolidated statements of income (loss).</w:t>
      </w:r>
    </w:p>
    <w:p>
      <w:pPr>
        <w:spacing w:after="0" w:line="1" w:lineRule="exact"/>
        <w:rPr>
          <w:sz w:val="20"/>
          <w:szCs w:val="20"/>
          <w:color w:val="auto"/>
        </w:rPr>
      </w:pPr>
    </w:p>
    <w:p>
      <w:pPr>
        <w:ind w:left="520" w:hanging="260"/>
        <w:spacing w:after="0" w:line="221" w:lineRule="auto"/>
        <w:tabs>
          <w:tab w:leader="none" w:pos="51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During the second quarter of 2024, LivaNova recognized an impairment of its investment in ShiraTronics, Inc. upon the conversion of LivaNova’s investment from preferred shares to common stock, which is included in foreign exchange and other income/(expense) on LivaNova’s consolidated statements of income (loss).</w:t>
      </w:r>
    </w:p>
    <w:p>
      <w:pPr>
        <w:ind w:left="520" w:hanging="260"/>
        <w:spacing w:after="0" w:line="221" w:lineRule="auto"/>
        <w:tabs>
          <w:tab w:leader="none" w:pos="51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 of December 31, 2024 and 2023, LivaNova had commitments to fund follow-on investments up to €1.0 million and €1.9 million ($1.0 million and $2.0 million as of December 31, 2024 and 2023, respectively) based on cash calls.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Derivatives and Risk Management</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Due to the global nature of LivaNova’s operations, the Company is exposed to FX fluctuations. LivaNova enters into FX derivative contracts to reduce the impact of FX fluctuations on earnings and cash flow.</w:t>
      </w:r>
    </w:p>
    <w:p>
      <w:pPr>
        <w:spacing w:after="0" w:line="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is also exposed to equity price risk in connection with its 2025 Notes and 2029 Notes, including exchange/conversion and settlement provisions based on the price of its ordinary shares at exchange/conversion or maturity of the 2025 Notes and 2029 Notes. The Capped Call Transactions associated with the 2025 Notes and 2029 Notes also include settlement provisions that are based on the price of LivaNova’s ordinary shares, subject to a capped price per share. LivaNova does not enter into derivative contracts for speculative purposes.</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measures all outstanding derivatives each period-end at fair value and reports the fair value as either financial assets or liabilities on the consolidated balance sheets. At inception of the contract, the derivative is designated as either a freestanding derivative or a hedge. Derivatives that are not designated as hedging instruments are referred to as freestanding derivatives with changes in fair value included in earnings. These derivatives are intended to serve as economic hedges and follow the cash flows of the economic hedged item. The cash flows from these derivative contracts are reported as operating activities on LivaNova’s consolidated statements of cash flows.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the derivative qualifies for hedge accounting, changes in the fair value of the derivative will be recorded in AOCI until the hedged item is recognized in earnings upon settlement/termination.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rate swap gains and losses in AOCI are reclassified to interest expense on LivaNova’s consolidated statements of income (loss). LivaNova evaluates hedge effectiveness at inception.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had no designated hedging instruments as of December 31, 2024 and 2023.</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Freestanding FX Derivatives</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gross notional amount of freestanding FX derivative contracts not designated as hedging instruments outstanding as of December 31, 2024 and 2023 was $442.3 million and $223.4 million, respectively. These derivative contracts are designed to offset the FX effects in earnings of various intercompany loans and trade receivables. LivaNova recorded a net gain for freestanding derivatives of $5.2 million for the year ended December 31, 2024, a net loss of $1.3 million, and a net gain of $4.5 million for the years ended December 31, 2023 and 2022, respectively. These gains and losses are included in foreign exchange and other income/(expense) on LivaNova’s consolidated statements of income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Capped Call Derivatives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Capped Call Transactions are carried on the consolidated balance sheets as a derivative asset at their estimated fair value and are adjusted at the end of each reporting period, with unrealized gain or loss reflected in foreign exchange and other income/(expense) in the consolidated statements of income (loss). The Capped Call Transactions are measured at fair value using the Black-Scholes model utilizing observable and unobservable market data, including stock price, remaining contractual term, expected volatility, risk-free interest rate, and expected dividend yield, as applicable. For additional information, refer to “Note 9. Financing Arrangements.”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2025 Capped Calls</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June 2020, LivaNova issued the 2025 Notes. In connection with the pricing of the 2025 Notes, the Company entered into related privately-negotiated capped call transactions with certain financial institutions. Under the 2025 Capped Calls, the Company purchased a capped call option with an initial strike price of $60.98 and an initial cap price of $100.00 per share. The strike price, which is subject to certain adjustments, corresponds to the initial exchange price of the 2025 Notes. The 2025 Capped Calls are intended to offset any cash payments upon exchange of the 2025 Notes in excess of the principal amount; however, the proceeds are limited to the initial cap price in the event the Company’s share price exceeds the cap price at the time of an exchange. The 2025 Capped Calls expire on December 15, 2025, and must be settled in cash. The 2025 Capped Calls are subject to anti-dilution adjustments substantially similar to those applicable to the 2025 Notes and cover the number of LivaNova’s ordinary shares underlying the 2025 Notes. If the 2025 Capped Calls are terminated early, settlement occurs at their termination value, which is equal to their fair value at the time of the early termination. In connection with the issuance of the</w:t>
      </w: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74" w:name="page75"/>
    <w:bookmarkEnd w:id="74"/>
    <w:p>
      <w:pPr>
        <w:jc w:val="both"/>
        <w:spacing w:after="0" w:line="278" w:lineRule="auto"/>
        <w:rPr>
          <w:sz w:val="20"/>
          <w:szCs w:val="20"/>
          <w:color w:val="auto"/>
        </w:rPr>
      </w:pPr>
      <w:r>
        <w:rPr>
          <w:rFonts w:ascii="Times New Roman" w:cs="Times New Roman" w:eastAsia="Times New Roman" w:hAnsi="Times New Roman"/>
          <w:sz w:val="14"/>
          <w:szCs w:val="14"/>
          <w:color w:val="auto"/>
        </w:rPr>
        <w:t>2029 Notes, the Company repurchased an aggregate principal amount of $230.0 million of the 2025 Notes and unwound a corresponding portion of the 2025 Capped Calls at the fair value of such portion of the 2025 Capped Calls. The Company received $22.5 million in cash consideration, the fair value of the terminated portion, upon settlement. The terms of the remaining 2025 Capped Calls remain unchanged and continue to be classified as long-term derivative assets.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2029 Capped Calls</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March 2024, LivaNova issued the 2029 Notes. In connection with the pricing of the 2029 Notes, the Company entered into related privately-negotiated capped call transactions with certain financial institutions. Under the 2029 Capped Calls, the Company purchased a capped call option with an initial strike price of $69.40 and an initial cap price of $94.28 per share. The strike price, which is subject to certain adjustments, corresponds to the initial conversion price of the 2029 Notes. The 2029 Capped Calls are intended to offset any cash payments and/or cash equivalent value of ordinary shares upon conversion of the 2029 Notes if the market value per ordinary share is greater than the strike price, with such offsets being subject to the initial cap price of $94.28 per share. However, the proceeds under the 2029 Capped Calls are limited to the initial cap price in the event the Company’s share price exceeds the cap price at the time of conversion. The 2029 Capped Calls expire on March 15, 2029, and must be settled in cash. The 2029 Capped Calls are subject to anti-dilution adjustments substantially similar to those applicable to the 2029 Notes and cover the number of LivaNova’s ordinary shares underlying the 2029 Notes. If the 2029 Capped Calls are terminated early, settlement occurs at their termination value, which is equal to their fair value at the time of the early termination. For transaction costs associated with entering into the 2029 Capped Calls, refer to “Additions” in the “Reconciliation of Level 3 Assets and Liabilities” table within “Note 8. Fair Value Measurements.”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Embedded Derivatives</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2025 Notes and 2029 Notes each include terms resulting in a bifurcated embedded derivative. The Embedded Derivatives are measured at fair value using a binomial lattice model and estimated discounted cash flows that utilize observable and unobservable market data and are adjusted at the end of each reporting period, with the unrealized gain or loss reflected in foreign exchange and other income/(expense) in the consolidated statements of income (loss). For additional information, refer to “Note 9. Financing Arrangements.”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Counterparty Credit Risk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is exposed to credit risk in the event of non-performance by the counterparties to the Company’s derivatives.</w:t>
      </w:r>
    </w:p>
    <w:p>
      <w:pPr>
        <w:spacing w:after="0" w:line="9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Option Counterparties are financial institutions. To limit LivaNova’s credit risk, the Company selected financial institutions with a minimum long-term investment grade credit rating. LivaNova’s exposure to the credit risk of the Option Counterparties is not secured by any collateral. If one or more of the Option Counterparties becomes subject to insolvency proceedings, LivaNova will become an unsecured creditor in those proceedings, with a claim equal to the Company’s exposure at that time under the 2025 Capped Calls and/or 2029 Capped Calls, as applicable, with that Option Counterparty.</w:t>
      </w:r>
    </w:p>
    <w:p>
      <w:pPr>
        <w:spacing w:after="0" w:line="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To manage credit risk with respect to LivaNova’s other derivatives, the Company selects and periodically reviews counterparties based on credit ratings, limits its exposure with respect to each counterparty, and monitors their respective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Flow Hedges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Historically, LivaNova entered into interest rate swaps associated with the Initial Term Facility, which qualified for and were designated as cash flow hedges. The Company’s outstanding interest rate swaps expired on April 6, 2023. LivaNova elected not to renew the interest rate swaps. Interest expense associated with the Initial Term Facility is principally offset by holding proceeds from the Term Facilities in a depository account, which earns a floating rate of interest.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pre-tax gains (losses) for derivative contracts designated as cash flow hedges recognized in OCI and the amount reclassified to earnings from AOCI were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27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Location in Earnings of Reclassified Gain</w:t>
            </w:r>
          </w:p>
        </w:tc>
        <w:tc>
          <w:tcPr>
            <w:tcW w:w="280" w:type="dxa"/>
            <w:vAlign w:val="bottom"/>
          </w:tcPr>
          <w:p>
            <w:pPr>
              <w:spacing w:after="0"/>
              <w:rPr>
                <w:sz w:val="11"/>
                <w:szCs w:val="11"/>
                <w:color w:val="auto"/>
              </w:rPr>
            </w:pPr>
          </w:p>
        </w:tc>
        <w:tc>
          <w:tcPr>
            <w:tcW w:w="2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Loss Recognized in OCI</w:t>
            </w:r>
          </w:p>
        </w:tc>
        <w:tc>
          <w:tcPr>
            <w:tcW w:w="160" w:type="dxa"/>
            <w:vAlign w:val="bottom"/>
          </w:tcPr>
          <w:p>
            <w:pPr>
              <w:spacing w:after="0"/>
              <w:rPr>
                <w:sz w:val="11"/>
                <w:szCs w:val="11"/>
                <w:color w:val="auto"/>
              </w:rPr>
            </w:pPr>
          </w:p>
        </w:tc>
        <w:tc>
          <w:tcPr>
            <w:tcW w:w="2220" w:type="dxa"/>
            <w:vAlign w:val="bottom"/>
          </w:tcPr>
          <w:p>
            <w:pPr>
              <w:jc w:val="center"/>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Gain Reclassified from AOCI to</w:t>
            </w:r>
          </w:p>
        </w:tc>
        <w:tc>
          <w:tcPr>
            <w:tcW w:w="0" w:type="dxa"/>
            <w:vAlign w:val="bottom"/>
          </w:tcPr>
          <w:p>
            <w:pPr>
              <w:spacing w:after="0"/>
              <w:rPr>
                <w:sz w:val="1"/>
                <w:szCs w:val="1"/>
                <w:color w:val="auto"/>
              </w:rPr>
            </w:pPr>
          </w:p>
        </w:tc>
      </w:tr>
      <w:tr>
        <w:trPr>
          <w:trHeight w:val="191"/>
        </w:trPr>
        <w:tc>
          <w:tcPr>
            <w:tcW w:w="3620" w:type="dxa"/>
            <w:vAlign w:val="bottom"/>
            <w:gridSpan w:val="2"/>
            <w:vMerge w:val="continue"/>
          </w:tcPr>
          <w:p>
            <w:pPr>
              <w:spacing w:after="0"/>
              <w:rPr>
                <w:sz w:val="16"/>
                <w:szCs w:val="16"/>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or Loss</w:t>
            </w:r>
          </w:p>
        </w:tc>
        <w:tc>
          <w:tcPr>
            <w:tcW w:w="280" w:type="dxa"/>
            <w:vAlign w:val="bottom"/>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0" w:type="dxa"/>
            <w:vAlign w:val="bottom"/>
          </w:tcPr>
          <w:p>
            <w:pPr>
              <w:spacing w:after="0"/>
              <w:rPr>
                <w:sz w:val="1"/>
                <w:szCs w:val="1"/>
                <w:color w:val="auto"/>
              </w:rPr>
            </w:pPr>
          </w:p>
        </w:tc>
      </w:tr>
      <w:tr>
        <w:trPr>
          <w:trHeight w:val="171"/>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100" w:type="dxa"/>
            <w:vAlign w:val="bottom"/>
            <w:tcBorders>
              <w:top w:val="single" w:sz="8" w:color="CCEEFF"/>
            </w:tcBorders>
            <w:shd w:val="clear" w:color="auto" w:fill="CCEEFF"/>
          </w:tcPr>
          <w:p>
            <w:pPr>
              <w:spacing w:after="0"/>
              <w:rPr>
                <w:sz w:val="14"/>
                <w:szCs w:val="14"/>
                <w:color w:val="auto"/>
              </w:rPr>
            </w:pPr>
          </w:p>
        </w:tc>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753"/>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F-20</w:t>
            </w:r>
          </w:p>
        </w:tc>
        <w:tc>
          <w:tcPr>
            <w:tcW w:w="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27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Location in Earnings of Reclassified Gain</w:t>
            </w:r>
          </w:p>
        </w:tc>
        <w:tc>
          <w:tcPr>
            <w:tcW w:w="180" w:type="dxa"/>
            <w:vAlign w:val="bottom"/>
          </w:tcPr>
          <w:p>
            <w:pPr>
              <w:spacing w:after="0"/>
              <w:rPr>
                <w:sz w:val="11"/>
                <w:szCs w:val="11"/>
                <w:color w:val="auto"/>
              </w:rPr>
            </w:pPr>
          </w:p>
        </w:tc>
        <w:tc>
          <w:tcPr>
            <w:tcW w:w="2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 Gain Recognized in OCI</w:t>
            </w:r>
          </w:p>
        </w:tc>
        <w:tc>
          <w:tcPr>
            <w:tcW w:w="160" w:type="dxa"/>
            <w:vAlign w:val="bottom"/>
          </w:tcPr>
          <w:p>
            <w:pPr>
              <w:spacing w:after="0"/>
              <w:rPr>
                <w:sz w:val="11"/>
                <w:szCs w:val="11"/>
                <w:color w:val="auto"/>
              </w:rPr>
            </w:pPr>
          </w:p>
        </w:tc>
        <w:tc>
          <w:tcPr>
            <w:tcW w:w="2220" w:type="dxa"/>
            <w:vAlign w:val="bottom"/>
          </w:tcPr>
          <w:p>
            <w:pPr>
              <w:jc w:val="right"/>
              <w:ind w:right="169"/>
              <w:spacing w:after="0" w:line="129" w:lineRule="exact"/>
              <w:rPr>
                <w:sz w:val="20"/>
                <w:szCs w:val="20"/>
                <w:color w:val="auto"/>
              </w:rPr>
            </w:pPr>
            <w:r>
              <w:rPr>
                <w:rFonts w:ascii="Times New Roman" w:cs="Times New Roman" w:eastAsia="Times New Roman" w:hAnsi="Times New Roman"/>
                <w:sz w:val="14"/>
                <w:szCs w:val="14"/>
                <w:b w:val="1"/>
                <w:bCs w:val="1"/>
                <w:color w:val="auto"/>
              </w:rPr>
              <w:t>Loss Reclassified from AOCI to</w:t>
            </w:r>
          </w:p>
        </w:tc>
        <w:tc>
          <w:tcPr>
            <w:tcW w:w="0" w:type="dxa"/>
            <w:vAlign w:val="bottom"/>
          </w:tcPr>
          <w:p>
            <w:pPr>
              <w:spacing w:after="0"/>
              <w:rPr>
                <w:sz w:val="1"/>
                <w:szCs w:val="1"/>
                <w:color w:val="auto"/>
              </w:rPr>
            </w:pPr>
          </w:p>
        </w:tc>
      </w:tr>
      <w:tr>
        <w:trPr>
          <w:trHeight w:val="191"/>
        </w:trPr>
        <w:tc>
          <w:tcPr>
            <w:tcW w:w="3620" w:type="dxa"/>
            <w:vAlign w:val="bottom"/>
            <w:gridSpan w:val="2"/>
            <w:vMerge w:val="continue"/>
          </w:tcPr>
          <w:p>
            <w:pPr>
              <w:spacing w:after="0"/>
              <w:rPr>
                <w:sz w:val="16"/>
                <w:szCs w:val="16"/>
                <w:color w:val="auto"/>
              </w:rPr>
            </w:pPr>
          </w:p>
        </w:tc>
        <w:tc>
          <w:tcPr>
            <w:tcW w:w="2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or Loss</w:t>
            </w:r>
          </w:p>
        </w:tc>
        <w:tc>
          <w:tcPr>
            <w:tcW w:w="2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71"/>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100" w:type="dxa"/>
            <w:vAlign w:val="bottom"/>
            <w:tcBorders>
              <w:top w:val="single" w:sz="8" w:color="CCEEFF"/>
            </w:tcBorders>
            <w:shd w:val="clear" w:color="auto" w:fill="CCEEFF"/>
          </w:tcPr>
          <w:p>
            <w:pPr>
              <w:spacing w:after="0"/>
              <w:rPr>
                <w:sz w:val="14"/>
                <w:szCs w:val="14"/>
                <w:color w:val="auto"/>
              </w:rPr>
            </w:pPr>
          </w:p>
        </w:tc>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8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29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SG&amp;A</w:t>
            </w: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(5,165)</w:t>
            </w:r>
          </w:p>
        </w:tc>
        <w:tc>
          <w:tcPr>
            <w:tcW w:w="0" w:type="dxa"/>
            <w:vAlign w:val="bottom"/>
          </w:tcPr>
          <w:p>
            <w:pPr>
              <w:spacing w:after="0"/>
              <w:rPr>
                <w:sz w:val="1"/>
                <w:szCs w:val="1"/>
                <w:color w:val="auto"/>
              </w:rPr>
            </w:pPr>
          </w:p>
        </w:tc>
      </w:tr>
      <w:tr>
        <w:trPr>
          <w:trHeight w:val="18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 Sheet Presentation</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offsets fair value amounts associated with its derivative instruments that are executed with the same counterparty under master netting arrangements on the Company’s consolidated balance sheets. Master netting arrangements include a right to set off or net together purchases and sales of similar products in the settlement process.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fair value and the location of derivative contracts reported on the consolidated balance sheets (in thousands):</w:t>
      </w:r>
    </w:p>
    <w:p>
      <w:pPr>
        <w:sectPr>
          <w:pgSz w:w="11900" w:h="16838" w:orient="portrait"/>
          <w:cols w:equalWidth="0" w:num="1">
            <w:col w:w="11280"/>
          </w:cols>
          <w:pgMar w:left="300" w:top="844" w:right="319" w:bottom="1440" w:gutter="0" w:footer="0" w:header="0"/>
        </w:sectPr>
      </w:pP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03454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8">
                      <a:extLst>
                        <a:ext uri="{28A0092B-C50C-407E-A947-70E740481C1C}"/>
                      </a:extLst>
                    </a:blip>
                    <a:srcRect/>
                    <a:stretch>
                      <a:fillRect/>
                    </a:stretch>
                  </pic:blipFill>
                  <pic:spPr bwMode="auto">
                    <a:xfrm>
                      <a:off x="0" y="0"/>
                      <a:ext cx="203454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Derivatives Not Designated as Hedging Instruments:</w:t>
      </w:r>
    </w:p>
    <w:p>
      <w:pPr>
        <w:spacing w:after="0" w:line="32" w:lineRule="exact"/>
        <w:rPr>
          <w:sz w:val="20"/>
          <w:szCs w:val="20"/>
          <w:color w:val="auto"/>
        </w:rPr>
      </w:pPr>
    </w:p>
    <w:p>
      <w:pPr>
        <w:ind w:left="20" w:right="1060"/>
        <w:spacing w:after="0" w:line="277" w:lineRule="auto"/>
        <w:rPr>
          <w:sz w:val="20"/>
          <w:szCs w:val="20"/>
          <w:color w:val="auto"/>
        </w:rPr>
      </w:pPr>
      <w:r>
        <w:rPr>
          <w:rFonts w:ascii="Times New Roman" w:cs="Times New Roman" w:eastAsia="Times New Roman" w:hAnsi="Times New Roman"/>
          <w:sz w:val="14"/>
          <w:szCs w:val="14"/>
          <w:color w:val="auto"/>
        </w:rPr>
        <w:t>Capped call derivatives (2025 Notes) Capped call derivatives (2029 Notes) Embedded derivative (2025 Notes) Embedded derivative (2029 Notes) FX derivative contracts</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derivatives not designated as hedging instruments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5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4"/>
                <w:szCs w:val="14"/>
                <w:color w:val="auto"/>
              </w:rPr>
            </w:pPr>
          </w:p>
        </w:tc>
        <w:tc>
          <w:tcPr>
            <w:tcW w:w="1180" w:type="dxa"/>
            <w:vAlign w:val="bottom"/>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4"/>
                <w:szCs w:val="14"/>
                <w:color w:val="auto"/>
              </w:rPr>
            </w:pPr>
          </w:p>
        </w:tc>
        <w:tc>
          <w:tcPr>
            <w:tcW w:w="25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4"/>
                <w:szCs w:val="14"/>
                <w:color w:val="auto"/>
              </w:rPr>
            </w:pPr>
          </w:p>
        </w:tc>
        <w:tc>
          <w:tcPr>
            <w:tcW w:w="1160" w:type="dxa"/>
            <w:vAlign w:val="bottom"/>
          </w:tcPr>
          <w:p>
            <w:pPr>
              <w:jc w:val="right"/>
              <w:ind w:right="20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67"/>
        </w:trPr>
        <w:tc>
          <w:tcPr>
            <w:tcW w:w="2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tcPr>
          <w:p>
            <w:pPr>
              <w:spacing w:after="0"/>
              <w:rPr>
                <w:sz w:val="14"/>
                <w:szCs w:val="14"/>
                <w:color w:val="auto"/>
              </w:rPr>
            </w:pPr>
          </w:p>
        </w:tc>
        <w:tc>
          <w:tcPr>
            <w:tcW w:w="2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23,735</w:t>
            </w:r>
          </w:p>
        </w:tc>
        <w:tc>
          <w:tcPr>
            <w:tcW w:w="100" w:type="dxa"/>
            <w:vAlign w:val="bottom"/>
          </w:tcPr>
          <w:p>
            <w:pPr>
              <w:spacing w:after="0"/>
              <w:rPr>
                <w:sz w:val="16"/>
                <w:szCs w:val="16"/>
                <w:color w:val="auto"/>
              </w:rPr>
            </w:pPr>
          </w:p>
        </w:tc>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0" w:type="dxa"/>
            <w:vAlign w:val="bottom"/>
          </w:tcPr>
          <w:p>
            <w:pPr>
              <w:spacing w:after="0"/>
              <w:rPr>
                <w:sz w:val="1"/>
                <w:szCs w:val="1"/>
                <w:color w:val="auto"/>
              </w:rPr>
            </w:pPr>
          </w:p>
        </w:tc>
      </w:tr>
      <w:tr>
        <w:trPr>
          <w:trHeight w:val="177"/>
        </w:trPr>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Pr>
          <w:p>
            <w:pPr>
              <w:spacing w:after="0"/>
              <w:rPr>
                <w:sz w:val="16"/>
                <w:szCs w:val="16"/>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51,819</w:t>
            </w:r>
          </w:p>
        </w:tc>
        <w:tc>
          <w:tcPr>
            <w:tcW w:w="0" w:type="dxa"/>
            <w:vAlign w:val="bottom"/>
          </w:tcPr>
          <w:p>
            <w:pPr>
              <w:spacing w:after="0"/>
              <w:rPr>
                <w:sz w:val="1"/>
                <w:szCs w:val="1"/>
                <w:color w:val="auto"/>
              </w:rPr>
            </w:pPr>
          </w:p>
        </w:tc>
      </w:tr>
      <w:tr>
        <w:trPr>
          <w:trHeight w:val="181"/>
        </w:trPr>
        <w:tc>
          <w:tcPr>
            <w:tcW w:w="2580" w:type="dxa"/>
            <w:vAlign w:val="bottom"/>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27,097</w:t>
            </w: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54,734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-2091690</wp:posOffset>
            </wp:positionH>
            <wp:positionV relativeFrom="paragraph">
              <wp:posOffset>-727075</wp:posOffset>
            </wp:positionV>
            <wp:extent cx="7148195" cy="1212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-491490</wp:posOffset>
            </wp:positionV>
            <wp:extent cx="7148195" cy="1143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0">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-262255</wp:posOffset>
            </wp:positionV>
            <wp:extent cx="7148195" cy="1143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1">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3180" w:space="120"/>
            <w:col w:w="7980"/>
          </w:cols>
          <w:pgMar w:left="300" w:top="844" w:right="31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58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1180" w:type="dxa"/>
            <w:vAlign w:val="bottom"/>
          </w:tcPr>
          <w:p>
            <w:pPr>
              <w:spacing w:after="0"/>
              <w:rPr>
                <w:sz w:val="16"/>
                <w:szCs w:val="16"/>
                <w:color w:val="auto"/>
              </w:rPr>
            </w:pPr>
          </w:p>
        </w:tc>
      </w:tr>
      <w:tr>
        <w:trPr>
          <w:trHeight w:val="171"/>
        </w:trPr>
        <w:tc>
          <w:tcPr>
            <w:tcW w:w="3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00" w:type="dxa"/>
            <w:vAlign w:val="bottom"/>
          </w:tcPr>
          <w:p>
            <w:pPr>
              <w:spacing w:after="0"/>
              <w:rPr>
                <w:sz w:val="14"/>
                <w:szCs w:val="14"/>
                <w:color w:val="auto"/>
              </w:rPr>
            </w:pPr>
          </w:p>
        </w:tc>
        <w:tc>
          <w:tcPr>
            <w:tcW w:w="2580" w:type="dxa"/>
            <w:vAlign w:val="bottom"/>
            <w:tcBorders>
              <w:top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4"/>
                <w:szCs w:val="14"/>
                <w:color w:val="auto"/>
              </w:rPr>
            </w:pPr>
          </w:p>
        </w:tc>
        <w:tc>
          <w:tcPr>
            <w:tcW w:w="2580" w:type="dxa"/>
            <w:vAlign w:val="bottom"/>
            <w:tcBorders>
              <w:top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r>
      <w:tr>
        <w:trPr>
          <w:trHeight w:val="171"/>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Capped call derivatives (2025 Notes)</w:t>
            </w:r>
          </w:p>
        </w:tc>
        <w:tc>
          <w:tcPr>
            <w:tcW w:w="10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10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r>
      <w:tr>
        <w:trPr>
          <w:trHeight w:val="18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Embedded derivative (2025 Notes)</w:t>
            </w: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45,569</w:t>
            </w:r>
          </w:p>
        </w:tc>
      </w:tr>
      <w:tr>
        <w:trPr>
          <w:trHeight w:val="180"/>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w:t>
            </w:r>
          </w:p>
        </w:tc>
      </w:tr>
      <w:tr>
        <w:trPr>
          <w:trHeight w:val="17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derivatives not designated as hedging instruments</w:t>
            </w: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49,452</w:t>
            </w: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500" w:hanging="240"/>
        <w:spacing w:after="0"/>
        <w:tabs>
          <w:tab w:leader="none" w:pos="50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classification of inputs used to evaluate the fair value of LivaNova’s derivatives, refer to “Note 8. Fair Value Measurements.”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Fair Value Measurements</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reviews its fair value hierarchy classification on a quarterly basis. Changes in the ability to observe valuation inputs may result in a reclassification of levels for certain securities in the fair value hierarchy. Excluding LivaNova’s investment in Ceribell, Inc., as discussed in “Note 6. Investments,” there were no transfers between Level 1, Level 2, or Level 3 during the years ended December 31, 2024, 2023, or 2022.</w:t>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6"/>
          <w:szCs w:val="16"/>
          <w:color w:val="auto"/>
        </w:rPr>
        <w:t>Assets and Liabilities Measured at Fair Value on a Recurring Basis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level in the fair value hierarchy at which the Company’s assets and liabilities are measured on a recurring basis (in thousands):</w:t>
      </w:r>
    </w:p>
    <w:p>
      <w:pPr>
        <w:sectPr>
          <w:pgSz w:w="11900" w:h="16838" w:orient="portrait"/>
          <w:cols w:equalWidth="0" w:num="1">
            <w:col w:w="11280"/>
          </w:cols>
          <w:pgMar w:left="300" w:top="821" w:right="31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Derivative assets - freestanding instruments (FX)</w:t>
      </w:r>
    </w:p>
    <w:p>
      <w:pPr>
        <w:spacing w:after="0" w:line="313" w:lineRule="exact"/>
        <w:rPr>
          <w:sz w:val="20"/>
          <w:szCs w:val="20"/>
          <w:color w:val="auto"/>
        </w:rPr>
      </w:pPr>
    </w:p>
    <w:p>
      <w:pPr>
        <w:jc w:val="both"/>
        <w:ind w:left="100" w:right="740"/>
        <w:spacing w:after="0" w:line="286" w:lineRule="auto"/>
        <w:rPr>
          <w:sz w:val="20"/>
          <w:szCs w:val="20"/>
          <w:color w:val="auto"/>
        </w:rPr>
      </w:pPr>
      <w:r>
        <w:rPr>
          <w:rFonts w:ascii="Times New Roman" w:cs="Times New Roman" w:eastAsia="Times New Roman" w:hAnsi="Times New Roman"/>
          <w:sz w:val="14"/>
          <w:szCs w:val="14"/>
          <w:color w:val="auto"/>
        </w:rPr>
        <w:t>Derivative assets - capped call derivatives (2025 Notes) Derivative assets - capped call derivatives (2029 Notes) Investment with readily determinable fair value</w:t>
      </w: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5" w:lineRule="exact"/>
        <w:rPr>
          <w:sz w:val="20"/>
          <w:szCs w:val="20"/>
          <w:color w:val="auto"/>
        </w:rPr>
      </w:pPr>
    </w:p>
    <w:p>
      <w:pPr>
        <w:jc w:val="both"/>
        <w:ind w:left="120" w:right="640"/>
        <w:spacing w:after="0" w:line="283" w:lineRule="auto"/>
        <w:rPr>
          <w:sz w:val="20"/>
          <w:szCs w:val="20"/>
          <w:color w:val="auto"/>
        </w:rPr>
      </w:pPr>
      <w:r>
        <w:rPr>
          <w:rFonts w:ascii="Times New Roman" w:cs="Times New Roman" w:eastAsia="Times New Roman" w:hAnsi="Times New Roman"/>
          <w:sz w:val="14"/>
          <w:szCs w:val="14"/>
          <w:color w:val="auto"/>
        </w:rPr>
        <w:t>Derivative liabilities - embedded derivative (2025 Notes) Derivative liabilities - embedded derivative (2029 Notes) Contingent consideration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Derivative assets - capped call derivatives (2025 Notes)</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Convertible notes receivable</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5" w:lineRule="exact"/>
        <w:rPr>
          <w:sz w:val="20"/>
          <w:szCs w:val="20"/>
          <w:color w:val="auto"/>
        </w:rPr>
      </w:pPr>
    </w:p>
    <w:p>
      <w:pPr>
        <w:ind w:left="120" w:right="640"/>
        <w:spacing w:after="0" w:line="278" w:lineRule="auto"/>
        <w:rPr>
          <w:sz w:val="20"/>
          <w:szCs w:val="20"/>
          <w:color w:val="auto"/>
        </w:rPr>
      </w:pPr>
      <w:r>
        <w:rPr>
          <w:rFonts w:ascii="Times New Roman" w:cs="Times New Roman" w:eastAsia="Times New Roman" w:hAnsi="Times New Roman"/>
          <w:sz w:val="14"/>
          <w:szCs w:val="14"/>
          <w:color w:val="auto"/>
        </w:rPr>
        <w:t>Derivative liabilities - freestanding instruments (FX) Derivative liabilities - embedded derivative (2025 Notes) Contingent consideration arrangement Contingent consideration arrangement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20" w:type="dxa"/>
            <w:vAlign w:val="bottom"/>
            <w:gridSpan w:val="7"/>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w:t>
            </w:r>
          </w:p>
        </w:tc>
      </w:tr>
      <w:tr>
        <w:trPr>
          <w:trHeight w:val="191"/>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Considered as: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1"/>
        </w:trPr>
        <w:tc>
          <w:tcPr>
            <w:tcW w:w="2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99"/>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7"/>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22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Prepaid expenses and other current</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7"/>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w:t>
            </w:r>
          </w:p>
        </w:tc>
      </w:tr>
      <w:tr>
        <w:trPr>
          <w:trHeight w:val="18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23,735</w:t>
            </w:r>
          </w:p>
        </w:tc>
      </w:tr>
      <w:tr>
        <w:trPr>
          <w:trHeight w:val="184"/>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37,241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10,144</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26,359</w:t>
            </w: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3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100" w:type="dxa"/>
            <w:vAlign w:val="bottom"/>
          </w:tcPr>
          <w:p>
            <w:pPr>
              <w:spacing w:after="0"/>
              <w:rPr>
                <w:sz w:val="24"/>
                <w:szCs w:val="2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w:t>
            </w:r>
          </w:p>
        </w:tc>
      </w:tr>
      <w:tr>
        <w:trPr>
          <w:trHeight w:val="18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51,819</w:t>
            </w:r>
          </w:p>
        </w:tc>
      </w:tr>
      <w:tr>
        <w:trPr>
          <w:trHeight w:val="184"/>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84,218</w:t>
            </w:r>
          </w:p>
        </w:tc>
      </w:tr>
      <w:tr>
        <w:trPr>
          <w:trHeight w:val="171"/>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138,952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138,952</w:t>
            </w: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r>
      <w:tr>
        <w:trPr>
          <w:trHeight w:val="301"/>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7"/>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w:t>
            </w:r>
          </w:p>
        </w:tc>
      </w:tr>
      <w:tr>
        <w:trPr>
          <w:trHeight w:val="191"/>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Considered as: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1"/>
        </w:trPr>
        <w:tc>
          <w:tcPr>
            <w:tcW w:w="2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37"/>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100" w:type="dxa"/>
            <w:vAlign w:val="bottom"/>
          </w:tcPr>
          <w:p>
            <w:pPr>
              <w:spacing w:after="0"/>
              <w:rPr>
                <w:sz w:val="24"/>
                <w:szCs w:val="2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38,496</w:t>
            </w:r>
          </w:p>
        </w:tc>
      </w:tr>
      <w:tr>
        <w:trPr>
          <w:trHeight w:val="184"/>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171"/>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38,771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38,771</w:t>
            </w:r>
          </w:p>
        </w:tc>
      </w:tr>
      <w:tr>
        <w:trPr>
          <w:trHeight w:val="20"/>
        </w:trPr>
        <w:tc>
          <w:tcPr>
            <w:tcW w:w="22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3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100" w:type="dxa"/>
            <w:vAlign w:val="bottom"/>
          </w:tcPr>
          <w:p>
            <w:pPr>
              <w:spacing w:after="0"/>
              <w:rPr>
                <w:sz w:val="24"/>
                <w:szCs w:val="2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45,569</w:t>
            </w:r>
          </w:p>
        </w:tc>
      </w:tr>
      <w:tr>
        <w:trPr>
          <w:trHeight w:val="18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80,902</w:t>
            </w:r>
          </w:p>
        </w:tc>
      </w:tr>
      <w:tr>
        <w:trPr>
          <w:trHeight w:val="184"/>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r>
      <w:tr>
        <w:trPr>
          <w:trHeight w:val="171"/>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144,104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140,221</w:t>
            </w: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-3307080</wp:posOffset>
            </wp:positionV>
            <wp:extent cx="7161530" cy="2089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3">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-2889885</wp:posOffset>
            </wp:positionV>
            <wp:extent cx="7161530" cy="1143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-2660650</wp:posOffset>
            </wp:positionV>
            <wp:extent cx="7161530" cy="134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-2390775</wp:posOffset>
            </wp:positionV>
            <wp:extent cx="7161530" cy="114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-2162175</wp:posOffset>
            </wp:positionV>
            <wp:extent cx="7161530" cy="1143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-1932940</wp:posOffset>
            </wp:positionV>
            <wp:extent cx="7161530" cy="134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-1218565</wp:posOffset>
            </wp:positionV>
            <wp:extent cx="7161530" cy="1143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-989965</wp:posOffset>
            </wp:positionV>
            <wp:extent cx="7161530" cy="134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-720090</wp:posOffset>
            </wp:positionV>
            <wp:extent cx="7161530" cy="1143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-491490</wp:posOffset>
            </wp:positionV>
            <wp:extent cx="7161530" cy="1143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-262255</wp:posOffset>
            </wp:positionV>
            <wp:extent cx="7161530" cy="1143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0" w:space="720"/>
            <w:col w:w="6560"/>
          </w:cols>
          <w:pgMar w:left="300" w:top="821" w:right="319" w:bottom="1440" w:gutter="0" w:footer="0" w:header="0"/>
          <w:type w:val="continuous"/>
        </w:sectPr>
      </w:pP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6"/>
          <w:szCs w:val="16"/>
          <w:color w:val="auto"/>
        </w:rPr>
        <w:t>Reconciliation of Level 3 Assets and Liabilities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The following tables present reconciliations of recurring fair value measurements that use significant unobservable inputs (Level 3) (in thousands):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Capped Call</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Capped Call</w:t>
            </w:r>
          </w:p>
        </w:tc>
        <w:tc>
          <w:tcPr>
            <w:tcW w:w="100" w:type="dxa"/>
            <w:vAlign w:val="bottom"/>
          </w:tcPr>
          <w:p>
            <w:pPr>
              <w:spacing w:after="0"/>
              <w:rPr>
                <w:sz w:val="14"/>
                <w:szCs w:val="14"/>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Embedded Derivative</w:t>
            </w: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Embedded Derivative</w:t>
            </w:r>
          </w:p>
        </w:tc>
        <w:tc>
          <w:tcPr>
            <w:tcW w:w="200" w:type="dxa"/>
            <w:vAlign w:val="bottom"/>
          </w:tcPr>
          <w:p>
            <w:pPr>
              <w:spacing w:after="0"/>
              <w:rPr>
                <w:sz w:val="14"/>
                <w:szCs w:val="14"/>
                <w:color w:val="auto"/>
              </w:rPr>
            </w:pPr>
          </w:p>
        </w:tc>
        <w:tc>
          <w:tcPr>
            <w:tcW w:w="13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38"/>
        </w:trPr>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b w:val="1"/>
                <w:bCs w:val="1"/>
                <w:color w:val="auto"/>
              </w:rPr>
              <w:t>Derivative Assets</w:t>
            </w:r>
          </w:p>
        </w:tc>
        <w:tc>
          <w:tcPr>
            <w:tcW w:w="100" w:type="dxa"/>
            <w:vAlign w:val="bottom"/>
          </w:tcPr>
          <w:p>
            <w:pPr>
              <w:spacing w:after="0"/>
              <w:rPr>
                <w:sz w:val="11"/>
                <w:szCs w:val="11"/>
                <w:color w:val="auto"/>
              </w:rPr>
            </w:pPr>
          </w:p>
        </w:tc>
        <w:tc>
          <w:tcPr>
            <w:tcW w:w="124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Derivative Assets</w:t>
            </w: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15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Consideration Liability</w:t>
            </w: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Receivable</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Liability (2025 Notes)</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Liability (2029 Notes)</w:t>
            </w:r>
          </w:p>
        </w:tc>
        <w:tc>
          <w:tcPr>
            <w:tcW w:w="200" w:type="dxa"/>
            <w:vAlign w:val="bottom"/>
          </w:tcPr>
          <w:p>
            <w:pPr>
              <w:spacing w:after="0"/>
              <w:rPr>
                <w:sz w:val="16"/>
                <w:szCs w:val="16"/>
                <w:color w:val="auto"/>
              </w:rPr>
            </w:pPr>
          </w:p>
        </w:tc>
        <w:tc>
          <w:tcPr>
            <w:tcW w:w="13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0" w:type="dxa"/>
            <w:vAlign w:val="bottom"/>
          </w:tcPr>
          <w:p>
            <w:pPr>
              <w:spacing w:after="0"/>
              <w:rPr>
                <w:sz w:val="1"/>
                <w:szCs w:val="1"/>
                <w:color w:val="auto"/>
              </w:rPr>
            </w:pPr>
          </w:p>
        </w:tc>
      </w:tr>
      <w:tr>
        <w:trPr>
          <w:trHeight w:val="171"/>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85,675</w:t>
            </w: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85,292</w:t>
            </w:r>
          </w:p>
        </w:tc>
        <w:tc>
          <w:tcPr>
            <w:tcW w:w="0" w:type="dxa"/>
            <w:vAlign w:val="bottom"/>
          </w:tcPr>
          <w:p>
            <w:pPr>
              <w:spacing w:after="0"/>
              <w:rPr>
                <w:sz w:val="1"/>
                <w:szCs w:val="1"/>
                <w:color w:val="auto"/>
              </w:rPr>
            </w:pPr>
          </w:p>
        </w:tc>
      </w:tr>
      <w:tr>
        <w:trPr>
          <w:trHeight w:val="180"/>
        </w:trPr>
        <w:tc>
          <w:tcPr>
            <w:tcW w:w="274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Changes in fair value </w:t>
            </w:r>
            <w:r>
              <w:rPr>
                <w:rFonts w:ascii="Times New Roman" w:cs="Times New Roman" w:eastAsia="Times New Roman" w:hAnsi="Times New Roman"/>
                <w:sz w:val="18"/>
                <w:szCs w:val="18"/>
                <w:color w:val="auto"/>
                <w:vertAlign w:val="superscript"/>
              </w:rPr>
              <w:t>(1) (2)</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(40,106)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9,360</w:t>
            </w:r>
          </w:p>
        </w:tc>
        <w:tc>
          <w:tcPr>
            <w:tcW w:w="0" w:type="dxa"/>
            <w:vAlign w:val="bottom"/>
          </w:tcPr>
          <w:p>
            <w:pPr>
              <w:spacing w:after="0"/>
              <w:rPr>
                <w:sz w:val="1"/>
                <w:szCs w:val="1"/>
                <w:color w:val="auto"/>
              </w:rPr>
            </w:pPr>
          </w:p>
        </w:tc>
      </w:tr>
      <w:tr>
        <w:trPr>
          <w:trHeight w:val="171"/>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45,569</w:t>
            </w: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94,652</w:t>
            </w:r>
          </w:p>
        </w:tc>
        <w:tc>
          <w:tcPr>
            <w:tcW w:w="0" w:type="dxa"/>
            <w:vAlign w:val="bottom"/>
          </w:tcPr>
          <w:p>
            <w:pPr>
              <w:spacing w:after="0"/>
              <w:rPr>
                <w:sz w:val="1"/>
                <w:szCs w:val="1"/>
                <w:color w:val="auto"/>
              </w:rPr>
            </w:pPr>
          </w:p>
        </w:tc>
      </w:tr>
      <w:tr>
        <w:trPr>
          <w:trHeight w:val="180"/>
        </w:trPr>
        <w:tc>
          <w:tcPr>
            <w:tcW w:w="2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Additions</w:t>
            </w:r>
          </w:p>
        </w:tc>
        <w:tc>
          <w:tcPr>
            <w:tcW w:w="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receipt</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w:t>
            </w:r>
          </w:p>
        </w:tc>
        <w:tc>
          <w:tcPr>
            <w:tcW w:w="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(36,915)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Changes in fair value </w:t>
            </w:r>
            <w:r>
              <w:rPr>
                <w:rFonts w:ascii="Times New Roman" w:cs="Times New Roman" w:eastAsia="Times New Roman" w:hAnsi="Times New Roman"/>
                <w:sz w:val="18"/>
                <w:szCs w:val="18"/>
                <w:color w:val="auto"/>
                <w:vertAlign w:val="superscript"/>
              </w:rPr>
              <w:t>(1) (2)</w:t>
            </w:r>
          </w:p>
        </w:tc>
        <w:tc>
          <w:tcPr>
            <w:tcW w:w="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(5,739)</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(35,638)</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0" w:type="dxa"/>
            <w:vAlign w:val="bottom"/>
          </w:tcPr>
          <w:p>
            <w:pPr>
              <w:spacing w:after="0"/>
              <w:rPr>
                <w:sz w:val="1"/>
                <w:szCs w:val="1"/>
                <w:color w:val="auto"/>
              </w:rPr>
            </w:pPr>
          </w:p>
        </w:tc>
      </w:tr>
      <w:tr>
        <w:trPr>
          <w:trHeight w:val="171"/>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2024</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84,218</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at December 31, 2024</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portion at December 31, 2024</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23,735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51,819</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84,218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hanging="260"/>
        <w:spacing w:after="0" w:line="225" w:lineRule="auto"/>
        <w:tabs>
          <w:tab w:leader="none" w:pos="51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During the year ended December 31, 2024, the contingent consideration change in fair value resulted in an increase of $1.3 million recorded to cost of sales and an increase of $2.0 million recorded to R&amp;D. During the year ended December 31, 2023, the contingent consideration change in fair value resulted in an increase of $3.8 million recorded to cost of sales and an increase of $5.6 million recorded to R&amp;D.</w:t>
      </w:r>
    </w:p>
    <w:p>
      <w:pPr>
        <w:spacing w:after="0" w:line="1" w:lineRule="exact"/>
        <w:rPr>
          <w:rFonts w:ascii="Times New Roman" w:cs="Times New Roman" w:eastAsia="Times New Roman" w:hAnsi="Times New Roman"/>
          <w:sz w:val="17"/>
          <w:szCs w:val="17"/>
          <w:color w:val="auto"/>
          <w:vertAlign w:val="superscript"/>
        </w:rPr>
      </w:pPr>
    </w:p>
    <w:p>
      <w:pPr>
        <w:ind w:left="520" w:hanging="260"/>
        <w:spacing w:after="0" w:line="221" w:lineRule="auto"/>
        <w:tabs>
          <w:tab w:leader="none" w:pos="51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Changes in the fair value of the embedded derivative liabilities and capped call derivative assets are recognized in foreign exchange and other income/(expense) in the consolidated statements of income (loss). Refer to “Note 7. Derivatives and Risk Management” for further information on the changes in fair value as it relates to the embedded and capped call derivatives.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Price Volatility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stock price volatility utilized in determining the fair value of LivaNova’s capped call derivative assets and embedded derivative liabilities: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Stock Price Volatility </w:t>
            </w:r>
            <w:r>
              <w:rPr>
                <w:rFonts w:ascii="Times New Roman" w:cs="Times New Roman" w:eastAsia="Times New Roman" w:hAnsi="Times New Roman"/>
                <w:sz w:val="18"/>
                <w:szCs w:val="18"/>
                <w:b w:val="1"/>
                <w:bCs w:val="1"/>
                <w:color w:val="auto"/>
                <w:vertAlign w:val="superscript"/>
              </w:rPr>
              <w:t>(1)</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Capped Call Derivative Assets</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Capped Call Derivative Assets</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Embedded Derivative Liability</w:t>
            </w:r>
          </w:p>
        </w:tc>
        <w:tc>
          <w:tcPr>
            <w:tcW w:w="20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Embedded Derivative Liability</w:t>
            </w:r>
          </w:p>
        </w:tc>
        <w:tc>
          <w:tcPr>
            <w:tcW w:w="0" w:type="dxa"/>
            <w:vAlign w:val="bottom"/>
          </w:tcPr>
          <w:p>
            <w:pPr>
              <w:spacing w:after="0"/>
              <w:rPr>
                <w:sz w:val="1"/>
                <w:szCs w:val="1"/>
                <w:color w:val="auto"/>
              </w:rPr>
            </w:pPr>
          </w:p>
        </w:tc>
      </w:tr>
      <w:tr>
        <w:trPr>
          <w:trHeight w:val="191"/>
        </w:trPr>
        <w:tc>
          <w:tcPr>
            <w:tcW w:w="2640" w:type="dxa"/>
            <w:vAlign w:val="bottom"/>
            <w:gridSpan w:val="2"/>
            <w:vMerge w:val="continue"/>
          </w:tcPr>
          <w:p>
            <w:pPr>
              <w:spacing w:after="0"/>
              <w:rPr>
                <w:sz w:val="16"/>
                <w:szCs w:val="16"/>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(2025 Notes)</w:t>
            </w:r>
          </w:p>
        </w:tc>
        <w:tc>
          <w:tcPr>
            <w:tcW w:w="20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0" w:type="dxa"/>
            <w:vAlign w:val="bottom"/>
          </w:tcPr>
          <w:p>
            <w:pPr>
              <w:spacing w:after="0"/>
              <w:rPr>
                <w:sz w:val="1"/>
                <w:szCs w:val="1"/>
                <w:color w:val="auto"/>
              </w:rPr>
            </w:pPr>
          </w:p>
        </w:tc>
      </w:tr>
      <w:tr>
        <w:trPr>
          <w:trHeight w:val="171"/>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10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2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2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184"/>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20" w:type="dxa"/>
            <w:vAlign w:val="bottom"/>
          </w:tcPr>
          <w:p>
            <w:pPr>
              <w:spacing w:after="0"/>
              <w:rPr>
                <w:sz w:val="16"/>
                <w:szCs w:val="16"/>
                <w:color w:val="auto"/>
              </w:rPr>
            </w:pP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520" w:hanging="260"/>
        <w:spacing w:after="0" w:line="239" w:lineRule="auto"/>
        <w:tabs>
          <w:tab w:leader="none" w:pos="51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embedded and capped call derivatives are classified as Level 3 because the Company uses historical volatility and implied volatility from actual options traded to determine expected stock price volatility, an unobservable input that is significant to the valuation. In general, an increase in LivaNova’s stock price or stock price volatility would increase the fair value of the embedded and capped call derivatives, which would result in an increase in net expense. As the remaining time to the expiration of the derivatives decreases, the fair value of the derivatives decreases. The future impact of the derivatives on net income depends on how significant inputs such as stock price, stock price volatility, and time to the expiration of the derivatives change in relation to other inputs.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Contingent Consideration Arrangements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fair value of LivaNova’s Level 3 contingent consideration arrangements by acquisition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r>
      <w:tr>
        <w:trPr>
          <w:trHeight w:val="171"/>
        </w:trPr>
        <w:tc>
          <w:tcPr>
            <w:tcW w:w="3060" w:type="dxa"/>
            <w:vAlign w:val="bottom"/>
            <w:tcBorders>
              <w:bottom w:val="single" w:sz="8" w:color="CCEEFF"/>
            </w:tcBorders>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ImThera</w:t>
            </w:r>
          </w:p>
        </w:tc>
        <w:tc>
          <w:tcPr>
            <w:tcW w:w="48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80,902</w:t>
            </w:r>
          </w:p>
        </w:tc>
      </w:tr>
      <w:tr>
        <w:trPr>
          <w:trHeight w:val="180"/>
        </w:trPr>
        <w:tc>
          <w:tcPr>
            <w:tcW w:w="30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ALung </w:t>
            </w:r>
            <w:r>
              <w:rPr>
                <w:rFonts w:ascii="Times New Roman" w:cs="Times New Roman" w:eastAsia="Times New Roman" w:hAnsi="Times New Roman"/>
                <w:sz w:val="18"/>
                <w:szCs w:val="18"/>
                <w:color w:val="auto"/>
                <w:vertAlign w:val="superscript"/>
              </w:rPr>
              <w:t>(1)</w:t>
            </w:r>
          </w:p>
        </w:tc>
        <w:tc>
          <w:tcPr>
            <w:tcW w:w="4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r>
      <w:tr>
        <w:trPr>
          <w:trHeight w:val="196"/>
        </w:trPr>
        <w:tc>
          <w:tcPr>
            <w:tcW w:w="3060" w:type="dxa"/>
            <w:vAlign w:val="bottom"/>
            <w:tcBorders>
              <w:top w:val="single" w:sz="8" w:color="CCEEFF"/>
              <w:bottom w:val="single" w:sz="8" w:color="CCEEFF"/>
            </w:tcBorders>
            <w:shd w:val="clear" w:color="auto" w:fill="CCEEFF"/>
          </w:tcPr>
          <w:p>
            <w:pPr>
              <w:spacing w:after="0"/>
              <w:rPr>
                <w:sz w:val="16"/>
                <w:szCs w:val="16"/>
                <w:color w:val="auto"/>
              </w:rPr>
            </w:pPr>
          </w:p>
        </w:tc>
        <w:tc>
          <w:tcPr>
            <w:tcW w:w="48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94,652</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715"/>
        </w:trPr>
        <w:tc>
          <w:tcPr>
            <w:tcW w:w="3060" w:type="dxa"/>
            <w:vAlign w:val="bottom"/>
          </w:tcPr>
          <w:p>
            <w:pPr>
              <w:spacing w:after="0"/>
              <w:rPr>
                <w:sz w:val="24"/>
                <w:szCs w:val="24"/>
                <w:color w:val="auto"/>
              </w:rPr>
            </w:pPr>
          </w:p>
        </w:tc>
        <w:tc>
          <w:tcPr>
            <w:tcW w:w="5900" w:type="dxa"/>
            <w:vAlign w:val="bottom"/>
            <w:gridSpan w:val="2"/>
          </w:tcPr>
          <w:p>
            <w:pPr>
              <w:jc w:val="right"/>
              <w:ind w:right="3049"/>
              <w:spacing w:after="0"/>
              <w:rPr>
                <w:sz w:val="20"/>
                <w:szCs w:val="20"/>
                <w:color w:val="auto"/>
              </w:rPr>
            </w:pPr>
            <w:r>
              <w:rPr>
                <w:rFonts w:ascii="Times New Roman" w:cs="Times New Roman" w:eastAsia="Times New Roman" w:hAnsi="Times New Roman"/>
                <w:sz w:val="14"/>
                <w:szCs w:val="14"/>
                <w:color w:val="auto"/>
              </w:rPr>
              <w:t>F-23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7"/>
        </w:trPr>
        <w:tc>
          <w:tcPr>
            <w:tcW w:w="30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78" w:name="page79"/>
    <w:bookmarkEnd w:id="78"/>
    <w:p>
      <w:pPr>
        <w:jc w:val="both"/>
        <w:ind w:left="520" w:hanging="260"/>
        <w:spacing w:after="0" w:line="257" w:lineRule="auto"/>
        <w:tabs>
          <w:tab w:leader="none" w:pos="51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ALung business combination involved a contingent consideration arrangement composed of potential cash payments upon the achievement of certain sales-based thresholds associated with sales of products. The ALung contingent consideration was subject to a one-time phase-out payment of $13.8 million, in the event that LivaNova were to cease operations of ALung. In January 2024, LivaNova announced the wind down of ACS, including ALung, as part of the 2024 Restructuring Plan, and as a result, the ALung contingent consideration phase-out payment amount of $13.8 million was paid during 2024.</w:t>
      </w:r>
    </w:p>
    <w:p>
      <w:pPr>
        <w:spacing w:after="0" w:line="6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ImThera business combination involved contingent consideration arrangements comprised of potential cash payments upon the achievement of a certain regulatory milestone and a sales-based earnout associated with sales of products. The sales-based earnouts are valued using projected sales from LivaNova’s internal strategic plan. These arrangements are Level 3 fair value measurements and include the following significant unobservable inputs as of December 31, 2024:</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ImThera Acquisition</w:t>
            </w:r>
          </w:p>
        </w:tc>
        <w:tc>
          <w:tcPr>
            <w:tcW w:w="312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94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1"/>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milestone-based payment</w:t>
            </w:r>
          </w:p>
        </w:tc>
        <w:tc>
          <w:tcPr>
            <w:tcW w:w="100" w:type="dxa"/>
            <w:vAlign w:val="bottom"/>
            <w:tcBorders>
              <w:top w:val="single" w:sz="8" w:color="CCEEFF"/>
            </w:tcBorders>
            <w:shd w:val="clear" w:color="auto" w:fill="CCEEFF"/>
          </w:tcPr>
          <w:p>
            <w:pPr>
              <w:spacing w:after="0"/>
              <w:rPr>
                <w:sz w:val="14"/>
                <w:szCs w:val="14"/>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80" w:type="dxa"/>
            <w:vAlign w:val="bottom"/>
            <w:tcBorders>
              <w:top w:val="single" w:sz="8" w:color="CCEEFF"/>
            </w:tcBorders>
            <w:shd w:val="clear" w:color="auto" w:fill="CCEEFF"/>
          </w:tcPr>
          <w:p>
            <w:pPr>
              <w:spacing w:after="0"/>
              <w:rPr>
                <w:sz w:val="14"/>
                <w:szCs w:val="14"/>
                <w:color w:val="auto"/>
              </w:rPr>
            </w:pPr>
          </w:p>
        </w:tc>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360" w:type="dxa"/>
            <w:vAlign w:val="bottom"/>
            <w:tcBorders>
              <w:top w:val="single" w:sz="8" w:color="auto"/>
            </w:tcBorders>
            <w:gridSpan w:val="2"/>
            <w:shd w:val="clear" w:color="auto" w:fill="CCEEFF"/>
          </w:tcPr>
          <w:p>
            <w:pPr>
              <w:jc w:val="center"/>
              <w:ind w:right="149"/>
              <w:spacing w:after="0"/>
              <w:rPr>
                <w:sz w:val="20"/>
                <w:szCs w:val="20"/>
                <w:color w:val="auto"/>
              </w:rPr>
            </w:pPr>
            <w:r>
              <w:rPr>
                <w:rFonts w:ascii="Times New Roman" w:cs="Times New Roman" w:eastAsia="Times New Roman" w:hAnsi="Times New Roman"/>
                <w:sz w:val="14"/>
                <w:szCs w:val="14"/>
                <w:color w:val="auto"/>
              </w:rPr>
              <w:t>7.0%</w:t>
            </w:r>
          </w:p>
        </w:tc>
      </w:t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Probability of payment</w:t>
            </w:r>
          </w:p>
        </w:tc>
        <w:tc>
          <w:tcPr>
            <w:tcW w:w="1360" w:type="dxa"/>
            <w:vAlign w:val="bottom"/>
            <w:gridSpan w:val="2"/>
          </w:tcPr>
          <w:p>
            <w:pPr>
              <w:jc w:val="center"/>
              <w:ind w:right="149"/>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3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payment year</w:t>
            </w:r>
          </w:p>
        </w:tc>
        <w:tc>
          <w:tcPr>
            <w:tcW w:w="1360" w:type="dxa"/>
            <w:vAlign w:val="bottom"/>
            <w:gridSpan w:val="2"/>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w w:val="99"/>
              </w:rPr>
              <w:t>2026</w:t>
            </w:r>
          </w:p>
        </w:tc>
      </w:tr>
      <w:tr>
        <w:trPr>
          <w:trHeight w:val="212"/>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8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Sales-based earnout</w:t>
            </w: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Monte Carlo simulation</w:t>
            </w: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- 14.3%</w:t>
            </w:r>
          </w:p>
        </w:tc>
      </w:t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risk discount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- 7.7%</w:t>
            </w:r>
          </w:p>
        </w:tc>
      </w:tr>
      <w:tr>
        <w:trPr>
          <w:trHeight w:val="180"/>
        </w:trPr>
        <w:tc>
          <w:tcPr>
            <w:tcW w:w="3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volatility</w:t>
            </w:r>
          </w:p>
        </w:tc>
        <w:tc>
          <w:tcPr>
            <w:tcW w:w="1360" w:type="dxa"/>
            <w:vAlign w:val="bottom"/>
            <w:gridSpan w:val="2"/>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w w:val="99"/>
              </w:rPr>
              <w:t>23.6%</w:t>
            </w:r>
          </w:p>
        </w:tc>
      </w:t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Probability of payment</w:t>
            </w:r>
          </w:p>
        </w:tc>
        <w:tc>
          <w:tcPr>
            <w:tcW w:w="1360" w:type="dxa"/>
            <w:vAlign w:val="bottom"/>
            <w:gridSpan w:val="2"/>
          </w:tcPr>
          <w:p>
            <w:pPr>
              <w:jc w:val="center"/>
              <w:ind w:right="149"/>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3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years of earnout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- 2030</w:t>
            </w: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Assets and Liabilities Measured at Fair Value on a Nonrecurring Basis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investments in equity securities of non-consolidated affiliates without readily determinable fair values are reported at cost minus impairment, if any, plus or minus changes resulting from observable price changes in orderly transactions for the identical or similar investment of the same issuer. LivaNova’s investments in non-financial assets such as goodwill, intangible assets, and PP&amp;E are measured at fair value if there is an indication of impairment and adjusted to the new fair value when an impairment is recognized. LivaNova classifies the measurement input for these assets as Level 3 inputs within the fair value hierarchy.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carrying value of LivaNova’s long-term debt including the current portion as of December 31, 2024 and 2023 was $627.0 million and $586.0 million, respectively. The fair value of the 2025 Notes as of December 31, 2024 and 2023 was $58.7 million and $314.4 million, respectively. The fair value of the 2029 Notes as of December 31, 2024 was $343.7 million. For all other long-term debt obligations, LivaNova believes the carrying value approximates fair value. The fair value was estimated using quoted market prices for the publicly registered Senior Notes, which are classified as Level 2 within the fair value hierarchy. The fair values and principal values consider the terms of the related debt and exclude the impacts of debt discounts and hedging activity.</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carrying values of LivaNova’s cash, cash equivalents, and restricted cash, accounts receivable, accounts payable, and accrued liabilities approximate their fair values due to the short-term nature of these items.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Financing Arrangements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summary of LivaNova’s long-term debt obligations (in thousands, except interest rates):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71"/>
        </w:trPr>
        <w:tc>
          <w:tcPr>
            <w:tcW w:w="4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r>
      <w:tr>
        <w:trPr>
          <w:trHeight w:val="171"/>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Facilities</w:t>
            </w:r>
          </w:p>
        </w:tc>
        <w:tc>
          <w:tcPr>
            <w:tcW w:w="94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313,014</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328,459</w:t>
            </w: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July 2027</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7.93%</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 Notes</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258,043</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March 2029</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Notes</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53,887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255,500</w:t>
            </w: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December 2025</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Bank of America, U.S.</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5"/>
                <w:szCs w:val="15"/>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January 2025</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6.95%</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171"/>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facilities</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626,963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586,027</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77,339</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17,484</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171"/>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debt obligations</w:t>
            </w:r>
          </w:p>
        </w:tc>
        <w:tc>
          <w:tcPr>
            <w:tcW w:w="94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549,624</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568,543</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0"/>
        </w:trPr>
        <w:tc>
          <w:tcPr>
            <w:tcW w:w="4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735"/>
        </w:trPr>
        <w:tc>
          <w:tcPr>
            <w:tcW w:w="4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F-24</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87"/>
        </w:trPr>
        <w:tc>
          <w:tcPr>
            <w:tcW w:w="45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79" w:name="page80"/>
    <w:bookmarkEnd w:id="79"/>
    <w:p>
      <w:pPr>
        <w:jc w:val="both"/>
        <w:spacing w:after="0" w:line="303" w:lineRule="auto"/>
        <w:rPr>
          <w:sz w:val="20"/>
          <w:szCs w:val="20"/>
          <w:color w:val="auto"/>
        </w:rPr>
      </w:pPr>
      <w:r>
        <w:rPr>
          <w:rFonts w:ascii="Times New Roman" w:cs="Times New Roman" w:eastAsia="Times New Roman" w:hAnsi="Times New Roman"/>
          <w:sz w:val="14"/>
          <w:szCs w:val="14"/>
          <w:color w:val="auto"/>
        </w:rPr>
        <w:t>The following table presents the aggregate contractually scheduled maturities of LivaNova’s long-term debt obligations for the next five years, excluding unamortized debt discounts and issuance costs, as of December 31, 2024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60" w:type="dxa"/>
            <w:vAlign w:val="bottom"/>
            <w:shd w:val="clear" w:color="auto" w:fill="CCEEFF"/>
          </w:tcPr>
          <w:p>
            <w:pPr>
              <w:jc w:val="right"/>
              <w:ind w:right="4589"/>
              <w:spacing w:after="0"/>
              <w:rPr>
                <w:sz w:val="20"/>
                <w:szCs w:val="20"/>
                <w:color w:val="auto"/>
              </w:rPr>
            </w:pPr>
            <w:r>
              <w:rPr>
                <w:rFonts w:ascii="Times New Roman" w:cs="Times New Roman" w:eastAsia="Times New Roman" w:hAnsi="Times New Roman"/>
                <w:sz w:val="14"/>
                <w:szCs w:val="14"/>
                <w:color w:val="auto"/>
                <w:w w:val="99"/>
              </w:rPr>
              <w:t>2025</w:t>
            </w:r>
          </w:p>
        </w:tc>
        <w:tc>
          <w:tcPr>
            <w:tcW w:w="526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81,080</w:t>
            </w:r>
          </w:p>
        </w:tc>
      </w:tr>
      <w:tr>
        <w:trPr>
          <w:trHeight w:val="180"/>
        </w:trPr>
        <w:tc>
          <w:tcPr>
            <w:tcW w:w="4960" w:type="dxa"/>
            <w:vAlign w:val="bottom"/>
          </w:tcPr>
          <w:p>
            <w:pPr>
              <w:jc w:val="right"/>
              <w:ind w:right="4589"/>
              <w:spacing w:after="0"/>
              <w:rPr>
                <w:sz w:val="20"/>
                <w:szCs w:val="20"/>
                <w:color w:val="auto"/>
              </w:rPr>
            </w:pPr>
            <w:r>
              <w:rPr>
                <w:rFonts w:ascii="Times New Roman" w:cs="Times New Roman" w:eastAsia="Times New Roman" w:hAnsi="Times New Roman"/>
                <w:sz w:val="14"/>
                <w:szCs w:val="14"/>
                <w:color w:val="auto"/>
                <w:w w:val="99"/>
              </w:rPr>
              <w:t>2026</w:t>
            </w:r>
          </w:p>
        </w:tc>
        <w:tc>
          <w:tcPr>
            <w:tcW w:w="5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30,625</w:t>
            </w:r>
          </w:p>
        </w:tc>
      </w:tr>
      <w:tr>
        <w:trPr>
          <w:trHeight w:val="180"/>
        </w:trPr>
        <w:tc>
          <w:tcPr>
            <w:tcW w:w="4960" w:type="dxa"/>
            <w:vAlign w:val="bottom"/>
            <w:shd w:val="clear" w:color="auto" w:fill="CCEEFF"/>
          </w:tcPr>
          <w:p>
            <w:pPr>
              <w:jc w:val="right"/>
              <w:ind w:right="4589"/>
              <w:spacing w:after="0"/>
              <w:rPr>
                <w:sz w:val="20"/>
                <w:szCs w:val="20"/>
                <w:color w:val="auto"/>
              </w:rPr>
            </w:pPr>
            <w:r>
              <w:rPr>
                <w:rFonts w:ascii="Times New Roman" w:cs="Times New Roman" w:eastAsia="Times New Roman" w:hAnsi="Times New Roman"/>
                <w:sz w:val="14"/>
                <w:szCs w:val="14"/>
                <w:color w:val="auto"/>
                <w:w w:val="99"/>
              </w:rPr>
              <w:t>2027</w:t>
            </w:r>
          </w:p>
        </w:tc>
        <w:tc>
          <w:tcPr>
            <w:tcW w:w="5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265,313</w:t>
            </w:r>
          </w:p>
        </w:tc>
      </w:tr>
      <w:tr>
        <w:trPr>
          <w:trHeight w:val="180"/>
        </w:trPr>
        <w:tc>
          <w:tcPr>
            <w:tcW w:w="4960" w:type="dxa"/>
            <w:vAlign w:val="bottom"/>
          </w:tcPr>
          <w:p>
            <w:pPr>
              <w:jc w:val="right"/>
              <w:ind w:right="4589"/>
              <w:spacing w:after="0"/>
              <w:rPr>
                <w:sz w:val="20"/>
                <w:szCs w:val="20"/>
                <w:color w:val="auto"/>
              </w:rPr>
            </w:pPr>
            <w:r>
              <w:rPr>
                <w:rFonts w:ascii="Times New Roman" w:cs="Times New Roman" w:eastAsia="Times New Roman" w:hAnsi="Times New Roman"/>
                <w:sz w:val="14"/>
                <w:szCs w:val="14"/>
                <w:color w:val="auto"/>
                <w:w w:val="99"/>
              </w:rPr>
              <w:t>2028</w:t>
            </w:r>
          </w:p>
        </w:tc>
        <w:tc>
          <w:tcPr>
            <w:tcW w:w="5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960" w:type="dxa"/>
            <w:vAlign w:val="bottom"/>
            <w:shd w:val="clear" w:color="auto" w:fill="CCEEFF"/>
          </w:tcPr>
          <w:p>
            <w:pPr>
              <w:jc w:val="right"/>
              <w:ind w:right="4589"/>
              <w:spacing w:after="0"/>
              <w:rPr>
                <w:sz w:val="20"/>
                <w:szCs w:val="20"/>
                <w:color w:val="auto"/>
              </w:rPr>
            </w:pPr>
            <w:r>
              <w:rPr>
                <w:rFonts w:ascii="Times New Roman" w:cs="Times New Roman" w:eastAsia="Times New Roman" w:hAnsi="Times New Roman"/>
                <w:sz w:val="14"/>
                <w:szCs w:val="14"/>
                <w:color w:val="auto"/>
                <w:w w:val="99"/>
              </w:rPr>
              <w:t>2029</w:t>
            </w:r>
          </w:p>
        </w:tc>
        <w:tc>
          <w:tcPr>
            <w:tcW w:w="5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345,000</w:t>
            </w: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Revolving Credit and Term Facilities</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outstanding principal amount of LivaNova’s short-term unsecured revolving credit agreements and other agreements with various banks was $0.7 million and $0.6 million at December 31, 2024 and 2023, respectively, with an average interest rate of 4.64% and loan terms ranging from overnight to 364 days as of December 31, 2024.</w:t>
      </w:r>
    </w:p>
    <w:p>
      <w:pPr>
        <w:spacing w:after="0" w:line="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March 8, 2024, LivaNova and LivaNova USA entered into Incremental Facility Amendment No. 3, which provides for LivaNova USA to obtain revolving commitments in an aggregate principal amount of $225.0 million. The $225.0 million revolving facility is subject to the terms and conditions of the 2021 First Lien Credit Agreement, as amended thereof, and replaced the previously existing $125.0 million revolving facility under the 2021 First Lien Credit Agreement. The $225.0 million revolving facility is available for working capital and other general corporate purposes and, if drawn, can be repaid at any time without premium or penalty. The $225.0 million revolving facility matures on March 8, 2029. There were no outstanding borrowings under the revolving facilities under the 2021 First Lien Credit Agreement as of December 31, 2024 and 2023.</w:t>
      </w:r>
    </w:p>
    <w:p>
      <w:pPr>
        <w:spacing w:after="0" w:line="6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2021 First Lien Credit Agreement, as amended, also requires the payment of certain commitment fees on the unused portion of the commitments, at a variable percentage based on LivaNova’s Total Net Leverage Ratio. As of December 31, 2024 and 2023, the applicable commitment fee percentage was 0.5% per annum.</w:t>
      </w:r>
    </w:p>
    <w:p>
      <w:pPr>
        <w:spacing w:after="0" w:line="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July 6, 2022, LivaNova and its wholly-owned subsidiary, LivaNova USA, entered into Incremental Facility Amendment No. 2, which provides for LivaNova USA to, among other things, obtain commitments for term loan facilities from a syndicate of lenders in an aggregate principal amount of $350 million consisting of (i) the Initial Term Facility with an aggregate principal amount of $300 million and (ii) the Delayed Draw Term Facility with an additional aggregate principal amount of $50 million. On April 6, 2023, LivaNova drew $50 million under the Delayed Draw Term Facility for general corporate purposes.</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Proceeds from the Initial Term Facility were used to repay in full the Bridge Loan Facility on July 6, 2022, with the remainder used for general corporate purposes of the Company. The Term Facilities have a maturity of the earlier of (i) five years or (ii) 91 days prior to December 15, 2025, the maturity date of the 2025 Notes, unless by that date LivaNova USA will have either redeemed or refinanced the 2025 Notes, or set aside an amount of cash equal to the then-outstanding principal amount of the 2025 Notes. The Term Facilities bear interest at a rate equal to an adjusted term SOFR plus a variable margin based on the Company’s consolidated total net leverage ratio. As of December 31, 2024, the applicable margin over adjusted term SOFR was equal to 3.25% per annum. The Term Facilities are subject to an original issue discount of 1.5% of their principal amount. The Term Facilities are subject to quarterly principal repayment, based on the following amortization schedule: (i) during the first year from the initial funding date: 1.9%; (ii) year two: 5.0%; (iii) year three: 5.0%; (iv) year four: 7.5%; and (v) year five: 10.0%, with the remainder to be paid at maturity. The effective interest rate of the Term Facilities at December 31, 2024 was 6.53%.</w:t>
      </w:r>
    </w:p>
    <w:p>
      <w:pPr>
        <w:spacing w:after="0" w:line="5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2021 First Lien Credit Agreement, as amended, contains customary representations, warranties, and covenants, including the requirement to maintain a Senior Secured First Lien Net Leverage Ratio of not more than 3.50 to 1.00, calculated as the ratio of Consolidated Senior Secured First Lien Net Indebtedness to Consolidated EBITDA, as defined in the credit agreement, for the period of four consecutive fiscal quarters ended on the calculation date and an Interest Coverage Ratio of not less than 2.00 to 1.00, calculated as the ratio of Consolidated EBITDA to Consolidated Interest Expense, both as defined in the credit agreement, for the period of four consecutive fiscal quarters ended on the calculation date. As of December 31, 2024, the Company was in compliance with the financial covenants contained in the 2021 First Lien Credit Agreement.</w:t>
      </w:r>
    </w:p>
    <w:p>
      <w:pPr>
        <w:spacing w:after="0" w:line="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Debt discount and issuance costs related to the Initial Term Facility were $9.6 million. The unamortized debt discount and issuance costs related to the Initial Term Facility were $4.8 million and $6.8 million as of December 31, 2024 and 2023, respectively.</w:t>
      </w: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color w:val="auto"/>
        </w:rPr>
        <w:t>2029 Notes Issuance and 2025 Notes Repurchase Transactions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March 8, 2024, LivaNova issued $345.0 million aggregate principal amount of 2.50% notes due 2029 by private placement to qualified institutional buyers pursuant to Rule 144A under the Securities Act, which included exercise in full of the initial purchasers’ option to purchase up to an additional $45.0 million principal amount of the 2029 Notes. The 2029 Notes are senior unsecured obligations of the Company. The Company used part of the proceeds from the issuance of the 2029 Notes to repurchase $230.0 million aggregate principal amount of the 2025 Notes in privately-negotiated transactions for an aggregate cash repurchase consideration of $270.5 million.</w:t>
      </w:r>
    </w:p>
    <w:p>
      <w:pPr>
        <w:spacing w:after="0" w:line="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2025 Notes Repurchase Transaction was treated as a debt extinguishment. The carrying value of the related 2025 Notes, which included the unamortized debt discount and issuance costs and the fair value of the embedded derivative, was derecognized, and the 2029 Notes issued were recognized at fair value. The difference between the consideration used to extinguish the 2025 Notes, the carrying value of the 2025 Notes, and the fair value of the embedded derivative was recognized as a loss on debt extinguishment of $25.5 million on LivaNova’s consolidated statements of income (loss) during the year ended December 31, 2024. Third-party costs incurred directly related to the 2025 Notes Repurchase Transaction were deferred and capitalized as additional debt issuance costs to be amortized on the 2029 Notes.</w:t>
      </w:r>
    </w:p>
    <w:p>
      <w:pPr>
        <w:spacing w:after="0" w:line="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Contemporaneously with the 2025 Notes Repurchase Transaction, the Company and the financial institutions party to the 2025 Capped Calls agreed to terminate a portion of the 2025 Capped Calls in a notional amount corresponding to the amount of 2025 Notes repurchased. The Company received $22.5 million in cash consideration, the fair value of the terminated portion, upon settlement. The terms of the remaining 2025 Capped Calls remain unchanged and are classified as current derivative assets. For additional information on LivaNova’s embedded and capped call derivative instruments, refer to “Note 7. Derivatives and Risk Management.”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2029 Notes</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sale of the 2029 Notes resulted in $332.1 million in net proceeds to the Company after deducting issuance costs. Interest is payable semiannually in arrears on March 15 and September 15 of each year. The effective interest rate of the 2029 Notes was 9.84% as of December 31, 2024. The 2029 Notes mature on March 15, 2029, unless earlier repurchased, redeemed, or converted.</w:t>
      </w:r>
    </w:p>
    <w:p>
      <w:pPr>
        <w:spacing w:after="0" w:line="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Debt discount and issuance costs related to the 2029 Notes were $99.6 million, including $87.5 million of discount attributable to the embedded derivative and $12.1 million of new debt issuance costs related to the 2029 Notes. The debt discount and issuance costs are amortized as interest expense using the effective interest method over the term of the 2029 Notes. The unamortized debt discount and issuance costs related to the 2029 Notes as of December 31, 2024 were $87.0 million.</w:t>
      </w:r>
    </w:p>
    <w:p>
      <w:pPr>
        <w:spacing w:after="0" w:line="4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Holders are entitled to convert the 2029 Notes at any time during specified periods, at their option, subject to certain conditions. This includes the right to convert the 2029 Notes during any calendar quarter if the last reported sale price of LivaNova’s ordinary shares is greater than or equal to 130% of the conversion price, or $90.22 per share, for at least 20 trading days (whether or not consecutive) during a period of 30 consecutive trading days ending on, and including, the last trading day of the immediately preceding calendar quarter. The initial conversion rate for the 2029 Notes is 14.4085 ordinary shares per $1,000 principal amount of 2029 Notes (equivalent to an initial conversion price of $69.40 per share). The conversion rate is subject to adjustment in certain circumstances, as set forth in the indenture governing the 2029 Notes.</w:t>
      </w:r>
    </w:p>
    <w:p>
      <w:pPr>
        <w:spacing w:after="0" w:line="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the conditions for conversion were not met. As a result, the Company included its obligations from the 2029 Notes and the associated embedded derivative as long-term liabilities on the consolidated balance sheet as of December 31, 2024, and the 2029 Notes are not convertible during the three months ending March 31, 2025.</w:t>
      </w:r>
    </w:p>
    <w:p>
      <w:pPr>
        <w:spacing w:after="0" w:line="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Upon any conversion of the 2029 Notes, LivaNova will be required to pay cash up to the aggregate principal amount of the 2029 Notes to be converted and may elect to settle the conversion obligation in excess of the aggregate principal amount of the 2029 Notes being converted in cash, shares, or a combination of the two.</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On or after December 15, 2028, holders may convert their 2029 Notes at their option at any time until the close of business on the second Scheduled Trading Day (as defined in the indenture governing the 2029 Notes) immediately preceding the maturity date.</w:t>
      </w:r>
    </w:p>
    <w:p>
      <w:pPr>
        <w:spacing w:after="0" w:line="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may redeem the 2029 Notes, in whole or in part, at its option on or after March 22, 2027 for cash if the last reported sale price of LivaNova’s ordinary share has been at least 130% of the conversion price, or $90.22 per share,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Additionally, the Company may redeem the 2029 Notes at its option, prior to the stated maturity, in whole but not in part, in connection with certain tax-related events.</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81" w:name="page82"/>
    <w:bookmarkEnd w:id="81"/>
    <w:p>
      <w:pPr>
        <w:jc w:val="both"/>
        <w:spacing w:after="0" w:line="275" w:lineRule="auto"/>
        <w:rPr>
          <w:sz w:val="20"/>
          <w:szCs w:val="20"/>
          <w:color w:val="auto"/>
        </w:rPr>
      </w:pPr>
      <w:r>
        <w:rPr>
          <w:rFonts w:ascii="Times New Roman" w:cs="Times New Roman" w:eastAsia="Times New Roman" w:hAnsi="Times New Roman"/>
          <w:sz w:val="14"/>
          <w:szCs w:val="14"/>
          <w:color w:val="auto"/>
        </w:rPr>
        <w:t>Holders may require the Company to repurchase their 2029 Notes upon the occurrence of a Fundamental Change (as defined in the indenture governing the 2029 Notes) at a repurchase price equal to the principal amount thereof plus accrued and unpaid interest to, but excluding, the repurchase date. In addition, in connection with certain corporate events or if the Company issues a notice of redemption, the Company will, under certain circumstances, increase the conversion rate for holders who elect to convert their 2029 Notes in connection with such corporate event or during the relevant redemption period.</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indenture governing the 2029 Notes contains customary terms and covenants, including that upon certain events of default occurring and continuing, either the Trustee (as defined in the indenture governing the 2029 Notes) or holders of at least 25% in aggregate principal amount of the 2029 Notes then outstanding may declare the entire principal amount of all the 2029 Notes, and accrued and unpaid interest on such 2029 Notes, to be immediately due and payable. Upon events of default in connection with specified bankruptcy events involving the Company, the 2029 Notes will become due and payable immediately.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2025 Notes</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June 17, 2020, LivaNova USA issued $287.5 million aggregate principal amount of 3.00% notes due 2025 by private placement to qualified institutional buyers pursuant to Rule 144A under the Securities Act. The 2025 Notes are senior unsecured obligations of the Company. The sale of the 2025 Notes resulted in $278.0 million in net proceeds to the Company after deducting issuance costs. Interest is payable semiannually in arrears on June 15 and December 15 of each year. On March 8, 2024, in connection with the issuance of the 2029 Notes, the Company used part of the net proceeds to repurchase $230.0 million aggregate principal amount of the 2025 Notes in privately-negotiated transactions. For additional information, refer to “2029 Notes Issuance and 2025 Notes Repurchase Transactions” above. The effective interest rate of the 2025 Notes was 9.95% at December 31, 2024. The 2025 Notes mature on December 15, 2025, unless earlier exchanged, repurchased, or redeemed.</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Debt discount and issuance costs related to the 2025 Notes were $82.0 million, including $75.0 million of discount attributable to the embedded derivative and $7.0 million of allocated issuance costs to the 2025 Notes related to legal, bank, and accounting fees. The debt discount and issuance costs are amortized as interest expense using the effective interest method over the term of the 2025 Notes. Upon the closing of the 2025 Notes Repurchase Transaction in March 2024, the remaining unamortized debt discount and issuance costs related to the 2025 Notes were $5.8 million. The unamortized debt discount and issuance costs related to the 2025 Notes as of December 31, 2024 and 2023 were $3.6 million and $32.0 million, respectively.</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Holders are entitled to exchange the 2025 Notes at any time during specified periods, at their option, subject to certain conditions. This includes the right to exchange the 2025 Notes during any calendar quarter if the last reported sale price of LivaNova’s ordinary shares is greater than or equal to 130% of the exchange price, or $79.27 per share, for at least 20 trading days (whether or not consecutive) during a period of 30 consecutive trading days ending on, and including, the last trading day of the immediately preceding calendar quarter. The 2025 Notes are exchangeable solely into cash and are not exchangeable into ordinary shares of LivaNova or any other security under any circumstances. The initial exchange rate for the 2025 Notes is 16.3980 ordinary shares per $1,000 principal amount of 2025 Notes (equivalent to an initial exchange price of $60.98 per share). The exchange rate is subject to adjustment in certain circumstances, as set forth in the indenture governing the 2025 Notes.</w:t>
      </w:r>
    </w:p>
    <w:p>
      <w:pPr>
        <w:spacing w:after="0" w:line="6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As of December 31, 2024, the conditions for exchange were not met. The Company included its obligations from the 2025 Notes and the associated embedded derivative as current liabilities on the consolidated balance sheet as of December 31, 2024, and the 2025 Notes are not exchangeable during the three months ending March 31, 2025.</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On or after September 15, 2025, holders may exchange their 2025 Notes at their option at any time until the close of business on the second Scheduled Trading Day (as defined in the indenture governing the 2025 Notes) immediately preceding the maturity date.</w:t>
      </w:r>
    </w:p>
    <w:p>
      <w:pPr>
        <w:spacing w:after="0" w:line="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Company may redeem the 2025 Notes, in whole or in part, at its option prior to the 51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scheduled trading day immediately preceding the maturity date if the last reported sale price per ordinary share has been at least 130% of the exchange price, or $79.27 per share,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2025 Notes to be redeemed, plus accrued and unpaid interest to, but excluding, the redemption date. Additionally, the Company may redeem the 2025 Notes at its option, prior to the stated maturity, in whole but not in part, in connection with certain tax-related events.</w:t>
      </w: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color w:val="auto"/>
        </w:rPr>
        <w:t>Note 10. Leases</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has operating leases primarily for (i) office space; (ii) manufacturing, warehouse, and R&amp;D facilities; and (iii) vehicles. LivaNova’s leases include options to extend the leases, and some of which include options to terminate the leases at the Company’s sole discretion. The following table presents the components of operating lease assets and liabilities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tcBorders>
              <w:bottom w:val="single" w:sz="8" w:color="auto"/>
            </w:tcBorders>
          </w:tcPr>
          <w:p>
            <w:pPr>
              <w:spacing w:after="0"/>
              <w:rPr>
                <w:sz w:val="16"/>
                <w:szCs w:val="16"/>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150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46,837</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50,845</w:t>
            </w: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0"/>
        </w:trPr>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50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9,040</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8,362</w:t>
            </w:r>
          </w:p>
        </w:tc>
      </w:tr>
      <w:tr>
        <w:trPr>
          <w:trHeight w:val="180"/>
        </w:trPr>
        <w:tc>
          <w:tcPr>
            <w:tcW w:w="6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40,105</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45,388</w:t>
            </w:r>
          </w:p>
        </w:tc>
      </w:tr>
      <w:tr>
        <w:trPr>
          <w:trHeight w:val="196"/>
        </w:trPr>
        <w:tc>
          <w:tcPr>
            <w:tcW w:w="68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49,145</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contractual maturities of LivaNova’s lease liabilities as of December 31, 2024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11,392</w:t>
            </w: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8,468</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7,206</w:t>
            </w: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5,795</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4,887</w:t>
            </w: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5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25,459</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15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63,207</w:t>
            </w: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15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14,062</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5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49,145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operating lease cost (in thousands):</w:t>
            </w:r>
          </w:p>
        </w:tc>
        <w:tc>
          <w:tcPr>
            <w:tcW w:w="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52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500" w:type="dxa"/>
            <w:vAlign w:val="bottom"/>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11,333</w:t>
            </w: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10,286</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10,408</w:t>
            </w: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150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15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500" w:type="dxa"/>
            <w:vAlign w:val="bottom"/>
            <w:tcBorders>
              <w:bottom w:val="single" w:sz="8" w:color="auto"/>
            </w:tcBorders>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13,046</w:t>
            </w:r>
          </w:p>
        </w:tc>
        <w:tc>
          <w:tcPr>
            <w:tcW w:w="8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11,801</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11,456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presents the weighted-average remaining lease term and discount rate:</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52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15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4"/>
              </w:rPr>
              <w:t>8.7 years</w:t>
            </w: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9.6 years</w:t>
            </w:r>
          </w:p>
        </w:tc>
        <w:tc>
          <w:tcPr>
            <w:tcW w:w="0" w:type="dxa"/>
            <w:vAlign w:val="bottom"/>
          </w:tcPr>
          <w:p>
            <w:pPr>
              <w:spacing w:after="0"/>
              <w:rPr>
                <w:sz w:val="1"/>
                <w:szCs w:val="1"/>
                <w:color w:val="auto"/>
              </w:rPr>
            </w:pPr>
          </w:p>
        </w:tc>
      </w:tr>
      <w:tr>
        <w:trPr>
          <w:trHeight w:val="184"/>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w w:val="95"/>
              </w:rPr>
              <w:t>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314"/>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supplemental lease information (in thousands):</w:t>
            </w: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0"/>
        </w:trPr>
        <w:tc>
          <w:tcPr>
            <w:tcW w:w="4520" w:type="dxa"/>
            <w:vAlign w:val="bottom"/>
            <w:vMerge w:val="continue"/>
          </w:tcPr>
          <w:p>
            <w:pPr>
              <w:spacing w:after="0"/>
              <w:rPr>
                <w:sz w:val="13"/>
                <w:szCs w:val="13"/>
                <w:color w:val="auto"/>
              </w:rPr>
            </w:pPr>
          </w:p>
        </w:tc>
        <w:tc>
          <w:tcPr>
            <w:tcW w:w="1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cash flows for operating leases</w:t>
            </w:r>
          </w:p>
        </w:tc>
        <w:tc>
          <w:tcPr>
            <w:tcW w:w="15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12,468</w:t>
            </w:r>
          </w:p>
        </w:tc>
        <w:tc>
          <w:tcPr>
            <w:tcW w:w="0" w:type="dxa"/>
            <w:vAlign w:val="bottom"/>
          </w:tcPr>
          <w:p>
            <w:pPr>
              <w:spacing w:after="0"/>
              <w:rPr>
                <w:sz w:val="1"/>
                <w:szCs w:val="1"/>
                <w:color w:val="auto"/>
              </w:rPr>
            </w:pPr>
          </w:p>
        </w:tc>
      </w:tr>
      <w:tr>
        <w:trPr>
          <w:trHeight w:val="184"/>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assets obtained in exchange for lease liabilities</w:t>
            </w: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7,820</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Saluggia Site Hazardous Substances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w:t>
      </w: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83" w:name="page84"/>
    <w:bookmarkEnd w:id="83"/>
    <w:p>
      <w:pPr>
        <w:jc w:val="both"/>
        <w:spacing w:after="0" w:line="303" w:lineRule="auto"/>
        <w:rPr>
          <w:sz w:val="20"/>
          <w:szCs w:val="20"/>
          <w:color w:val="auto"/>
        </w:rPr>
      </w:pPr>
      <w:r>
        <w:rPr>
          <w:rFonts w:ascii="Times New Roman" w:cs="Times New Roman" w:eastAsia="Times New Roman" w:hAnsi="Times New Roman"/>
          <w:sz w:val="14"/>
          <w:szCs w:val="14"/>
          <w:color w:val="auto"/>
        </w:rPr>
        <w:t>1990s. Pursuant to authorization from the Italian government, LSM performs ordinary maintenance, secures the facilities, monitors air and water quality, and files applicable reports with the competent environmental authorities.</w:t>
      </w:r>
    </w:p>
    <w:p>
      <w:pPr>
        <w:spacing w:after="0" w:line="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2020, LSM received correspondence from ISIN requesting that, within five years, LSM demonstrate the financial capacity to meet its obligations under Italian law to clean and dismantle any contaminated buildings and equipment, as well as to deliver hazardous substances to a national repository. The national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Although there is no legal obligation to deliver the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The estimated liability as of December 31, 2024 was $36.7 million (€35.4 million), which represents the estimated low end of the range of loss, with an estimated maximum end of the range of loss of $49.2 million (€47.4 million). The estimated liability as of December 31, 2023 was $39.7 million (€35.8 million).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SNIA Environmental Litigation</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Sorin was created as a result of a spin-off from SNIA in 2004, and in 2015, Sorin was merged into LivaNova. SNIA subsequently became insolvent, and the Public Administrations sought compensation from SNIA in an aggregate amount of approximately $3.6 billion for remediation costs relating to the environmental damage at chemical sites previously operated by SNIA’s other subsidiaries.</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There are proceedings relating to the SNIA bankruptcy to which LivaNova is not a party in the Bankruptcy Court of Udine and the Bankruptcy Court of Milan. In 2011, the Bankruptcy Court of Udine held that the Public Administrations were not creditors of either SNIA or its subsidiaries in connection with their claims in the Italian insolvency proceedings. The Public Administrations appealed. In 2016, the Court of Udine rejected the appeal, and the Public Administrations appealed to the Italian Supreme Court. Similarly, in 2014, the Bankruptcy Court of Milan held that the Public Administrations were not creditors of either SNIA or its subsidiaries. The Public Administrations appealed. In April 2022, the Bankruptcy Court of Milan declared the Public Administrations to be a non-privileged creditor of SNIA for up to €454 million, and the Public Administrations appealed to the Italian Supreme Court.</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2016, the Court of Milan dismissed all legal actions of SNIA and of the Public Administrations further requiring the Public Administrations to pay Sorin €292,000 ($303,000 as of December 31, 2024) for legal fees. The Public Administrations appealed the 2016 Decision to the Court of Appeal. On March 5, 2019, the Court of Appeal issued a partial decision on the merits declaring Sorin/LivaNova jointly liable with SNIA for SNIA’s environmental liabilities in an amount up to the fair value of the net worth received by Sorin because of the spin-off of Sorin from SNIA in 2024, an estimated €572.1 million ($593.7 million as of December 31, 2024). LivaNova appealed the partial decision on liability to the Italian Supreme Court in August 2019.</w:t>
      </w:r>
    </w:p>
    <w:p>
      <w:pPr>
        <w:spacing w:after="0" w:line="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 2021, the Court of Appeal delivered the remainder of its decision, ordering LivaNova to pay damages of €453.6 million ($470.7 million as of December 31, 2024). LivaNova appealed the decision on damages in December 2021. On February 21, 2022, the Court of Appeal notified the Company that it granted the Company a suspension with respect to the payment of damages until a decision has been reached on the appeal to the Italian Supreme Court. This suspension was subject to LivaNova providing a first demand bank guarantee of €270.0 million ($280.2 million as of December 31, 2024) within 30 calendar days, and on March 21, 2022, LivaNova delivered the guarantee, thereby satisfying the condition. For additional information on the financing of the guarantee, refer to “Note 18. Supplemental Financial Information.”</w:t>
      </w:r>
    </w:p>
    <w:p>
      <w:pPr>
        <w:spacing w:after="0" w:line="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2022, in response to one of a number of appeals asserted by LivaNova, the Italian Supreme Court issued an ordinance, a procedural document, whereby the Italian Supreme Court referred a question on interpretation of a European directive on demergers to the ECJ. Specifically, the ordinance asked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On July 29, 2024, the ECJ issued a judgment in response to the ordinance. The ECJ judgment states that a demerged company can be held responsible for liabilities not established prior to a demerger as long as the liabilities derive from the conduct of a demerged company prior to the demerger. The ECJ judgment also states that national law should determine whether liability for damages stemming from</w:t>
      </w: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4" w:name="page85"/>
    <w:bookmarkEnd w:id="84"/>
    <w:p>
      <w:pPr>
        <w:jc w:val="both"/>
        <w:spacing w:after="0" w:line="278" w:lineRule="auto"/>
        <w:rPr>
          <w:sz w:val="20"/>
          <w:szCs w:val="20"/>
          <w:color w:val="auto"/>
        </w:rPr>
      </w:pPr>
      <w:r>
        <w:rPr>
          <w:rFonts w:ascii="Times New Roman" w:cs="Times New Roman" w:eastAsia="Times New Roman" w:hAnsi="Times New Roman"/>
          <w:sz w:val="14"/>
          <w:szCs w:val="14"/>
          <w:color w:val="auto"/>
        </w:rPr>
        <w:t>conduct after a demerger can be assigned to a demerged company. The Italian Supreme Court is scheduled to hold a public hearing on February 26, 2025. While the Company does not anticipate a decision at the hearing, it expects a decision in response to all of the appeals of LivaNova and counter-appeals submitted by the Public Administrations during the first half of 2025. LivaNova has not recognized a liability in connection with this matter because any potential loss is not currently probable.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Liability Litigation</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continues to be involved in litigation involving LivaNova’s 3T device. The litigation includes the cases remaining in the MDL, various U.S. state court cases, and claims in jurisdictions outside the United States. As of February 25, 2025, the Company was aware of approximately 60 filed and unfiled claims worldwide.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During the years ended December 31, 2024, 2023, and 2022, LivaNova recorded an additional liability of $19.7 million, $34.5 million, and $22.3 million, respectively, upon receipt of new information regarding the nature of certain claims. As of December 31, 2024, the provision for these matters was $15.8 million. While the amount accrued represents LivaNova’s best estimate for those worldwide filed and unfiled claims of which LivaNova is aware and believes are both probable and estimable at this time, the actual liability for resolution of these matters may vary from the Company’s provision. For any claims where a potential loss is not determined to be probable, or a potential loss or range of potential loss is not reasonably estimable at this time, a provision has not been recorded.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litigation provision liability for the years ended December 31, 2024, 2023, and 2022 (in thousands):</w:t>
            </w:r>
          </w:p>
        </w:tc>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17"/>
        </w:trPr>
        <w:tc>
          <w:tcPr>
            <w:tcW w:w="9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8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2021</w:t>
            </w:r>
          </w:p>
        </w:tc>
        <w:tc>
          <w:tcPr>
            <w:tcW w:w="7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39,470</w:t>
            </w:r>
          </w:p>
        </w:tc>
      </w:tr>
      <w:tr>
        <w:trPr>
          <w:trHeight w:val="180"/>
        </w:trPr>
        <w:tc>
          <w:tcPr>
            <w:tcW w:w="9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7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(28,867)</w:t>
            </w:r>
          </w:p>
        </w:tc>
      </w:tr>
      <w:tr>
        <w:trPr>
          <w:trHeight w:val="180"/>
        </w:trPr>
        <w:tc>
          <w:tcPr>
            <w:tcW w:w="94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8"/>
                <w:szCs w:val="18"/>
                <w:color w:val="auto"/>
                <w:vertAlign w:val="superscript"/>
              </w:rPr>
              <w:t>(1)</w:t>
            </w: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22,309</w:t>
            </w:r>
          </w:p>
        </w:tc>
      </w:tr>
      <w:tr>
        <w:trPr>
          <w:trHeight w:val="180"/>
        </w:trPr>
        <w:tc>
          <w:tcPr>
            <w:tcW w:w="9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FX and other</w:t>
            </w:r>
          </w:p>
        </w:tc>
        <w:tc>
          <w:tcPr>
            <w:tcW w:w="7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w:t>
            </w:r>
          </w:p>
        </w:tc>
      </w:tr>
      <w:tr>
        <w:trPr>
          <w:trHeight w:val="171"/>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7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32,487</w:t>
            </w:r>
          </w:p>
        </w:tc>
      </w:tr>
      <w:tr>
        <w:trPr>
          <w:trHeight w:val="180"/>
        </w:trPr>
        <w:tc>
          <w:tcPr>
            <w:tcW w:w="9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7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(53,652)</w:t>
            </w:r>
          </w:p>
        </w:tc>
      </w:tr>
      <w:tr>
        <w:trPr>
          <w:trHeight w:val="180"/>
        </w:trPr>
        <w:tc>
          <w:tcPr>
            <w:tcW w:w="94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8"/>
                <w:szCs w:val="18"/>
                <w:color w:val="auto"/>
                <w:vertAlign w:val="superscript"/>
              </w:rPr>
              <w:t>(1)</w:t>
            </w: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34,521</w:t>
            </w:r>
          </w:p>
        </w:tc>
      </w:tr>
      <w:tr>
        <w:trPr>
          <w:trHeight w:val="180"/>
        </w:trPr>
        <w:tc>
          <w:tcPr>
            <w:tcW w:w="9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FX and other</w:t>
            </w:r>
          </w:p>
        </w:tc>
        <w:tc>
          <w:tcPr>
            <w:tcW w:w="7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171"/>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7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13,860</w:t>
            </w:r>
          </w:p>
        </w:tc>
      </w:tr>
      <w:tr>
        <w:trPr>
          <w:trHeight w:val="180"/>
        </w:trPr>
        <w:tc>
          <w:tcPr>
            <w:tcW w:w="9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7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(17,412)</w:t>
            </w:r>
          </w:p>
        </w:tc>
      </w:tr>
      <w:tr>
        <w:trPr>
          <w:trHeight w:val="180"/>
        </w:trPr>
        <w:tc>
          <w:tcPr>
            <w:tcW w:w="94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8"/>
                <w:szCs w:val="18"/>
                <w:color w:val="auto"/>
                <w:vertAlign w:val="superscript"/>
              </w:rPr>
              <w:t>(1)</w:t>
            </w: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19,687</w:t>
            </w:r>
          </w:p>
        </w:tc>
      </w:tr>
      <w:tr>
        <w:trPr>
          <w:trHeight w:val="180"/>
        </w:trPr>
        <w:tc>
          <w:tcPr>
            <w:tcW w:w="9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FX and other</w:t>
            </w:r>
          </w:p>
        </w:tc>
        <w:tc>
          <w:tcPr>
            <w:tcW w:w="7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r>
      <w:tr>
        <w:trPr>
          <w:trHeight w:val="171"/>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2024</w:t>
            </w:r>
          </w:p>
        </w:tc>
        <w:tc>
          <w:tcPr>
            <w:tcW w:w="7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15,843</w:t>
            </w:r>
          </w:p>
        </w:tc>
      </w:tr>
      <w:tr>
        <w:trPr>
          <w:trHeight w:val="180"/>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 as of December 31, 2024</w:t>
            </w:r>
          </w:p>
        </w:tc>
        <w:tc>
          <w:tcPr>
            <w:tcW w:w="7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12,918</w:t>
            </w:r>
          </w:p>
        </w:tc>
      </w:tr>
      <w:tr>
        <w:trPr>
          <w:trHeight w:val="196"/>
        </w:trPr>
        <w:tc>
          <w:tcPr>
            <w:tcW w:w="944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Long-term portion as of December 31, 2024 </w:t>
            </w:r>
            <w:r>
              <w:rPr>
                <w:rFonts w:ascii="Times New Roman" w:cs="Times New Roman" w:eastAsia="Times New Roman" w:hAnsi="Times New Roman"/>
                <w:sz w:val="18"/>
                <w:szCs w:val="18"/>
                <w:color w:val="auto"/>
                <w:vertAlign w:val="superscript"/>
              </w:rPr>
              <w:t>(2)</w:t>
            </w:r>
          </w:p>
        </w:tc>
        <w:tc>
          <w:tcPr>
            <w:tcW w:w="72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500" w:hanging="240"/>
        <w:spacing w:after="0"/>
        <w:tabs>
          <w:tab w:leader="none" w:pos="50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Adjustments to the litigation provision are included in other operating expenses on the consolidated statements of income (loss).</w:t>
      </w:r>
    </w:p>
    <w:p>
      <w:pPr>
        <w:spacing w:after="0" w:line="7"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Included in other long-term liabilities on the consolidated balance sheets.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Italian MedTech Payback Measure</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2015, the Italian Parliament introduced rules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August 2022, a decree was published which provided guidance and timetables for the rule. In response, LivaNova filed an appeal at the Administrative Court against the Decree of the Ministry of Health, assessing the amount payable and against the payback law. LivaNova also filed appeals against the regions requesting payments. In August 2023, the Administrative Court upheld LivaNova’s request to suspend the effect of the requests for payment by the regions, pending the decision by the Administrative Court on the merits of the case. In November 2023, the Administrative Court, in a separate matter, asked the Constitutional Court whether the payback law was compliant with the Italian Constitution and pending the decision by the Constitutional Court, all cases brought by medical device companies in this matter were suspended. On July 22, 2024, the Constitutional Court</w:t>
      </w: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5" w:name="page86"/>
    <w:bookmarkEnd w:id="85"/>
    <w:p>
      <w:pPr>
        <w:jc w:val="both"/>
        <w:spacing w:after="0" w:line="275" w:lineRule="auto"/>
        <w:rPr>
          <w:sz w:val="20"/>
          <w:szCs w:val="20"/>
          <w:color w:val="auto"/>
        </w:rPr>
      </w:pPr>
      <w:r>
        <w:rPr>
          <w:rFonts w:ascii="Times New Roman" w:cs="Times New Roman" w:eastAsia="Times New Roman" w:hAnsi="Times New Roman"/>
          <w:sz w:val="14"/>
          <w:szCs w:val="14"/>
          <w:color w:val="auto"/>
        </w:rPr>
        <w:t>determined that the payback law is compliant with the Italian Constitution and that companies may reduce their payment obligations between 2015-2018 to 48% of the amount originally charged to companies. Based on market and product information, as previously disclosed, and the recent ruling by the Constitutional Court, the amount reserved for this matter was $16.0 million and $8.2 million as of December 31, 2024 and 2023, respectively, and is included in accrued liabilities and other in the consolidated balance sheets. However, the actual liability could vary. Amounts recognized associated with the Italian MedTech payback measure are recorded as a reduction to net revenue in the consolidated statements of income (loss).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Cyber Litigation</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 connection with the cybersecurity incident initially reported on November 20, 2023, LivaNova USA was named as a defendant in six putative class action lawsuits filed in the United States District Court for the Southern District of Texas in June and July 2024. Those cases were consolidated in a single action, and the plaintiffs filed against LivaNova USA a consolidated class action complaint, which asserted claims of negligence, breach of contract, and violation of various state consumer protection laws. The plaintiffs sought damages, equitable/injunctive relief, and attorney’s fees, costs, and expenses, among other relief. The parties entered into mediation and have agreed to a settlement, for which the Company recorded an accrual of $1.2 million during the quarter ended September 30, 2024. The settlement has received preliminary approval from the Court, and the Company expects all settlement activities to be completed in 2025.</w:t>
      </w:r>
    </w:p>
    <w:p>
      <w:pPr>
        <w:spacing w:after="0" w:line="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addition, HHS’s Office for Civil Rights is investigating the incident pursuant to its authority to enforce the HIPAA rules regarding privacy, security, and breach notification. The Office for Civil Rights issued a request for information regarding the Company’s response to the incident and the Company’s compliance with HIPAA rules, to which the Company responded. The Office for Civil Rights may issue additional requests for information and documentation. In connection with its investigation, the Office for Civil Rights may, among other measures, seek to impose civil monetary penalties against LivaNova and seek to require that the Company implement a corrective action plan.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Matters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Additionally, LivaNova is the subject of various pending or threatened legal actions and proceedings that arise in the ordinary course of LivaNova’s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LivaNova’s consolidated results of operations, financial position, or liquidity.</w:t>
      </w: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color w:val="auto"/>
        </w:rPr>
        <w:t>Note 12. Stockholders’ Equity</w:t>
      </w:r>
    </w:p>
    <w:p>
      <w:pPr>
        <w:spacing w:after="0" w:line="87"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The following table presents the change in each component of AOCI, net of tax and the reclassifications out of AOCI into net income (loss) for the years ended December 31, 2024, 2023, and 2022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Unrealized (Loss)</w:t>
            </w:r>
          </w:p>
        </w:tc>
        <w:tc>
          <w:tcPr>
            <w:tcW w:w="220" w:type="dxa"/>
            <w:vAlign w:val="bottom"/>
          </w:tcPr>
          <w:p>
            <w:pPr>
              <w:spacing w:after="0"/>
              <w:rPr>
                <w:sz w:val="13"/>
                <w:szCs w:val="13"/>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40" w:type="dxa"/>
            <w:vAlign w:val="bottom"/>
          </w:tcPr>
          <w:p>
            <w:pPr>
              <w:spacing w:after="0"/>
              <w:rPr>
                <w:sz w:val="13"/>
                <w:szCs w:val="13"/>
                <w:color w:val="auto"/>
              </w:rPr>
            </w:pPr>
          </w:p>
        </w:tc>
        <w:tc>
          <w:tcPr>
            <w:tcW w:w="112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100" w:type="dxa"/>
            <w:vAlign w:val="bottom"/>
          </w:tcPr>
          <w:p>
            <w:pPr>
              <w:spacing w:after="0"/>
              <w:rPr>
                <w:sz w:val="16"/>
                <w:szCs w:val="16"/>
                <w:color w:val="auto"/>
              </w:rPr>
            </w:pP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Gain on Cash Flow Hedges</w:t>
            </w:r>
          </w:p>
        </w:tc>
        <w:tc>
          <w:tcPr>
            <w:tcW w:w="1860" w:type="dxa"/>
            <w:vAlign w:val="bottom"/>
            <w:gridSpan w:val="3"/>
          </w:tcPr>
          <w:p>
            <w:pPr>
              <w:jc w:val="center"/>
              <w:ind w:right="100"/>
              <w:spacing w:after="0" w:line="191" w:lineRule="exact"/>
              <w:rPr>
                <w:sz w:val="20"/>
                <w:szCs w:val="20"/>
                <w:color w:val="auto"/>
              </w:rPr>
            </w:pPr>
            <w:r>
              <w:rPr>
                <w:rFonts w:ascii="Times New Roman" w:cs="Times New Roman" w:eastAsia="Times New Roman" w:hAnsi="Times New Roman"/>
                <w:sz w:val="14"/>
                <w:szCs w:val="14"/>
                <w:b w:val="1"/>
                <w:bCs w:val="1"/>
                <w:color w:val="auto"/>
                <w:w w:val="98"/>
              </w:rPr>
              <w:t xml:space="preserve">Translation Adjustments </w:t>
            </w:r>
            <w:r>
              <w:rPr>
                <w:rFonts w:ascii="Times New Roman" w:cs="Times New Roman" w:eastAsia="Times New Roman" w:hAnsi="Times New Roman"/>
                <w:sz w:val="18"/>
                <w:szCs w:val="18"/>
                <w:b w:val="1"/>
                <w:bCs w:val="1"/>
                <w:color w:val="auto"/>
                <w:w w:val="98"/>
                <w:vertAlign w:val="superscript"/>
              </w:rPr>
              <w:t>(1)</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2021</w:t>
            </w: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(6,232)</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(7,177)</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before reclassifications, before tax</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(42,853)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(46,541)</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expense</w:t>
            </w:r>
          </w:p>
        </w:tc>
        <w:tc>
          <w:tcPr>
            <w:tcW w:w="7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before reclassifications, net of tax</w:t>
            </w:r>
          </w:p>
        </w:tc>
        <w:tc>
          <w:tcPr>
            <w:tcW w:w="7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(42,853)</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(46,541)</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loss from accumulated other comprehensive loss, before tax</w:t>
            </w:r>
          </w:p>
        </w:tc>
        <w:tc>
          <w:tcPr>
            <w:tcW w:w="7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0" w:type="dxa"/>
            <w:vAlign w:val="bottom"/>
          </w:tcPr>
          <w:p>
            <w:pPr>
              <w:spacing w:after="0"/>
              <w:rPr>
                <w:sz w:val="1"/>
                <w:szCs w:val="1"/>
                <w:color w:val="auto"/>
              </w:rPr>
            </w:pP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Reclassification of tax expense</w:t>
            </w:r>
          </w:p>
        </w:tc>
        <w:tc>
          <w:tcPr>
            <w:tcW w:w="7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loss from accumulated other comprehensive loss, after tax</w:t>
            </w:r>
          </w:p>
        </w:tc>
        <w:tc>
          <w:tcPr>
            <w:tcW w:w="72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current-period other comprehensive income (loss), net of tax</w:t>
            </w: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(40,942)</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7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(49,085)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(48,119)</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 before tax</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20,769</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expense</w:t>
            </w:r>
          </w:p>
        </w:tc>
        <w:tc>
          <w:tcPr>
            <w:tcW w:w="7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 net of tax</w:t>
            </w:r>
          </w:p>
        </w:tc>
        <w:tc>
          <w:tcPr>
            <w:tcW w:w="7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21,202</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20,769</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loss, before tax</w:t>
            </w:r>
          </w:p>
        </w:tc>
        <w:tc>
          <w:tcPr>
            <w:tcW w:w="7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Reclassification of tax expense</w:t>
            </w:r>
          </w:p>
        </w:tc>
        <w:tc>
          <w:tcPr>
            <w:tcW w:w="7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loss, after tax</w:t>
            </w:r>
          </w:p>
        </w:tc>
        <w:tc>
          <w:tcPr>
            <w:tcW w:w="72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current-period other comprehensive (loss) income, net of tax</w:t>
            </w: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20,236</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7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before reclassifications, before tax</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expense</w:t>
            </w:r>
          </w:p>
        </w:tc>
        <w:tc>
          <w:tcPr>
            <w:tcW w:w="7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comprehensive loss before reclassifications, net of tax</w:t>
            </w:r>
          </w:p>
        </w:tc>
        <w:tc>
          <w:tcPr>
            <w:tcW w:w="7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current-period other comprehensive loss, net of tax</w:t>
            </w:r>
          </w:p>
        </w:tc>
        <w:tc>
          <w:tcPr>
            <w:tcW w:w="7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(52,287)</w:t>
            </w:r>
          </w:p>
        </w:tc>
        <w:tc>
          <w:tcPr>
            <w:tcW w:w="0" w:type="dxa"/>
            <w:vAlign w:val="bottom"/>
          </w:tcPr>
          <w:p>
            <w:pPr>
              <w:spacing w:after="0"/>
              <w:rPr>
                <w:sz w:val="1"/>
                <w:szCs w:val="1"/>
                <w:color w:val="auto"/>
              </w:rPr>
            </w:pP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2024</w:t>
            </w: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(80,170)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(80,170)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80" w:hanging="248"/>
        <w:spacing w:after="0"/>
        <w:tabs>
          <w:tab w:leader="none" w:pos="38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Taxes were not provided for foreign currency translation adjustments as translation adjustments are related to earnings that are intended to be reinvested in the countries where earned.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Stock-Based Incentive Plans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Plans</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During the year ended December 31, 2024, LivaNova issued stock-based compensatory awards with terms approved by the Compensation and Human Capital Management Committee of LivaNova’s Board of Directors. The awards with service conditions generally vest ratably over four years and are subject to forfeiture unless service conditions are met. The market performance-based awards that were issued cliff vest after three years subject to the rank of LivaNova’s total shareholder return for the three-year period ending December 31, 2026 relative to the total shareholder returns of the S&amp;P Healthcare Equipment Select Industry Index. The adjusted free cash flow and return on invested capital operating performance-based awards that were issued cliff vest after three years subject to the achievement of certain thresholds of cumulative results for the three-year period ending December 31, 2026. Compensation expense related to awards granted during 2024 for the year ended December 31, 2024 was $8.9 million.</w:t>
      </w:r>
    </w:p>
    <w:p>
      <w:pPr>
        <w:spacing w:after="0" w:line="6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Stock-based awards may be granted under the 2015 Plan and the A&amp;R 2022 Plan in the form of stock options, SARs, RSUs, and other stock-based and cash-based awards. As of December 31, 2024, under the 2015 Plan, there were 88,079 shares available for future grants to LivaNova’s non-executive directors and under the A&amp;R 2022 Plan, there were 1,544,717 shares</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87" w:name="page88"/>
    <w:bookmarkEnd w:id="87"/>
    <w:p>
      <w:pPr>
        <w:jc w:val="both"/>
        <w:spacing w:after="0" w:line="273" w:lineRule="auto"/>
        <w:rPr>
          <w:sz w:val="20"/>
          <w:szCs w:val="20"/>
          <w:color w:val="auto"/>
        </w:rPr>
      </w:pPr>
      <w:r>
        <w:rPr>
          <w:rFonts w:ascii="Times New Roman" w:cs="Times New Roman" w:eastAsia="Times New Roman" w:hAnsi="Times New Roman"/>
          <w:sz w:val="14"/>
          <w:szCs w:val="14"/>
          <w:color w:val="auto"/>
        </w:rPr>
        <w:t>pursuant to stock options or SARs and 960,838 shares pursuant to other types of awards available for future grants to LivaNova’s employees. In June 2024, the Company’s shareholders approved amendments to the 2015 Plan and the A&amp;R 2022 Plan. The 2015 Plan Amendment increased the number of shares that can be issued from 50,000 to 150,000. The A&amp;R 2022 Plan Amendment increased the number of shares that can be issued pursuant to options or SARs from 2,250,000 to 2,950,000, and the number of shares that can be issued pursuant to other types of awards from 1,500,000 to 2,000,000. In 2023, the Company’s shareholders approved the A&amp;R 2022 Plan. The A&amp;R 2022 Plan increases the aggregate number of ordinary shares that can be issued under the 2022 Plan pursuant to options or SARs from 1,900,000 to 2,250,000, and the number of ordinary shares that can be issued pursuant to awards other than options or SARs from 1,200,000 to 1,500,000.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also provides an ESPP.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amounts of stock-based compensation expense recognized in LivaNova’s consolidated statements of income (loss), by expense category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26,349</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35,638</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7,716</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33,933</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44,809</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 net of income tax benefit</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31,301</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34,507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44,103</w:t>
            </w:r>
          </w:p>
        </w:tc>
      </w:tr>
      <w:tr>
        <w:trPr>
          <w:trHeight w:val="20"/>
        </w:trPr>
        <w:tc>
          <w:tcPr>
            <w:tcW w:w="6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amounts of stock-based compensation expense recognized in LivaNova’s consolidated statements of income (loss) by type of arrangement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Service-based RSUs</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17,383</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21,563</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Service-based SARs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12,650</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14,065</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performance-based RSUs</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performance-based RSUs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share purchase plan</w:t>
            </w: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r>
      <w:tr>
        <w:trPr>
          <w:trHeight w:val="171"/>
        </w:trPr>
        <w:tc>
          <w:tcPr>
            <w:tcW w:w="6100" w:type="dxa"/>
            <w:vAlign w:val="bottom"/>
          </w:tcPr>
          <w:p>
            <w:pPr>
              <w:spacing w:after="0"/>
              <w:rPr>
                <w:sz w:val="14"/>
                <w:szCs w:val="14"/>
                <w:color w:val="auto"/>
              </w:rPr>
            </w:pP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33,933</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36,352</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44,809</w:t>
            </w:r>
          </w:p>
        </w:tc>
      </w:tr>
      <w:tr>
        <w:trPr>
          <w:trHeight w:val="20"/>
        </w:trPr>
        <w:tc>
          <w:tcPr>
            <w:tcW w:w="6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Unrecognized Stock-Based Compensation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amounts of unrecognized stock-based compensation cost related to non-vested awards, including awards issued as of December 31, 2024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Unrecognized Stock-based</w:t>
            </w:r>
          </w:p>
        </w:tc>
        <w:tc>
          <w:tcPr>
            <w:tcW w:w="10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 Remaining</w:t>
            </w:r>
          </w:p>
        </w:tc>
      </w:tr>
      <w:tr>
        <w:trPr>
          <w:trHeight w:val="188"/>
        </w:trPr>
        <w:tc>
          <w:tcPr>
            <w:tcW w:w="3520" w:type="dxa"/>
            <w:vAlign w:val="bottom"/>
            <w:tcBorders>
              <w:bottom w:val="single" w:sz="8" w:color="CCEEFF"/>
            </w:tcBorders>
          </w:tcPr>
          <w:p>
            <w:pPr>
              <w:spacing w:after="0"/>
              <w:rPr>
                <w:sz w:val="16"/>
                <w:szCs w:val="16"/>
                <w:color w:val="auto"/>
              </w:rPr>
            </w:pPr>
          </w:p>
        </w:tc>
        <w:tc>
          <w:tcPr>
            <w:tcW w:w="35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Compensation Cost</w:t>
            </w:r>
          </w:p>
        </w:tc>
        <w:tc>
          <w:tcPr>
            <w:tcW w:w="1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Vesting Period (in years)</w:t>
            </w:r>
          </w:p>
        </w:tc>
      </w:tr>
      <w:tr>
        <w:trPr>
          <w:trHeight w:val="17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Service-based SARs</w:t>
            </w:r>
          </w:p>
        </w:tc>
        <w:tc>
          <w:tcPr>
            <w:tcW w:w="35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22,593</w:t>
            </w:r>
          </w:p>
        </w:tc>
        <w:tc>
          <w:tcPr>
            <w:tcW w:w="100" w:type="dxa"/>
            <w:vAlign w:val="bottom"/>
            <w:shd w:val="clear" w:color="auto" w:fill="CCEEFF"/>
          </w:tcPr>
          <w:p>
            <w:pPr>
              <w:spacing w:after="0"/>
              <w:rPr>
                <w:sz w:val="15"/>
                <w:szCs w:val="15"/>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2.64</w:t>
            </w: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Service-based RSUs</w:t>
            </w:r>
          </w:p>
        </w:tc>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25,743</w:t>
            </w:r>
          </w:p>
        </w:tc>
        <w:tc>
          <w:tcPr>
            <w:tcW w:w="234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2.60</w:t>
            </w: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Performance-based RSUs</w:t>
            </w:r>
          </w:p>
        </w:tc>
        <w:tc>
          <w:tcPr>
            <w:tcW w:w="35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234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2.07</w:t>
            </w:r>
          </w:p>
        </w:tc>
      </w:tr>
      <w:tr>
        <w:trPr>
          <w:trHeight w:val="171"/>
        </w:trPr>
        <w:tc>
          <w:tcPr>
            <w:tcW w:w="35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52,730</w:t>
            </w:r>
          </w:p>
        </w:tc>
        <w:tc>
          <w:tcPr>
            <w:tcW w:w="234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2.57</w:t>
            </w:r>
          </w:p>
        </w:tc>
      </w:tr>
      <w:tr>
        <w:trPr>
          <w:trHeight w:val="20"/>
        </w:trPr>
        <w:tc>
          <w:tcPr>
            <w:tcW w:w="35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735"/>
        </w:trPr>
        <w:tc>
          <w:tcPr>
            <w:tcW w:w="3520" w:type="dxa"/>
            <w:vAlign w:val="bottom"/>
          </w:tcPr>
          <w:p>
            <w:pPr>
              <w:spacing w:after="0"/>
              <w:rPr>
                <w:sz w:val="24"/>
                <w:szCs w:val="24"/>
                <w:color w:val="auto"/>
              </w:rPr>
            </w:pPr>
          </w:p>
        </w:tc>
        <w:tc>
          <w:tcPr>
            <w:tcW w:w="3640" w:type="dxa"/>
            <w:vAlign w:val="bottom"/>
            <w:gridSpan w:val="2"/>
          </w:tcPr>
          <w:p>
            <w:pPr>
              <w:jc w:val="right"/>
              <w:ind w:right="1249"/>
              <w:spacing w:after="0"/>
              <w:rPr>
                <w:sz w:val="20"/>
                <w:szCs w:val="20"/>
                <w:color w:val="auto"/>
              </w:rPr>
            </w:pPr>
            <w:r>
              <w:rPr>
                <w:rFonts w:ascii="Times New Roman" w:cs="Times New Roman" w:eastAsia="Times New Roman" w:hAnsi="Times New Roman"/>
                <w:sz w:val="14"/>
                <w:szCs w:val="14"/>
                <w:color w:val="auto"/>
              </w:rPr>
              <w:t>F-33</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97"/>
        </w:trPr>
        <w:tc>
          <w:tcPr>
            <w:tcW w:w="352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color w:val="auto"/>
        </w:rPr>
        <w:t>Stock Appreciation Rights and Stock Options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uses the Black-Scholes option pricing methodology to calculate the grant date fair market value of SARs. The following table lists the assumptions LivaNova utilized as inputs to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Black-Scholes model: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4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Dividend yield </w:t>
            </w:r>
            <w:r>
              <w:rPr>
                <w:rFonts w:ascii="Times New Roman" w:cs="Times New Roman" w:eastAsia="Times New Roman" w:hAnsi="Times New Roman"/>
                <w:sz w:val="18"/>
                <w:szCs w:val="18"/>
                <w:color w:val="auto"/>
                <w:vertAlign w:val="superscript"/>
              </w:rPr>
              <w:t>(1)</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0"/>
        </w:trPr>
        <w:tc>
          <w:tcPr>
            <w:tcW w:w="64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Risk-free interest rate </w:t>
            </w:r>
            <w:r>
              <w:rPr>
                <w:rFonts w:ascii="Times New Roman" w:cs="Times New Roman" w:eastAsia="Times New Roman" w:hAnsi="Times New Roman"/>
                <w:sz w:val="18"/>
                <w:szCs w:val="18"/>
                <w:color w:val="auto"/>
                <w:vertAlign w:val="superscript"/>
              </w:rPr>
              <w:t>(2)</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3.4%</w:t>
            </w: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64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Expected option term - in years </w:t>
            </w:r>
            <w:r>
              <w:rPr>
                <w:rFonts w:ascii="Times New Roman" w:cs="Times New Roman" w:eastAsia="Times New Roman" w:hAnsi="Times New Roman"/>
                <w:sz w:val="18"/>
                <w:szCs w:val="18"/>
                <w:color w:val="auto"/>
                <w:vertAlign w:val="superscript"/>
              </w:rPr>
              <w:t>(3)</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5.3</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Expected volatility at grant date </w:t>
            </w:r>
            <w:r>
              <w:rPr>
                <w:rFonts w:ascii="Times New Roman" w:cs="Times New Roman" w:eastAsia="Times New Roman" w:hAnsi="Times New Roman"/>
                <w:sz w:val="18"/>
                <w:szCs w:val="18"/>
                <w:color w:val="auto"/>
                <w:vertAlign w:val="superscript"/>
              </w:rPr>
              <w:t>(4)</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43.1%</w:t>
            </w:r>
          </w:p>
        </w:tc>
        <w:tc>
          <w:tcPr>
            <w:tcW w:w="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45.1%</w:t>
            </w: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42.2%</w:t>
            </w:r>
          </w:p>
        </w:tc>
      </w:tr>
    </w:tbl>
    <w:p>
      <w:pPr>
        <w:spacing w:after="0" w:line="45" w:lineRule="exact"/>
        <w:rPr>
          <w:sz w:val="20"/>
          <w:szCs w:val="20"/>
          <w:color w:val="auto"/>
        </w:rPr>
      </w:pPr>
    </w:p>
    <w:p>
      <w:pPr>
        <w:ind w:left="500" w:hanging="240"/>
        <w:spacing w:after="0"/>
        <w:tabs>
          <w:tab w:leader="none" w:pos="50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LivaNova has not paid dividends, and no future dividends have been approved.</w:t>
      </w:r>
    </w:p>
    <w:p>
      <w:pPr>
        <w:spacing w:after="0" w:line="7"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LivaNova uses yield rates on U.S. Treasury securities for a period that approximates the expected term of the awards granted to estimate the risk-free interest rate.</w:t>
      </w:r>
    </w:p>
    <w:p>
      <w:pPr>
        <w:spacing w:after="0" w:line="8"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LivaNova estimated the expected term of the awards granted using historic data of actual time elapsed between the date of grant and the exercise or forfeiture of options or SARs for employees.</w:t>
      </w:r>
    </w:p>
    <w:p>
      <w:pPr>
        <w:spacing w:after="0" w:line="8"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LivaNova determines the expected volatility of the awards based on historical volatility.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activity for service-based SARs and stock option awards: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Number of Optioned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Wtd.-Avg. Exercise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Wtd.-Avg. Remaining</w:t>
            </w:r>
          </w:p>
        </w:tc>
        <w:tc>
          <w:tcPr>
            <w:tcW w:w="120" w:type="dxa"/>
            <w:vAlign w:val="bottom"/>
          </w:tcPr>
          <w:p>
            <w:pPr>
              <w:spacing w:after="0"/>
              <w:rPr>
                <w:sz w:val="13"/>
                <w:szCs w:val="13"/>
                <w:color w:val="auto"/>
              </w:rPr>
            </w:pPr>
          </w:p>
        </w:tc>
        <w:tc>
          <w:tcPr>
            <w:tcW w:w="14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38"/>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SARs and Stock Options</w:t>
            </w:r>
          </w:p>
        </w:tc>
        <w:tc>
          <w:tcPr>
            <w:tcW w:w="100" w:type="dxa"/>
            <w:vAlign w:val="bottom"/>
            <w:vMerge w:val="restart"/>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6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b w:val="1"/>
                <w:bCs w:val="1"/>
                <w:color w:val="auto"/>
                <w:w w:val="98"/>
              </w:rPr>
              <w:t>Contractual Term</w:t>
            </w:r>
          </w:p>
        </w:tc>
        <w:tc>
          <w:tcPr>
            <w:tcW w:w="1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9"/>
              <w:spacing w:after="0" w:line="191" w:lineRule="exact"/>
              <w:rPr>
                <w:sz w:val="20"/>
                <w:szCs w:val="20"/>
                <w:color w:val="auto"/>
              </w:rPr>
            </w:pPr>
            <w:r>
              <w:rPr>
                <w:rFonts w:ascii="Times New Roman" w:cs="Times New Roman" w:eastAsia="Times New Roman" w:hAnsi="Times New Roman"/>
                <w:sz w:val="14"/>
                <w:szCs w:val="14"/>
                <w:b w:val="1"/>
                <w:bCs w:val="1"/>
                <w:color w:val="auto"/>
                <w:w w:val="99"/>
              </w:rPr>
              <w:t xml:space="preserve">Value </w:t>
            </w:r>
            <w:r>
              <w:rPr>
                <w:rFonts w:ascii="Times New Roman" w:cs="Times New Roman" w:eastAsia="Times New Roman" w:hAnsi="Times New Roman"/>
                <w:sz w:val="11"/>
                <w:szCs w:val="11"/>
                <w:b w:val="1"/>
                <w:bCs w:val="1"/>
                <w:color w:val="auto"/>
                <w:w w:val="99"/>
              </w:rPr>
              <w:t>(in thousands)</w:t>
            </w:r>
            <w:r>
              <w:rPr>
                <w:rFonts w:ascii="Times New Roman" w:cs="Times New Roman" w:eastAsia="Times New Roman" w:hAnsi="Times New Roman"/>
                <w:sz w:val="14"/>
                <w:szCs w:val="14"/>
                <w:b w:val="1"/>
                <w:bCs w:val="1"/>
                <w:color w:val="auto"/>
                <w:w w:val="99"/>
              </w:rPr>
              <w:t xml:space="preserve"> </w:t>
            </w:r>
            <w:r>
              <w:rPr>
                <w:rFonts w:ascii="Times New Roman" w:cs="Times New Roman" w:eastAsia="Times New Roman" w:hAnsi="Times New Roman"/>
                <w:sz w:val="18"/>
                <w:szCs w:val="18"/>
                <w:color w:val="auto"/>
                <w:w w:val="99"/>
                <w:vertAlign w:val="superscript"/>
              </w:rPr>
              <w:t>(1)</w:t>
            </w: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 as of December 31, 2023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2,954,302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62.40</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729,482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55.77</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47.22</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76.76</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 as of December 31, 2024</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3,045,532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61.70</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6.75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Fully vested and exercisable — end of year</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1,603,643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0" w:type="dxa"/>
            <w:vAlign w:val="bottom"/>
          </w:tcPr>
          <w:p>
            <w:pPr>
              <w:spacing w:after="0"/>
              <w:rPr>
                <w:sz w:val="1"/>
                <w:szCs w:val="1"/>
                <w:color w:val="auto"/>
              </w:rPr>
            </w:pPr>
          </w:p>
        </w:tc>
      </w:tr>
      <w:tr>
        <w:trPr>
          <w:trHeight w:val="24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Fully vested and expected to vest — end of year </w:t>
            </w:r>
            <w:r>
              <w:rPr>
                <w:rFonts w:ascii="Times New Roman" w:cs="Times New Roman" w:eastAsia="Times New Roman" w:hAnsi="Times New Roman"/>
                <w:sz w:val="18"/>
                <w:szCs w:val="18"/>
                <w:color w:val="auto"/>
                <w:vertAlign w:val="superscript"/>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2,967,677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61.92</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6.69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20" w:right="380" w:hanging="260"/>
        <w:spacing w:after="0" w:line="225" w:lineRule="auto"/>
        <w:tabs>
          <w:tab w:leader="none" w:pos="510"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aggregate intrinsic value of SARs and stock options is based on the difference between the fair market value of the underlying stock at December 31, 2024, using the market closing stock price, and the exercise price for awards where the market closing stock price exceeds the exercise price.</w:t>
      </w:r>
    </w:p>
    <w:p>
      <w:pPr>
        <w:spacing w:after="0" w:line="1" w:lineRule="exact"/>
        <w:rPr>
          <w:rFonts w:ascii="Times New Roman" w:cs="Times New Roman" w:eastAsia="Times New Roman" w:hAnsi="Times New Roman"/>
          <w:sz w:val="17"/>
          <w:szCs w:val="17"/>
          <w:color w:val="auto"/>
          <w:vertAlign w:val="superscript"/>
        </w:rPr>
      </w:pPr>
    </w:p>
    <w:p>
      <w:pPr>
        <w:ind w:left="500" w:hanging="240"/>
        <w:spacing w:after="0" w:line="195" w:lineRule="auto"/>
        <w:tabs>
          <w:tab w:leader="none" w:pos="500"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the impact of expected future forfeitures.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grant date fair value of SARs granted during the year (per share)</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w:t>
            </w:r>
          </w:p>
        </w:tc>
      </w:tr>
      <w:tr>
        <w:trPr>
          <w:trHeight w:val="184"/>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Aggregate intrinsic value of SARs and stock options exercised during the year (in thousands)</w:t>
            </w:r>
          </w:p>
        </w:tc>
        <w:tc>
          <w:tcPr>
            <w:tcW w:w="1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Stock Units Awards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activity for service-based RSU awards: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Service-based RSUs</w:t>
            </w:r>
          </w:p>
        </w:tc>
        <w:tc>
          <w:tcPr>
            <w:tcW w:w="3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Wtd.-Avg. Grant Date Fair</w:t>
            </w:r>
          </w:p>
        </w:tc>
        <w:tc>
          <w:tcPr>
            <w:tcW w:w="0" w:type="dxa"/>
            <w:vAlign w:val="bottom"/>
          </w:tcPr>
          <w:p>
            <w:pPr>
              <w:spacing w:after="0"/>
              <w:rPr>
                <w:sz w:val="1"/>
                <w:szCs w:val="1"/>
                <w:color w:val="auto"/>
              </w:rPr>
            </w:pPr>
          </w:p>
        </w:tc>
      </w:tr>
      <w:tr>
        <w:trPr>
          <w:trHeight w:val="186"/>
        </w:trPr>
        <w:tc>
          <w:tcPr>
            <w:tcW w:w="4040" w:type="dxa"/>
            <w:vAlign w:val="bottom"/>
            <w:tcBorders>
              <w:bottom w:val="single" w:sz="8" w:color="auto"/>
            </w:tcBorders>
            <w:vMerge w:val="continue"/>
          </w:tcPr>
          <w:p>
            <w:pPr>
              <w:spacing w:after="0"/>
              <w:rPr>
                <w:sz w:val="16"/>
                <w:szCs w:val="16"/>
                <w:color w:val="auto"/>
              </w:rPr>
            </w:pPr>
          </w:p>
        </w:tc>
        <w:tc>
          <w:tcPr>
            <w:tcW w:w="3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1"/>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shares as of December 31, 2023</w:t>
            </w:r>
          </w:p>
        </w:tc>
        <w:tc>
          <w:tcPr>
            <w:tcW w:w="3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782,537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w:t>
            </w:r>
          </w:p>
        </w:tc>
        <w:tc>
          <w:tcPr>
            <w:tcW w:w="0" w:type="dxa"/>
            <w:vAlign w:val="bottom"/>
          </w:tcPr>
          <w:p>
            <w:pPr>
              <w:spacing w:after="0"/>
              <w:rPr>
                <w:sz w:val="1"/>
                <w:szCs w:val="1"/>
                <w:color w:val="auto"/>
              </w:rPr>
            </w:pPr>
          </w:p>
        </w:tc>
      </w:tr>
      <w:tr>
        <w:trPr>
          <w:trHeight w:val="180"/>
        </w:trPr>
        <w:tc>
          <w:tcPr>
            <w:tcW w:w="4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5480" w:type="dxa"/>
            <w:vAlign w:val="bottom"/>
            <w:gridSpan w:val="3"/>
          </w:tcPr>
          <w:p>
            <w:pPr>
              <w:jc w:val="center"/>
              <w:ind w:left="4829"/>
              <w:spacing w:after="0"/>
              <w:rPr>
                <w:sz w:val="20"/>
                <w:szCs w:val="20"/>
                <w:color w:val="auto"/>
              </w:rPr>
            </w:pPr>
            <w:r>
              <w:rPr>
                <w:rFonts w:ascii="Times New Roman" w:cs="Times New Roman" w:eastAsia="Times New Roman" w:hAnsi="Times New Roman"/>
                <w:sz w:val="14"/>
                <w:szCs w:val="14"/>
                <w:color w:val="auto"/>
              </w:rPr>
              <w:t>423,081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55.06</w:t>
            </w: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5480" w:type="dxa"/>
            <w:vAlign w:val="bottom"/>
            <w:gridSpan w:val="3"/>
            <w:shd w:val="clear" w:color="auto" w:fill="CCEEFF"/>
          </w:tcPr>
          <w:p>
            <w:pPr>
              <w:jc w:val="center"/>
              <w:ind w:left="4809"/>
              <w:spacing w:after="0"/>
              <w:rPr>
                <w:sz w:val="20"/>
                <w:szCs w:val="20"/>
                <w:color w:val="auto"/>
              </w:rPr>
            </w:pPr>
            <w:r>
              <w:rPr>
                <w:rFonts w:ascii="Times New Roman" w:cs="Times New Roman" w:eastAsia="Times New Roman" w:hAnsi="Times New Roman"/>
                <w:sz w:val="14"/>
                <w:szCs w:val="14"/>
                <w:color w:val="auto"/>
              </w:rPr>
              <w:t>(329,587)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54.17</w:t>
            </w:r>
          </w:p>
        </w:tc>
        <w:tc>
          <w:tcPr>
            <w:tcW w:w="0" w:type="dxa"/>
            <w:vAlign w:val="bottom"/>
          </w:tcPr>
          <w:p>
            <w:pPr>
              <w:spacing w:after="0"/>
              <w:rPr>
                <w:sz w:val="1"/>
                <w:szCs w:val="1"/>
                <w:color w:val="auto"/>
              </w:rPr>
            </w:pPr>
          </w:p>
        </w:tc>
      </w:tr>
      <w:tr>
        <w:trPr>
          <w:trHeight w:val="180"/>
        </w:trPr>
        <w:tc>
          <w:tcPr>
            <w:tcW w:w="4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5480" w:type="dxa"/>
            <w:vAlign w:val="bottom"/>
            <w:gridSpan w:val="3"/>
          </w:tcPr>
          <w:p>
            <w:pPr>
              <w:jc w:val="center"/>
              <w:ind w:left="4829"/>
              <w:spacing w:after="0"/>
              <w:rPr>
                <w:sz w:val="20"/>
                <w:szCs w:val="20"/>
                <w:color w:val="auto"/>
              </w:rPr>
            </w:pPr>
            <w:r>
              <w:rPr>
                <w:rFonts w:ascii="Times New Roman" w:cs="Times New Roman" w:eastAsia="Times New Roman" w:hAnsi="Times New Roman"/>
                <w:sz w:val="14"/>
                <w:szCs w:val="14"/>
                <w:color w:val="auto"/>
                <w:w w:val="98"/>
              </w:rPr>
              <w:t>(113,719)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54.46</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shares as of December 31, 2024</w:t>
            </w:r>
          </w:p>
        </w:tc>
        <w:tc>
          <w:tcPr>
            <w:tcW w:w="37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auto"/>
            </w:tcBorders>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762,312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4040" w:type="dxa"/>
            <w:vAlign w:val="bottom"/>
          </w:tcPr>
          <w:p>
            <w:pPr>
              <w:spacing w:after="0"/>
              <w:rPr>
                <w:sz w:val="24"/>
                <w:szCs w:val="24"/>
                <w:color w:val="auto"/>
              </w:rPr>
            </w:pPr>
          </w:p>
        </w:tc>
        <w:tc>
          <w:tcPr>
            <w:tcW w:w="5480" w:type="dxa"/>
            <w:vAlign w:val="bottom"/>
            <w:gridSpan w:val="3"/>
          </w:tcPr>
          <w:p>
            <w:pPr>
              <w:ind w:left="1540"/>
              <w:spacing w:after="0"/>
              <w:rPr>
                <w:sz w:val="20"/>
                <w:szCs w:val="20"/>
                <w:color w:val="auto"/>
              </w:rPr>
            </w:pPr>
            <w:r>
              <w:rPr>
                <w:rFonts w:ascii="Times New Roman" w:cs="Times New Roman" w:eastAsia="Times New Roman" w:hAnsi="Times New Roman"/>
                <w:sz w:val="14"/>
                <w:szCs w:val="14"/>
                <w:color w:val="auto"/>
              </w:rPr>
              <w:t>F-34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04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grant date fair value of service-based RSUs issued during the year (per share)</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0" w:type="dxa"/>
            <w:vAlign w:val="bottom"/>
          </w:tcPr>
          <w:p>
            <w:pPr>
              <w:spacing w:after="0"/>
              <w:rPr>
                <w:sz w:val="1"/>
                <w:szCs w:val="1"/>
                <w:color w:val="auto"/>
              </w:rPr>
            </w:pPr>
          </w:p>
        </w:tc>
      </w:tr>
      <w:tr>
        <w:trPr>
          <w:trHeight w:val="184"/>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Aggregate fair value of RSUs that vested during the year (in thousands)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22,793</w:t>
            </w:r>
          </w:p>
        </w:tc>
        <w:tc>
          <w:tcPr>
            <w:tcW w:w="0" w:type="dxa"/>
            <w:vAlign w:val="bottom"/>
          </w:tcPr>
          <w:p>
            <w:pPr>
              <w:spacing w:after="0"/>
              <w:rPr>
                <w:sz w:val="1"/>
                <w:szCs w:val="1"/>
                <w:color w:val="auto"/>
              </w:rPr>
            </w:pPr>
          </w:p>
        </w:tc>
      </w:tr>
      <w:tr>
        <w:trPr>
          <w:trHeight w:val="325"/>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present the activity for performance-based RSU awards:</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Performance-based RSUs</w:t>
            </w: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Wtd.-Avg. Grant Date Fair</w:t>
            </w:r>
          </w:p>
        </w:tc>
        <w:tc>
          <w:tcPr>
            <w:tcW w:w="0" w:type="dxa"/>
            <w:vAlign w:val="bottom"/>
          </w:tcPr>
          <w:p>
            <w:pPr>
              <w:spacing w:after="0"/>
              <w:rPr>
                <w:sz w:val="1"/>
                <w:szCs w:val="1"/>
                <w:color w:val="auto"/>
              </w:rPr>
            </w:pPr>
          </w:p>
        </w:tc>
      </w:tr>
      <w:tr>
        <w:trPr>
          <w:trHeight w:val="186"/>
        </w:trPr>
        <w:tc>
          <w:tcPr>
            <w:tcW w:w="610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1"/>
        </w:trPr>
        <w:tc>
          <w:tcPr>
            <w:tcW w:w="6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shares as of December 31, 2023</w:t>
            </w:r>
          </w:p>
        </w:tc>
        <w:tc>
          <w:tcPr>
            <w:tcW w:w="1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207,020</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66.84</w:t>
            </w:r>
          </w:p>
        </w:tc>
        <w:tc>
          <w:tcPr>
            <w:tcW w:w="0" w:type="dxa"/>
            <w:vAlign w:val="bottom"/>
          </w:tcPr>
          <w:p>
            <w:pPr>
              <w:spacing w:after="0"/>
              <w:rPr>
                <w:sz w:val="1"/>
                <w:szCs w:val="1"/>
                <w:color w:val="auto"/>
              </w:rPr>
            </w:pP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139,587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64.83</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(79,737)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84.62</w:t>
            </w:r>
          </w:p>
        </w:tc>
        <w:tc>
          <w:tcPr>
            <w:tcW w:w="0" w:type="dxa"/>
            <w:vAlign w:val="bottom"/>
          </w:tcPr>
          <w:p>
            <w:pPr>
              <w:spacing w:after="0"/>
              <w:rPr>
                <w:sz w:val="1"/>
                <w:szCs w:val="1"/>
                <w:color w:val="auto"/>
              </w:rPr>
            </w:pP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(66,508)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Performance adjustments </w:t>
            </w:r>
            <w:r>
              <w:rPr>
                <w:rFonts w:ascii="Times New Roman" w:cs="Times New Roman" w:eastAsia="Times New Roman" w:hAnsi="Times New Roman"/>
                <w:sz w:val="18"/>
                <w:szCs w:val="18"/>
                <w:color w:val="auto"/>
                <w:vertAlign w:val="superscript"/>
              </w:rPr>
              <w:t>(1)</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76.86</w:t>
            </w:r>
          </w:p>
        </w:tc>
        <w:tc>
          <w:tcPr>
            <w:tcW w:w="0" w:type="dxa"/>
            <w:vAlign w:val="bottom"/>
          </w:tcPr>
          <w:p>
            <w:pPr>
              <w:spacing w:after="0"/>
              <w:rPr>
                <w:sz w:val="1"/>
                <w:szCs w:val="1"/>
                <w:color w:val="auto"/>
              </w:rPr>
            </w:pP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shares as of December 31, 2024</w:t>
            </w: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500" w:hanging="240"/>
        <w:spacing w:after="0"/>
        <w:tabs>
          <w:tab w:leader="none" w:pos="50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difference between the target units granted and the actual units awarded based upon the attainment of performance goals for the Company.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grant date fair value of performance-based RSUs granted during the year (per share)</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92.53</w:t>
            </w:r>
          </w:p>
        </w:tc>
      </w:tr>
      <w:tr>
        <w:trPr>
          <w:trHeight w:val="184"/>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Aggregate fair value of performance-based RSUs that vested during the year (in thousands)</w:t>
            </w:r>
          </w:p>
        </w:tc>
        <w:tc>
          <w:tcPr>
            <w:tcW w:w="1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Employee Retirement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Defined Benefit Plans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sponsors several defined benefit pension plans, which include plans in the U.S., Italy, Germany, Japan, and France. The Company maintains a frozen cash balance retirement plan in the U.S. that is a contributory, defined benefit plan designed to provide the benefit in terms of a stated account balance dependent on the employer’s promised interest-crediting rate. In Italy and France, LivaNova maintains a severance pay defined benefit plan that obligates the employer to pay a severance payment in case of resignation, dismissal, or retirement. In other jurisdictions, LivaNova sponsors non-contributory, defined benefit plans designated to provide guaranteed minimum retirement benefits to eligible employees.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Defined Benefit Plans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defined benefit plans expose LivaNova to various demographic and economic risks such as longevity risk, investment risks, currency and interest rate risks, and in some cases inflation risk. Pension fund Trustees are responsible for and have full discretion over the investment strategy of the plan assets. In general, Trustees manage pension fund risks by diversifying the investments of plan assets and in some cases by matching the interest rate risk of liabilities in whole or in part.</w:t>
      </w:r>
    </w:p>
    <w:p>
      <w:pPr>
        <w:spacing w:after="0" w:line="4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Company has an active de-risking strategy in which it consistently looks for opportunities to reduce the risks associated with its defined benefit plans. The plans are governed by Trustees who have a legal obligation to evenly balance the interests of all stakeholders and operate under the local regulatory framework.</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color w:val="auto"/>
        </w:rPr>
        <w:t>The following table presents the change in benefit obligations and funded status of LivaNova’s U.S. pension benefits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 Pension Benefits</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obligations at year-end</w:t>
            </w: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9,790</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projected benefit obligation:</w:t>
            </w: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 at beginning of year</w:t>
            </w: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12,578</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 settlement</w:t>
            </w: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gain</w:t>
            </w: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13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Projected benefit obligation at end of year</w:t>
            </w:r>
          </w:p>
        </w:tc>
        <w:tc>
          <w:tcPr>
            <w:tcW w:w="1360" w:type="dxa"/>
            <w:vAlign w:val="bottom"/>
            <w:tcBorders>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9,222</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9,790</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Change in plan assets:</w:t>
            </w:r>
          </w:p>
        </w:tc>
        <w:tc>
          <w:tcPr>
            <w:tcW w:w="1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beginning of year</w:t>
            </w:r>
          </w:p>
        </w:tc>
        <w:tc>
          <w:tcPr>
            <w:tcW w:w="1360" w:type="dxa"/>
            <w:vAlign w:val="bottom"/>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6,671</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5,516</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8,020</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Employer contributions</w:t>
            </w: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 settlement</w:t>
            </w: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1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6,671</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Funded status at end of year:</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18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w:t>
            </w: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Projected benefit obligations</w:t>
            </w:r>
          </w:p>
        </w:tc>
        <w:tc>
          <w:tcPr>
            <w:tcW w:w="1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9,222</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9,790</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Underfunded status of the plan</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Recognized liability</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80" w:type="dxa"/>
            <w:vAlign w:val="bottom"/>
            <w:vMerge w:val="continue"/>
          </w:tcPr>
          <w:p>
            <w:pPr>
              <w:spacing w:after="0"/>
              <w:rPr>
                <w:sz w:val="12"/>
                <w:szCs w:val="12"/>
                <w:color w:val="auto"/>
              </w:rPr>
            </w:pPr>
          </w:p>
        </w:tc>
        <w:tc>
          <w:tcPr>
            <w:tcW w:w="1360" w:type="dxa"/>
            <w:vAlign w:val="bottom"/>
          </w:tcPr>
          <w:p>
            <w:pPr>
              <w:jc w:val="right"/>
              <w:ind w:right="1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220" w:type="dxa"/>
            <w:vAlign w:val="bottom"/>
          </w:tcPr>
          <w:p>
            <w:pPr>
              <w:jc w:val="right"/>
              <w:ind w:right="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2,551</w:t>
            </w:r>
          </w:p>
        </w:tc>
        <w:tc>
          <w:tcPr>
            <w:tcW w:w="80" w:type="dxa"/>
            <w:vAlign w:val="bottom"/>
          </w:tcPr>
          <w:p>
            <w:pPr>
              <w:spacing w:after="0"/>
              <w:rPr>
                <w:sz w:val="12"/>
                <w:szCs w:val="12"/>
                <w:color w:val="auto"/>
              </w:rPr>
            </w:pPr>
          </w:p>
        </w:tc>
        <w:tc>
          <w:tcPr>
            <w:tcW w:w="480" w:type="dxa"/>
            <w:vAlign w:val="bottom"/>
          </w:tcPr>
          <w:p>
            <w:pPr>
              <w:jc w:val="right"/>
              <w:ind w:right="30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4,274</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recognized on the consolidated balance sheets consist of:</w:t>
            </w: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360" w:type="dxa"/>
            <w:vAlign w:val="bottom"/>
            <w:tcBorders>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liability</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5180" w:type="dxa"/>
            <w:vAlign w:val="bottom"/>
          </w:tcPr>
          <w:p>
            <w:pPr>
              <w:spacing w:after="0"/>
              <w:rPr>
                <w:sz w:val="24"/>
                <w:szCs w:val="24"/>
                <w:color w:val="auto"/>
              </w:rPr>
            </w:pPr>
          </w:p>
        </w:tc>
        <w:tc>
          <w:tcPr>
            <w:tcW w:w="136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F-36</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1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color w:val="auto"/>
        </w:rPr>
        <w:t>The following table presents the change in benefit obligations and funded status of LivaNova’s non-U.S. pension benefits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Non-U.S. Pension Benefits</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obligations at year-end</w:t>
            </w: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8,248</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projected benefit obligation:</w:t>
            </w: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 at beginning of year</w:t>
            </w: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10,817</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(gain)/loss</w:t>
            </w: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 changes and other</w:t>
            </w:r>
          </w:p>
        </w:tc>
        <w:tc>
          <w:tcPr>
            <w:tcW w:w="1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 at end of year</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Change in plan assets:</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18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beginning of year</w:t>
            </w: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Employer contributions</w:t>
            </w:r>
          </w:p>
        </w:tc>
        <w:tc>
          <w:tcPr>
            <w:tcW w:w="13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 changes and other</w:t>
            </w:r>
          </w:p>
        </w:tc>
        <w:tc>
          <w:tcPr>
            <w:tcW w:w="13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1360" w:type="dxa"/>
            <w:vAlign w:val="bottom"/>
            <w:tcBorders>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3,016</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Funded status at end of year:</w:t>
            </w:r>
          </w:p>
        </w:tc>
        <w:tc>
          <w:tcPr>
            <w:tcW w:w="1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360" w:type="dxa"/>
            <w:vAlign w:val="bottom"/>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obligations</w:t>
            </w:r>
          </w:p>
        </w:tc>
        <w:tc>
          <w:tcPr>
            <w:tcW w:w="13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8,532</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Underfunded status of the plans </w:t>
            </w:r>
            <w:r>
              <w:rPr>
                <w:rFonts w:ascii="Times New Roman" w:cs="Times New Roman" w:eastAsia="Times New Roman" w:hAnsi="Times New Roman"/>
                <w:sz w:val="18"/>
                <w:szCs w:val="18"/>
                <w:color w:val="auto"/>
                <w:vertAlign w:val="superscript"/>
              </w:rPr>
              <w:t>(1)</w:t>
            </w:r>
          </w:p>
        </w:tc>
        <w:tc>
          <w:tcPr>
            <w:tcW w:w="1360" w:type="dxa"/>
            <w:vAlign w:val="bottom"/>
            <w:tcBorders>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4,578</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4,970</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liability</w:t>
            </w: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recognized on the consolidated balance sheets consist of:</w:t>
            </w: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6,367</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Recognized liability</w:t>
            </w:r>
          </w:p>
        </w:tc>
        <w:tc>
          <w:tcPr>
            <w:tcW w:w="1360" w:type="dxa"/>
            <w:vAlign w:val="bottom"/>
            <w:tcBorders>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6,367</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500" w:hanging="240"/>
        <w:spacing w:after="0"/>
        <w:tabs>
          <w:tab w:leader="none" w:pos="500"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certain non-U.S. countries, fully funding pension plans is not a common practice. Consequently, certain pension plans have been partially funded.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U.S. and non-U.S. net periodic benefit cost of LivaNova’s defined benefit pension plans by component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 Pension Benefits</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380" w:type="dxa"/>
            <w:vAlign w:val="bottom"/>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center"/>
              <w:ind w:left="1109"/>
              <w:spacing w:after="0"/>
              <w:rPr>
                <w:sz w:val="20"/>
                <w:szCs w:val="20"/>
                <w:color w:val="auto"/>
              </w:rPr>
            </w:pPr>
            <w:r>
              <w:rPr>
                <w:rFonts w:ascii="Times New Roman" w:cs="Times New Roman" w:eastAsia="Times New Roman" w:hAnsi="Times New Roman"/>
                <w:sz w:val="14"/>
                <w:szCs w:val="14"/>
                <w:color w:val="auto"/>
                <w:w w:val="95"/>
              </w:rPr>
              <w:t>254</w:t>
            </w: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center"/>
              <w:ind w:left="1089"/>
              <w:spacing w:after="0"/>
              <w:rPr>
                <w:sz w:val="20"/>
                <w:szCs w:val="20"/>
                <w:color w:val="auto"/>
              </w:rPr>
            </w:pPr>
            <w:r>
              <w:rPr>
                <w:rFonts w:ascii="Times New Roman" w:cs="Times New Roman" w:eastAsia="Times New Roman" w:hAnsi="Times New Roman"/>
                <w:sz w:val="14"/>
                <w:szCs w:val="14"/>
                <w:color w:val="auto"/>
                <w:w w:val="98"/>
              </w:rPr>
              <w:t>(298)</w:t>
            </w: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and curtailment loss</w:t>
            </w:r>
          </w:p>
        </w:tc>
        <w:tc>
          <w:tcPr>
            <w:tcW w:w="13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ind w:left="1109"/>
              <w:spacing w:after="0"/>
              <w:rPr>
                <w:sz w:val="20"/>
                <w:szCs w:val="20"/>
                <w:color w:val="auto"/>
              </w:rPr>
            </w:pPr>
            <w:r>
              <w:rPr>
                <w:rFonts w:ascii="Times New Roman" w:cs="Times New Roman" w:eastAsia="Times New Roman" w:hAnsi="Times New Roman"/>
                <w:sz w:val="14"/>
                <w:szCs w:val="14"/>
                <w:color w:val="auto"/>
                <w:w w:val="95"/>
              </w:rPr>
              <w:t>731</w:t>
            </w: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loss</w:t>
            </w:r>
          </w:p>
        </w:tc>
        <w:tc>
          <w:tcPr>
            <w:tcW w:w="1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left="1109"/>
              <w:spacing w:after="0"/>
              <w:rPr>
                <w:sz w:val="20"/>
                <w:szCs w:val="20"/>
                <w:color w:val="auto"/>
              </w:rPr>
            </w:pPr>
            <w:r>
              <w:rPr>
                <w:rFonts w:ascii="Times New Roman" w:cs="Times New Roman" w:eastAsia="Times New Roman" w:hAnsi="Times New Roman"/>
                <w:sz w:val="14"/>
                <w:szCs w:val="14"/>
                <w:color w:val="auto"/>
                <w:w w:val="95"/>
              </w:rPr>
              <w:t>262</w:t>
            </w:r>
          </w:p>
        </w:tc>
      </w:tr>
      <w:tr>
        <w:trPr>
          <w:trHeight w:val="196"/>
        </w:trPr>
        <w:tc>
          <w:tcPr>
            <w:tcW w:w="51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center"/>
              <w:ind w:left="1109"/>
              <w:spacing w:after="0"/>
              <w:rPr>
                <w:sz w:val="20"/>
                <w:szCs w:val="20"/>
                <w:color w:val="auto"/>
              </w:rPr>
            </w:pPr>
            <w:r>
              <w:rPr>
                <w:rFonts w:ascii="Times New Roman" w:cs="Times New Roman" w:eastAsia="Times New Roman" w:hAnsi="Times New Roman"/>
                <w:sz w:val="14"/>
                <w:szCs w:val="14"/>
                <w:color w:val="auto"/>
                <w:w w:val="95"/>
              </w:rPr>
              <w:t>949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Non-U.S. Pension Benefits</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380" w:type="dxa"/>
            <w:vAlign w:val="bottom"/>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3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(gain) loss</w:t>
            </w:r>
          </w:p>
        </w:tc>
        <w:tc>
          <w:tcPr>
            <w:tcW w:w="1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w:t>
            </w:r>
          </w:p>
        </w:tc>
      </w:tr>
      <w:tr>
        <w:trPr>
          <w:trHeight w:val="196"/>
        </w:trPr>
        <w:tc>
          <w:tcPr>
            <w:tcW w:w="51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715"/>
        </w:trPr>
        <w:tc>
          <w:tcPr>
            <w:tcW w:w="5180" w:type="dxa"/>
            <w:vAlign w:val="bottom"/>
          </w:tcPr>
          <w:p>
            <w:pPr>
              <w:spacing w:after="0"/>
              <w:rPr>
                <w:sz w:val="24"/>
                <w:szCs w:val="24"/>
                <w:color w:val="auto"/>
              </w:rPr>
            </w:pPr>
          </w:p>
        </w:tc>
        <w:tc>
          <w:tcPr>
            <w:tcW w:w="138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F-37</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87"/>
        </w:trPr>
        <w:tc>
          <w:tcPr>
            <w:tcW w:w="518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2" w:name="page93"/>
    <w:bookmarkEnd w:id="92"/>
    <w:p>
      <w:pPr>
        <w:jc w:val="both"/>
        <w:spacing w:after="0" w:line="303" w:lineRule="auto"/>
        <w:rPr>
          <w:sz w:val="20"/>
          <w:szCs w:val="20"/>
          <w:color w:val="auto"/>
        </w:rPr>
      </w:pPr>
      <w:r>
        <w:rPr>
          <w:rFonts w:ascii="Times New Roman" w:cs="Times New Roman" w:eastAsia="Times New Roman" w:hAnsi="Times New Roman"/>
          <w:sz w:val="14"/>
          <w:szCs w:val="14"/>
          <w:color w:val="auto"/>
        </w:rPr>
        <w:t>The following tables present the major actuarial assumptions used in determining the benefit obligations and net periodic benefit costs for LivaNova’s significant U.S. and non-U.S. defined benefit plans: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U.S. Pension Benefits</w:t>
            </w: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3"/>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assumptions used to determine benefit obligation:</w:t>
            </w:r>
          </w:p>
        </w:tc>
        <w:tc>
          <w:tcPr>
            <w:tcW w:w="1380" w:type="dxa"/>
            <w:vAlign w:val="bottom"/>
          </w:tcPr>
          <w:p>
            <w:pPr>
              <w:jc w:val="center"/>
              <w:ind w:left="6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960" w:type="dxa"/>
            <w:vAlign w:val="bottom"/>
            <w:gridSpan w:val="3"/>
          </w:tcPr>
          <w:p>
            <w:pPr>
              <w:jc w:val="center"/>
              <w:ind w:left="76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60"/>
        </w:trPr>
        <w:tc>
          <w:tcPr>
            <w:tcW w:w="6920" w:type="dxa"/>
            <w:vAlign w:val="bottom"/>
            <w:vMerge w:val="continue"/>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Discount rate</w:t>
            </w:r>
          </w:p>
        </w:tc>
        <w:tc>
          <w:tcPr>
            <w:tcW w:w="1380" w:type="dxa"/>
            <w:vAlign w:val="bottom"/>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w w:val="99"/>
              </w:rPr>
              <w:t>5.41%</w:t>
            </w:r>
          </w:p>
        </w:tc>
        <w:tc>
          <w:tcPr>
            <w:tcW w:w="2960" w:type="dxa"/>
            <w:vAlign w:val="bottom"/>
            <w:gridSpan w:val="3"/>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99"/>
              </w:rPr>
              <w:t>4.93%</w:t>
            </w:r>
          </w:p>
        </w:tc>
        <w:tc>
          <w:tcPr>
            <w:tcW w:w="0" w:type="dxa"/>
            <w:vAlign w:val="bottom"/>
          </w:tcPr>
          <w:p>
            <w:pPr>
              <w:spacing w:after="0"/>
              <w:rPr>
                <w:sz w:val="1"/>
                <w:szCs w:val="1"/>
                <w:color w:val="auto"/>
              </w:rPr>
            </w:pPr>
          </w:p>
        </w:tc>
      </w:tr>
      <w:tr>
        <w:trPr>
          <w:trHeight w:val="180"/>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assumptions used to determine net periodic benefit cost:</w:t>
            </w:r>
          </w:p>
        </w:tc>
        <w:tc>
          <w:tcPr>
            <w:tcW w:w="1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Discount rate</w:t>
            </w:r>
          </w:p>
        </w:tc>
        <w:tc>
          <w:tcPr>
            <w:tcW w:w="1380" w:type="dxa"/>
            <w:vAlign w:val="bottom"/>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w w:val="99"/>
              </w:rPr>
              <w:t>4.93%</w:t>
            </w:r>
          </w:p>
        </w:tc>
        <w:tc>
          <w:tcPr>
            <w:tcW w:w="2960" w:type="dxa"/>
            <w:vAlign w:val="bottom"/>
            <w:gridSpan w:val="3"/>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99"/>
              </w:rPr>
              <w:t>5.10%</w:t>
            </w:r>
          </w:p>
        </w:tc>
        <w:tc>
          <w:tcPr>
            <w:tcW w:w="0" w:type="dxa"/>
            <w:vAlign w:val="bottom"/>
          </w:tcPr>
          <w:p>
            <w:pPr>
              <w:spacing w:after="0"/>
              <w:rPr>
                <w:sz w:val="1"/>
                <w:szCs w:val="1"/>
                <w:color w:val="auto"/>
              </w:rPr>
            </w:pPr>
          </w:p>
        </w:tc>
      </w:tr>
      <w:tr>
        <w:trPr>
          <w:trHeight w:val="184"/>
        </w:trPr>
        <w:tc>
          <w:tcPr>
            <w:tcW w:w="6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380" w:type="dxa"/>
            <w:vAlign w:val="bottom"/>
          </w:tcPr>
          <w:p>
            <w:pPr>
              <w:jc w:val="center"/>
              <w:ind w:left="669"/>
              <w:spacing w:after="0"/>
              <w:rPr>
                <w:sz w:val="20"/>
                <w:szCs w:val="20"/>
                <w:color w:val="auto"/>
              </w:rPr>
            </w:pPr>
            <w:r>
              <w:rPr>
                <w:rFonts w:ascii="Times New Roman" w:cs="Times New Roman" w:eastAsia="Times New Roman" w:hAnsi="Times New Roman"/>
                <w:sz w:val="14"/>
                <w:szCs w:val="14"/>
                <w:color w:val="auto"/>
                <w:w w:val="99"/>
              </w:rPr>
              <w:t>5.00%</w:t>
            </w:r>
          </w:p>
        </w:tc>
        <w:tc>
          <w:tcPr>
            <w:tcW w:w="2960" w:type="dxa"/>
            <w:vAlign w:val="bottom"/>
            <w:gridSpan w:val="3"/>
          </w:tcPr>
          <w:p>
            <w:pPr>
              <w:jc w:val="center"/>
              <w:ind w:left="769"/>
              <w:spacing w:after="0"/>
              <w:rPr>
                <w:sz w:val="20"/>
                <w:szCs w:val="20"/>
                <w:color w:val="auto"/>
              </w:rPr>
            </w:pPr>
            <w:r>
              <w:rPr>
                <w:rFonts w:ascii="Times New Roman" w:cs="Times New Roman" w:eastAsia="Times New Roman" w:hAnsi="Times New Roman"/>
                <w:sz w:val="14"/>
                <w:szCs w:val="14"/>
                <w:color w:val="auto"/>
                <w:w w:val="99"/>
              </w:rPr>
              <w:t>5.00%</w:t>
            </w:r>
          </w:p>
        </w:tc>
        <w:tc>
          <w:tcPr>
            <w:tcW w:w="0" w:type="dxa"/>
            <w:vAlign w:val="bottom"/>
          </w:tcPr>
          <w:p>
            <w:pPr>
              <w:spacing w:after="0"/>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Non-U.S. Pension Benefits</w:t>
            </w: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assumptions used to determine benefit obligation:</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9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Discount rate</w:t>
            </w:r>
          </w:p>
        </w:tc>
        <w:tc>
          <w:tcPr>
            <w:tcW w:w="8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1.01%</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0.96%</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80"/>
        </w:trPr>
        <w:tc>
          <w:tcPr>
            <w:tcW w:w="6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8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2.50%</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5"/>
                <w:szCs w:val="15"/>
                <w:color w:val="auto"/>
              </w:rPr>
            </w:pP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2.50%</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assumptions used to determine net periodic benefit cost:</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Discount rate</w:t>
            </w:r>
          </w:p>
        </w:tc>
        <w:tc>
          <w:tcPr>
            <w:tcW w:w="8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1.01%</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5"/>
                <w:szCs w:val="15"/>
                <w:color w:val="auto"/>
              </w:rPr>
            </w:pP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0.96%</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8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3.00%</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3.38%</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To determine the discount rate for LivaNova’s U.S. benefit plan, the Company used the FTSE Above Median Pension Discount Curve. For the discount rate used for non-U.S. benefit plans, LivaNova considers local market expectations of long-term returns, primarily utilizing the iBoxx Corporate Index Bond rating AA, duration higher than 10 years. The resulting discount rates are consistent with the duration of plan liabilities.</w:t>
      </w:r>
    </w:p>
    <w:p>
      <w:pPr>
        <w:spacing w:after="0" w:line="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expected long-term rate of return on plan assets assumption for LivaNova’s U.S. defined benefit plan was derived from a study conducted by the Company’s investment managers. The study includes a review of the anticipated future long-term performance of individual asset classes and considers the appropriate asset allocation strategy, given the anticipated funding requirements of the plan, to determine the average rate of earnings expected on the funds invested.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Retirement Benefit Plan Investment Strategy</w:t>
      </w:r>
    </w:p>
    <w:p>
      <w:pPr>
        <w:spacing w:after="0" w:line="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 the U.S., LivaNova has an account that holds the defined benefit frozen balance pension plan assets. The Plan Committee sets investment guidelines for the U.S. pension plan. Plan assets in the U.S. are invested in accordance with sound investment practices that emphasize long-term fundamentals. The investment objective for the plan assets in the U.S. is to achieve a positive rate of return that would be expected to close the current funding deficit and enable LivaNova to terminate the frozen pension plan at a reasonable cost. The Plan Committee also oversees the investment allocation process, selects the investment managers, and monitors asset performance. The plan investments consist of a diversified portfolio of fixed income and equity index funds. Securities are also diversified in terms of investment location (domestic and international), tenor (short- and long-term securities), investment objective (growth and value), and size of market.</w:t>
      </w:r>
    </w:p>
    <w:p>
      <w:pPr>
        <w:spacing w:after="0" w:line="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Outside the U.S., pension plan assets are typically managed by decentralized fiduciary committees. There is a significant variation in asset allocation policy from country to country. Local regulations, local funding rules, and local financial and tax considerations influence the funding and investment allocation process in each country.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LivaNova’s U.S. and Non-U.S. pension plan target allocations by asset category: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40" w:type="dxa"/>
            <w:vAlign w:val="bottom"/>
            <w:gridSpan w:val="4"/>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U.S. Pension Benefits</w:t>
            </w:r>
          </w:p>
        </w:tc>
        <w:tc>
          <w:tcPr>
            <w:tcW w:w="1260" w:type="dxa"/>
            <w:vAlign w:val="bottom"/>
          </w:tcPr>
          <w:p>
            <w:pPr>
              <w:spacing w:after="0"/>
              <w:rPr>
                <w:sz w:val="16"/>
                <w:szCs w:val="16"/>
                <w:color w:val="auto"/>
              </w:rPr>
            </w:pPr>
          </w:p>
        </w:tc>
        <w:tc>
          <w:tcPr>
            <w:tcW w:w="3020" w:type="dxa"/>
            <w:vAlign w:val="bottom"/>
            <w:gridSpan w:val="3"/>
          </w:tcPr>
          <w:p>
            <w:pPr>
              <w:jc w:val="center"/>
              <w:ind w:right="1189"/>
              <w:spacing w:after="0"/>
              <w:rPr>
                <w:sz w:val="20"/>
                <w:szCs w:val="20"/>
                <w:color w:val="auto"/>
              </w:rPr>
            </w:pPr>
            <w:r>
              <w:rPr>
                <w:rFonts w:ascii="Times New Roman" w:cs="Times New Roman" w:eastAsia="Times New Roman" w:hAnsi="Times New Roman"/>
                <w:sz w:val="14"/>
                <w:szCs w:val="14"/>
                <w:b w:val="1"/>
                <w:bCs w:val="1"/>
                <w:color w:val="auto"/>
                <w:w w:val="99"/>
              </w:rPr>
              <w:t>Non-U.S. Pension Benefits</w:t>
            </w:r>
          </w:p>
        </w:tc>
      </w:tr>
      <w:tr>
        <w:trPr>
          <w:trHeight w:val="171"/>
        </w:trPr>
        <w:tc>
          <w:tcPr>
            <w:tcW w:w="2620" w:type="dxa"/>
            <w:vAlign w:val="bottom"/>
          </w:tcPr>
          <w:p>
            <w:pPr>
              <w:spacing w:after="0"/>
              <w:rPr>
                <w:sz w:val="14"/>
                <w:szCs w:val="14"/>
                <w:color w:val="auto"/>
              </w:rPr>
            </w:pPr>
          </w:p>
        </w:tc>
        <w:tc>
          <w:tcPr>
            <w:tcW w:w="1340" w:type="dxa"/>
            <w:vAlign w:val="bottom"/>
            <w:tcBorders>
              <w:top w:val="single" w:sz="8" w:color="auto"/>
              <w:bottom w:val="single" w:sz="8" w:color="auto"/>
            </w:tcBorders>
          </w:tcPr>
          <w:p>
            <w:pPr>
              <w:spacing w:after="0"/>
              <w:rPr>
                <w:sz w:val="14"/>
                <w:szCs w:val="14"/>
                <w:color w:val="auto"/>
              </w:rPr>
            </w:pPr>
          </w:p>
        </w:tc>
        <w:tc>
          <w:tcPr>
            <w:tcW w:w="2940" w:type="dxa"/>
            <w:vAlign w:val="bottom"/>
            <w:tcBorders>
              <w:top w:val="single" w:sz="8" w:color="auto"/>
              <w:bottom w:val="single" w:sz="8" w:color="auto"/>
            </w:tcBorders>
            <w:gridSpan w:val="3"/>
          </w:tcPr>
          <w:p>
            <w:pPr>
              <w:jc w:val="center"/>
              <w:ind w:right="12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spacing w:after="0"/>
              <w:rPr>
                <w:sz w:val="14"/>
                <w:szCs w:val="14"/>
                <w:color w:val="auto"/>
              </w:rPr>
            </w:pPr>
          </w:p>
        </w:tc>
        <w:tc>
          <w:tcPr>
            <w:tcW w:w="3020" w:type="dxa"/>
            <w:vAlign w:val="bottom"/>
            <w:tcBorders>
              <w:top w:val="single" w:sz="8" w:color="auto"/>
              <w:bottom w:val="single" w:sz="8" w:color="auto"/>
            </w:tcBorders>
            <w:gridSpan w:val="3"/>
          </w:tcPr>
          <w:p>
            <w:pPr>
              <w:jc w:val="center"/>
              <w:ind w:right="118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1"/>
        </w:trPr>
        <w:tc>
          <w:tcPr>
            <w:tcW w:w="2620" w:type="dxa"/>
            <w:vAlign w:val="bottom"/>
          </w:tcPr>
          <w:p>
            <w:pPr>
              <w:spacing w:after="0"/>
              <w:rPr>
                <w:sz w:val="14"/>
                <w:szCs w:val="14"/>
                <w:color w:val="auto"/>
              </w:rPr>
            </w:pPr>
          </w:p>
        </w:tc>
        <w:tc>
          <w:tcPr>
            <w:tcW w:w="1340" w:type="dxa"/>
            <w:vAlign w:val="bottom"/>
          </w:tcPr>
          <w:p>
            <w:pPr>
              <w:jc w:val="center"/>
              <w:ind w:left="6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940" w:type="dxa"/>
            <w:vAlign w:val="bottom"/>
            <w:gridSpan w:val="3"/>
          </w:tcPr>
          <w:p>
            <w:pPr>
              <w:jc w:val="center"/>
              <w:ind w:left="7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260" w:type="dxa"/>
            <w:vAlign w:val="bottom"/>
          </w:tcPr>
          <w:p>
            <w:pPr>
              <w:jc w:val="center"/>
              <w:ind w:left="7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20" w:type="dxa"/>
            <w:vAlign w:val="bottom"/>
            <w:gridSpan w:val="3"/>
          </w:tcPr>
          <w:p>
            <w:pPr>
              <w:jc w:val="center"/>
              <w:ind w:left="869"/>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7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340" w:type="dxa"/>
            <w:vAlign w:val="bottom"/>
            <w:tcBorders>
              <w:top w:val="single" w:sz="8" w:color="auto"/>
            </w:tcBorders>
            <w:shd w:val="clear" w:color="auto" w:fill="CCEEFF"/>
          </w:tcPr>
          <w:p>
            <w:pPr>
              <w:jc w:val="center"/>
              <w:ind w:left="689"/>
              <w:spacing w:after="0"/>
              <w:rPr>
                <w:sz w:val="20"/>
                <w:szCs w:val="20"/>
                <w:color w:val="auto"/>
              </w:rPr>
            </w:pPr>
            <w:r>
              <w:rPr>
                <w:rFonts w:ascii="Times New Roman" w:cs="Times New Roman" w:eastAsia="Times New Roman" w:hAnsi="Times New Roman"/>
                <w:sz w:val="14"/>
                <w:szCs w:val="14"/>
                <w:color w:val="auto"/>
              </w:rPr>
              <w:t>29%</w:t>
            </w: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96"/>
              </w:rPr>
              <w:t>1%</w:t>
            </w: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w:t>
            </w:r>
          </w:p>
        </w:tc>
      </w:tr>
      <w:tr>
        <w:trPr>
          <w:trHeight w:val="18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1340" w:type="dxa"/>
            <w:vAlign w:val="bottom"/>
          </w:tcPr>
          <w:p>
            <w:pPr>
              <w:jc w:val="center"/>
              <w:ind w:left="689"/>
              <w:spacing w:after="0"/>
              <w:rPr>
                <w:sz w:val="20"/>
                <w:szCs w:val="20"/>
                <w:color w:val="auto"/>
              </w:rPr>
            </w:pPr>
            <w:r>
              <w:rPr>
                <w:rFonts w:ascii="Times New Roman" w:cs="Times New Roman" w:eastAsia="Times New Roman" w:hAnsi="Times New Roman"/>
                <w:sz w:val="14"/>
                <w:szCs w:val="14"/>
                <w:color w:val="auto"/>
              </w:rPr>
              <w:t>70%</w:t>
            </w:r>
          </w:p>
        </w:tc>
        <w:tc>
          <w:tcPr>
            <w:tcW w:w="2940" w:type="dxa"/>
            <w:vAlign w:val="bottom"/>
            <w:gridSpan w:val="3"/>
          </w:tcPr>
          <w:p>
            <w:pPr>
              <w:jc w:val="center"/>
              <w:ind w:left="769"/>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5"/>
                <w:szCs w:val="15"/>
                <w:color w:val="auto"/>
              </w:rPr>
            </w:pPr>
          </w:p>
        </w:tc>
        <w:tc>
          <w:tcPr>
            <w:tcW w:w="126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81%</w:t>
            </w:r>
          </w:p>
        </w:tc>
        <w:tc>
          <w:tcPr>
            <w:tcW w:w="3020" w:type="dxa"/>
            <w:vAlign w:val="bottom"/>
            <w:gridSpan w:val="3"/>
          </w:tcPr>
          <w:p>
            <w:pPr>
              <w:jc w:val="center"/>
              <w:ind w:left="849"/>
              <w:spacing w:after="0"/>
              <w:rPr>
                <w:sz w:val="20"/>
                <w:szCs w:val="20"/>
                <w:color w:val="auto"/>
              </w:rPr>
            </w:pPr>
            <w:r>
              <w:rPr>
                <w:rFonts w:ascii="Times New Roman" w:cs="Times New Roman" w:eastAsia="Times New Roman" w:hAnsi="Times New Roman"/>
                <w:sz w:val="14"/>
                <w:szCs w:val="14"/>
                <w:color w:val="auto"/>
              </w:rPr>
              <w:t>79%</w:t>
            </w:r>
          </w:p>
        </w:tc>
      </w:tr>
      <w:tr>
        <w:trPr>
          <w:trHeight w:val="18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340" w:type="dxa"/>
            <w:vAlign w:val="bottom"/>
            <w:shd w:val="clear" w:color="auto" w:fill="CCEEFF"/>
          </w:tcPr>
          <w:p>
            <w:pPr>
              <w:jc w:val="center"/>
              <w:ind w:left="689"/>
              <w:spacing w:after="0"/>
              <w:rPr>
                <w:sz w:val="20"/>
                <w:szCs w:val="20"/>
                <w:color w:val="auto"/>
              </w:rPr>
            </w:pPr>
            <w:r>
              <w:rPr>
                <w:rFonts w:ascii="Times New Roman" w:cs="Times New Roman" w:eastAsia="Times New Roman" w:hAnsi="Times New Roman"/>
                <w:sz w:val="14"/>
                <w:szCs w:val="14"/>
                <w:color w:val="auto"/>
                <w:w w:val="96"/>
              </w:rPr>
              <w:t>1%</w:t>
            </w:r>
          </w:p>
        </w:tc>
        <w:tc>
          <w:tcPr>
            <w:tcW w:w="2940" w:type="dxa"/>
            <w:vAlign w:val="bottom"/>
            <w:gridSpan w:val="3"/>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w w:val="96"/>
              </w:rPr>
              <w:t>1%</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rPr>
              <w:t>18%</w:t>
            </w:r>
          </w:p>
        </w:tc>
        <w:tc>
          <w:tcPr>
            <w:tcW w:w="3020" w:type="dxa"/>
            <w:vAlign w:val="bottom"/>
            <w:gridSpan w:val="3"/>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rPr>
              <w:t>20%</w:t>
            </w:r>
          </w:p>
        </w:tc>
      </w:tr>
      <w:tr>
        <w:trPr>
          <w:trHeight w:val="753"/>
        </w:trPr>
        <w:tc>
          <w:tcPr>
            <w:tcW w:w="2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F-38</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97"/>
        </w:trPr>
        <w:tc>
          <w:tcPr>
            <w:tcW w:w="26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i w:val="1"/>
          <w:iCs w:val="1"/>
          <w:color w:val="auto"/>
        </w:rPr>
        <w:t>Retirement Benefit Fair Values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description of the valuation methodologies used for retirement benefit plan assets measured at fair value:</w:t>
      </w:r>
    </w:p>
    <w:p>
      <w:pPr>
        <w:spacing w:after="0" w:line="102"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14"/>
          <w:szCs w:val="14"/>
          <w:i w:val="1"/>
          <w:iCs w:val="1"/>
          <w:color w:val="auto"/>
        </w:rPr>
        <w:t xml:space="preserve">Equity Mutual Funds: </w:t>
      </w:r>
      <w:r>
        <w:rPr>
          <w:rFonts w:ascii="Times New Roman" w:cs="Times New Roman" w:eastAsia="Times New Roman" w:hAnsi="Times New Roman"/>
          <w:sz w:val="14"/>
          <w:szCs w:val="14"/>
          <w:color w:val="auto"/>
        </w:rPr>
        <w:t>Valued based on the year-end net asset values of the investment vehicles. The net asset values of the investment vehicles are based on the fair values of the underlying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of the mutual funds valued at the closing price reported in the active markets in which the individual security is traded. Equity mutual funds have a daily reported net asset value.</w:t>
      </w:r>
    </w:p>
    <w:p>
      <w:pPr>
        <w:spacing w:after="0" w:line="24"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14"/>
          <w:szCs w:val="14"/>
          <w:i w:val="1"/>
          <w:iCs w:val="1"/>
          <w:color w:val="auto"/>
        </w:rPr>
        <w:t xml:space="preserve">Fixed Income Mutual Funds: </w:t>
      </w:r>
      <w:r>
        <w:rPr>
          <w:rFonts w:ascii="Times New Roman" w:cs="Times New Roman" w:eastAsia="Times New Roman" w:hAnsi="Times New Roman"/>
          <w:sz w:val="14"/>
          <w:szCs w:val="14"/>
          <w:color w:val="auto"/>
        </w:rPr>
        <w:t>Valued based on the year-end net asset values of the investment vehicles. The net asset values of the investment vehicles are based on the fair values of the underlying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of the mutual funds valued based on inputs other than quoted prices that are observable.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Money Markets: </w:t>
      </w:r>
      <w:r>
        <w:rPr>
          <w:rFonts w:ascii="Times New Roman" w:cs="Times New Roman" w:eastAsia="Times New Roman" w:hAnsi="Times New Roman"/>
          <w:sz w:val="14"/>
          <w:szCs w:val="14"/>
          <w:color w:val="auto"/>
        </w:rPr>
        <w:t>Valued based on quoted prices in active markets for identical assets.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information by level for the U.S. retirement benefit plan assets that are measured at fair value on a recurring basis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Using Inputs Considered as:</w:t>
            </w:r>
          </w:p>
        </w:tc>
      </w:tr>
      <w:tr>
        <w:trPr>
          <w:trHeight w:val="182"/>
        </w:trPr>
        <w:tc>
          <w:tcPr>
            <w:tcW w:w="39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5"/>
                <w:szCs w:val="15"/>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mutual funds</w:t>
            </w:r>
          </w:p>
        </w:tc>
        <w:tc>
          <w:tcPr>
            <w:tcW w:w="1520" w:type="dxa"/>
            <w:vAlign w:val="bottom"/>
            <w:tcBorders>
              <w:top w:val="single" w:sz="8" w:color="auto"/>
            </w:tcBorders>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2,169</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income mutual funds</w:t>
            </w:r>
          </w:p>
        </w:tc>
        <w:tc>
          <w:tcPr>
            <w:tcW w:w="1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5,333</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 and cash</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980" w:type="dxa"/>
            <w:vAlign w:val="bottom"/>
          </w:tcPr>
          <w:p>
            <w:pPr>
              <w:spacing w:after="0"/>
              <w:rPr>
                <w:sz w:val="14"/>
                <w:szCs w:val="14"/>
                <w:color w:val="auto"/>
              </w:rPr>
            </w:pPr>
          </w:p>
        </w:tc>
        <w:tc>
          <w:tcPr>
            <w:tcW w:w="1520" w:type="dxa"/>
            <w:vAlign w:val="bottom"/>
            <w:tcBorders>
              <w:top w:val="single" w:sz="8" w:color="auto"/>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7,580</w:t>
            </w:r>
          </w:p>
        </w:tc>
        <w:tc>
          <w:tcPr>
            <w:tcW w:w="8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7,502</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9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Using Inputs Considered as:</w:t>
            </w:r>
          </w:p>
        </w:tc>
      </w:tr>
      <w:tr>
        <w:trPr>
          <w:trHeight w:val="182"/>
        </w:trPr>
        <w:tc>
          <w:tcPr>
            <w:tcW w:w="39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5"/>
                <w:szCs w:val="15"/>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mutual funds</w:t>
            </w:r>
          </w:p>
        </w:tc>
        <w:tc>
          <w:tcPr>
            <w:tcW w:w="1520" w:type="dxa"/>
            <w:vAlign w:val="bottom"/>
            <w:tcBorders>
              <w:top w:val="single" w:sz="8" w:color="auto"/>
            </w:tcBorders>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1,882</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income mutual funds</w:t>
            </w:r>
          </w:p>
        </w:tc>
        <w:tc>
          <w:tcPr>
            <w:tcW w:w="1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4,571</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980" w:type="dxa"/>
            <w:vAlign w:val="bottom"/>
          </w:tcPr>
          <w:p>
            <w:pPr>
              <w:spacing w:after="0"/>
              <w:rPr>
                <w:sz w:val="14"/>
                <w:szCs w:val="14"/>
                <w:color w:val="auto"/>
              </w:rPr>
            </w:pPr>
          </w:p>
        </w:tc>
        <w:tc>
          <w:tcPr>
            <w:tcW w:w="1520" w:type="dxa"/>
            <w:vAlign w:val="bottom"/>
            <w:tcBorders>
              <w:top w:val="single" w:sz="8" w:color="auto"/>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6,538</w:t>
            </w:r>
          </w:p>
        </w:tc>
        <w:tc>
          <w:tcPr>
            <w:tcW w:w="8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6,453</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9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information by level for the Non-U.S. retirement benefit plan assets that are measured at fair value on a recurring basis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Using Inputs Considered as:</w:t>
            </w:r>
          </w:p>
        </w:tc>
      </w:tr>
      <w:tr>
        <w:trPr>
          <w:trHeight w:val="182"/>
        </w:trPr>
        <w:tc>
          <w:tcPr>
            <w:tcW w:w="39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5"/>
                <w:szCs w:val="15"/>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mutual funds</w:t>
            </w:r>
          </w:p>
        </w:tc>
        <w:tc>
          <w:tcPr>
            <w:tcW w:w="1520" w:type="dxa"/>
            <w:vAlign w:val="bottom"/>
            <w:tcBorders>
              <w:top w:val="single" w:sz="8" w:color="auto"/>
            </w:tcBorders>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income mutual funds</w:t>
            </w:r>
          </w:p>
        </w:tc>
        <w:tc>
          <w:tcPr>
            <w:tcW w:w="1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1,566</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 and cash</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980" w:type="dxa"/>
            <w:vAlign w:val="bottom"/>
          </w:tcPr>
          <w:p>
            <w:pPr>
              <w:spacing w:after="0"/>
              <w:rPr>
                <w:sz w:val="14"/>
                <w:szCs w:val="14"/>
                <w:color w:val="auto"/>
              </w:rPr>
            </w:pPr>
          </w:p>
        </w:tc>
        <w:tc>
          <w:tcPr>
            <w:tcW w:w="1520" w:type="dxa"/>
            <w:vAlign w:val="bottom"/>
            <w:tcBorders>
              <w:top w:val="single" w:sz="8" w:color="auto"/>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1,922</w:t>
            </w: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9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Using Inputs Considered as:</w:t>
            </w:r>
          </w:p>
        </w:tc>
      </w:tr>
      <w:tr>
        <w:trPr>
          <w:trHeight w:val="182"/>
        </w:trPr>
        <w:tc>
          <w:tcPr>
            <w:tcW w:w="39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5"/>
                <w:szCs w:val="15"/>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mutual funds</w:t>
            </w:r>
          </w:p>
        </w:tc>
        <w:tc>
          <w:tcPr>
            <w:tcW w:w="1520" w:type="dxa"/>
            <w:vAlign w:val="bottom"/>
            <w:tcBorders>
              <w:top w:val="single" w:sz="8" w:color="auto"/>
            </w:tcBorders>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income mutual funds</w:t>
            </w:r>
          </w:p>
        </w:tc>
        <w:tc>
          <w:tcPr>
            <w:tcW w:w="1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1,530</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980" w:type="dxa"/>
            <w:vAlign w:val="bottom"/>
          </w:tcPr>
          <w:p>
            <w:pPr>
              <w:spacing w:after="0"/>
              <w:rPr>
                <w:sz w:val="14"/>
                <w:szCs w:val="14"/>
                <w:color w:val="auto"/>
              </w:rPr>
            </w:pPr>
          </w:p>
        </w:tc>
        <w:tc>
          <w:tcPr>
            <w:tcW w:w="1520" w:type="dxa"/>
            <w:vAlign w:val="bottom"/>
            <w:tcBorders>
              <w:top w:val="single" w:sz="8" w:color="auto"/>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1,931</w:t>
            </w: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9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2. Basis of Presentation, Use of Accounting Estimates, and Significant Accounting Policies” for discussion of the fair value measurement terms of Levels 1, 2, and 3.</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Defined Benefit Retirement Funding</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makes the minimum required contribution to fund the U.S. pension plan as determined by the Moving Ahead for Progress in the 21st Century Act and the Highway and Transportation Funding Act of 2014. The Company contributed $1.5 million, $1.4 million, and $0.6 million to the pension plans (U.S. and non-U.S.) during the years ended December 31, 2024,</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color w:val="auto"/>
        </w:rPr>
        <w:t>2023, and 2022, respectively. LivaNova anticipates the Company will make contributions to the U.S. pension plan of $0.1 million during the year ended December 31, 2025.</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presents benefit payments expected to be paid, including amounts to be paid from LivaNova’s assets, and reflecting expected future service, as of December 31, 2024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Non-U.S. Plans</w:t>
            </w:r>
          </w:p>
        </w:tc>
      </w:tr>
      <w:tr>
        <w:trPr>
          <w:trHeight w:val="17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18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2030 - 2034</w:t>
            </w:r>
          </w:p>
        </w:tc>
        <w:tc>
          <w:tcPr>
            <w:tcW w:w="11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3,839</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Defined Contribution Plans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sponsors defined contribution plans in the U.S., including the Cyberonics Employee Retirement Savings Plan, which qualifies under Section 401(k) of the IRC, covering U.S. employees, and the Cyberonics Non-Qualified Deferred Compensation Plan, covering certain U.S. middle and senior management. In addition, LivaNova sponsors the Belgium Defined Contribution Pension Plan for Cyberonics’ Belgium employees. LivaNova incurred expenses for the Company’s defined contribution plans of $9.6 million, $11.1 million, and $9.0 million for the years ended December 31, 2024, 2023, and 2022,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Income Taxes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(Loss) Before Income Tax and Income Tax Expense (Benefit)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U.S. and non-U.S. components of income (loss) before income tax and LivaNova’s income tax expense (benefit)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0"/>
        </w:trPr>
        <w:tc>
          <w:tcPr>
            <w:tcW w:w="61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UK and Non-U.S.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86,886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60,799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22,570</w:t>
            </w:r>
          </w:p>
        </w:tc>
        <w:tc>
          <w:tcPr>
            <w:tcW w:w="0" w:type="dxa"/>
            <w:vAlign w:val="bottom"/>
          </w:tcPr>
          <w:p>
            <w:pPr>
              <w:spacing w:after="0"/>
              <w:rPr>
                <w:sz w:val="1"/>
                <w:szCs w:val="1"/>
                <w:color w:val="auto"/>
              </w:rPr>
            </w:pPr>
          </w:p>
        </w:tc>
      </w:tr>
      <w:tr>
        <w:trPr>
          <w:trHeight w:val="180"/>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U.S.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(142,025)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(97,712)</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88,310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(81,226)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(75,142)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1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UK and Non-U.S.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13,851</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10,954</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4,782</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w:t>
            </w: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9,642</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UK and Non-U.S.</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(114,428)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6,795</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(114,428)</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(98,876)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Effective Income Tax Rate Reconciliation</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PLC is resident in the UK for tax purposes. LivaNova’s subsidiaries conduct operations and earn income in numerous countries and are subject to the laws of taxing jurisdictions within those countries, and the income tax rates imposed in the tax jurisdictions in which LivaNova’s subsidiaries conduct operations vary. As a result of the changes in the overall level of the Company’s income, the earnings mix in various jurisdictions, and the changes in tax laws, LivaNova’s consolidated effective income tax rate may vary from one reporting period to another.</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is subject to income taxes as well as non-income-based taxes in the U.S., the UK, the EU, and various other jurisdictions. LivaNova continues to monitor the adoption of Pillar Two by the taxing jurisdictions in which it operates. The UK has enacted legislation providing for a minimum effective tax rate of 15% through a multinational top-up tax and a domestic top-up tax for accounting periods beginning on or after December 31, 2023. Since LivaNova does not have significant operations in jurisdictions with tax rates below 15%, the multinational top-up tax and domestic top-up taxes under Pillar Two</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5" w:name="page96"/>
    <w:bookmarkEnd w:id="95"/>
    <w:p>
      <w:pPr>
        <w:spacing w:after="0" w:line="303" w:lineRule="auto"/>
        <w:rPr>
          <w:sz w:val="20"/>
          <w:szCs w:val="20"/>
          <w:color w:val="auto"/>
        </w:rPr>
      </w:pPr>
      <w:r>
        <w:rPr>
          <w:rFonts w:ascii="Times New Roman" w:cs="Times New Roman" w:eastAsia="Times New Roman" w:hAnsi="Times New Roman"/>
          <w:sz w:val="14"/>
          <w:szCs w:val="14"/>
          <w:color w:val="auto"/>
        </w:rPr>
        <w:t>do not have a material impact on the effective rate for 2024. LivaNova will continue to monitor legislative developments and related guidance in the UK and other jurisdictions that may impact LivaNova’s operations.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the statutory income tax rate to LivaNova’s effective income tax rate expressed as a percentage of income (loss) before income tax:</w:t>
            </w:r>
          </w:p>
        </w:tc>
        <w:tc>
          <w:tcPr>
            <w:tcW w:w="1080" w:type="dxa"/>
            <w:vAlign w:val="bottom"/>
          </w:tcPr>
          <w:p>
            <w:pPr>
              <w:spacing w:after="0"/>
              <w:rPr>
                <w:sz w:val="16"/>
                <w:szCs w:val="16"/>
                <w:color w:val="auto"/>
              </w:rPr>
            </w:pPr>
          </w:p>
        </w:tc>
      </w:tr>
      <w:tr>
        <w:trPr>
          <w:trHeight w:val="297"/>
        </w:trPr>
        <w:tc>
          <w:tcPr>
            <w:tcW w:w="7060" w:type="dxa"/>
            <w:vAlign w:val="bottom"/>
            <w:gridSpan w:val="2"/>
          </w:tcPr>
          <w:p>
            <w:pPr>
              <w:ind w:left="6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tax rate at UK Rate</w:t>
            </w:r>
          </w:p>
        </w:tc>
        <w:tc>
          <w:tcPr>
            <w:tcW w:w="1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25.0 %</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r>
      <w:tr>
        <w:trPr>
          <w:trHeight w:val="18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5"/>
                <w:szCs w:val="15"/>
                <w:color w:val="auto"/>
              </w:rPr>
            </w:pPr>
          </w:p>
        </w:tc>
        <w:tc>
          <w:tcPr>
            <w:tcW w:w="248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valuation allowance</w:t>
            </w:r>
          </w:p>
        </w:tc>
        <w:tc>
          <w:tcPr>
            <w:tcW w:w="5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(18.8)</w:t>
            </w:r>
          </w:p>
        </w:tc>
      </w:tr>
      <w:tr>
        <w:trPr>
          <w:trHeight w:val="18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 tax credits</w:t>
            </w:r>
          </w:p>
        </w:tc>
        <w:tc>
          <w:tcPr>
            <w:tcW w:w="5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17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Subsidiary investments and impairments</w:t>
            </w:r>
          </w:p>
        </w:tc>
        <w:tc>
          <w:tcPr>
            <w:tcW w:w="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(27.6)</w:t>
            </w:r>
          </w:p>
        </w:tc>
      </w:tr>
      <w:tr>
        <w:trPr>
          <w:trHeight w:val="18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tax withholding and credits</w:t>
            </w:r>
          </w:p>
        </w:tc>
        <w:tc>
          <w:tcPr>
            <w:tcW w:w="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248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tax rate differential</w:t>
            </w:r>
          </w:p>
        </w:tc>
        <w:tc>
          <w:tcPr>
            <w:tcW w:w="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10.6</w:t>
            </w:r>
          </w:p>
        </w:tc>
      </w:tr>
      <w:tr>
        <w:trPr>
          <w:trHeight w:val="18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state and local tax expense, net of federal benefit</w:t>
            </w:r>
          </w:p>
        </w:tc>
        <w:tc>
          <w:tcPr>
            <w:tcW w:w="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5"/>
                <w:szCs w:val="15"/>
                <w:color w:val="auto"/>
              </w:rPr>
            </w:pPr>
          </w:p>
        </w:tc>
        <w:tc>
          <w:tcPr>
            <w:tcW w:w="1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Reserve for uncertain tax positions</w:t>
            </w:r>
          </w:p>
        </w:tc>
        <w:tc>
          <w:tcPr>
            <w:tcW w:w="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5"/>
                <w:szCs w:val="15"/>
                <w:color w:val="auto"/>
              </w:rPr>
            </w:pPr>
          </w:p>
        </w:tc>
        <w:tc>
          <w:tcPr>
            <w:tcW w:w="248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Disallowable professional fees</w:t>
            </w:r>
          </w:p>
        </w:tc>
        <w:tc>
          <w:tcPr>
            <w:tcW w:w="5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5"/>
                <w:szCs w:val="15"/>
                <w:color w:val="auto"/>
              </w:rPr>
            </w:pPr>
          </w:p>
        </w:tc>
        <w:tc>
          <w:tcPr>
            <w:tcW w:w="1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(0.4)</w:t>
            </w:r>
          </w:p>
        </w:tc>
      </w:tr>
      <w:tr>
        <w:trPr>
          <w:trHeight w:val="18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related items</w:t>
            </w:r>
          </w:p>
        </w:tc>
        <w:tc>
          <w:tcPr>
            <w:tcW w:w="5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Effect of changes in tax rate</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6.2</w:t>
            </w:r>
          </w:p>
        </w:tc>
      </w:tr>
      <w:tr>
        <w:trPr>
          <w:trHeight w:val="18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 erosion anti-abuse tax</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8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(2.9)</w:t>
            </w:r>
          </w:p>
        </w:tc>
      </w:tr>
      <w:tr>
        <w:trPr>
          <w:trHeight w:val="18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(0.5)</w:t>
            </w:r>
          </w:p>
        </w:tc>
      </w:tr>
      <w:tr>
        <w:trPr>
          <w:trHeight w:val="191"/>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28.4 %</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121.7 %</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Income Tax Assets and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significant components of LivaNova’s deferred tax assets and liabilities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78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114,678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130,097</w:t>
            </w:r>
          </w:p>
        </w:tc>
        <w:tc>
          <w:tcPr>
            <w:tcW w:w="0" w:type="dxa"/>
            <w:vAlign w:val="bottom"/>
          </w:tcPr>
          <w:p>
            <w:pPr>
              <w:spacing w:after="0"/>
              <w:rPr>
                <w:sz w:val="1"/>
                <w:szCs w:val="1"/>
                <w:color w:val="auto"/>
              </w:rPr>
            </w:pPr>
          </w:p>
        </w:tc>
      </w:tr>
      <w:tr>
        <w:trPr>
          <w:trHeight w:val="180"/>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 carryforward</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93,072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87,308</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Accruals and reserves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33,911</w:t>
            </w:r>
          </w:p>
        </w:tc>
        <w:tc>
          <w:tcPr>
            <w:tcW w:w="0" w:type="dxa"/>
            <w:vAlign w:val="bottom"/>
          </w:tcPr>
          <w:p>
            <w:pPr>
              <w:spacing w:after="0"/>
              <w:rPr>
                <w:sz w:val="1"/>
                <w:szCs w:val="1"/>
                <w:color w:val="auto"/>
              </w:rPr>
            </w:pPr>
          </w:p>
        </w:tc>
      </w:tr>
      <w:tr>
        <w:trPr>
          <w:trHeight w:val="180"/>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Capitalized/Deferred R&amp;D</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26,744</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credit carryforwards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39,732</w:t>
            </w:r>
          </w:p>
        </w:tc>
        <w:tc>
          <w:tcPr>
            <w:tcW w:w="0" w:type="dxa"/>
            <w:vAlign w:val="bottom"/>
          </w:tcPr>
          <w:p>
            <w:pPr>
              <w:spacing w:after="0"/>
              <w:rPr>
                <w:sz w:val="1"/>
                <w:szCs w:val="1"/>
                <w:color w:val="auto"/>
              </w:rPr>
            </w:pPr>
          </w:p>
        </w:tc>
      </w:tr>
      <w:tr>
        <w:trPr>
          <w:trHeight w:val="180"/>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compensation</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16,565</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13,584</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3,970</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324,792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351,911</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Valuation allowance</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(158,823)</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(182,464)</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deferred tax assets</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165,969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169,447</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equipment, and intangible assets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(58,350)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(61,511)</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deferred tax liabilities:</w:t>
            </w:r>
          </w:p>
        </w:tc>
        <w:tc>
          <w:tcPr>
            <w:tcW w:w="10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(65,029)</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(62,156)</w:t>
            </w: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100,940</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107,291</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786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color w:val="auto"/>
              </w:rPr>
              <w:t>Net deferred tax assets and liabilities, as reported on the consolidated balance sheets as (after valuation allowance and jurisdictional</w:t>
            </w:r>
          </w:p>
        </w:tc>
        <w:tc>
          <w:tcPr>
            <w:tcW w:w="10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netting):</w:t>
            </w:r>
          </w:p>
        </w:tc>
        <w:tc>
          <w:tcPr>
            <w:tcW w:w="10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deferred tax assets</w:t>
            </w: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111,855</w:t>
            </w: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118,858</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(10,915)</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(11,567)</w:t>
            </w: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100,940</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107,291</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5580"/>
              <w:spacing w:after="0"/>
              <w:rPr>
                <w:sz w:val="20"/>
                <w:szCs w:val="20"/>
                <w:color w:val="auto"/>
              </w:rPr>
            </w:pPr>
            <w:r>
              <w:rPr>
                <w:rFonts w:ascii="Times New Roman" w:cs="Times New Roman" w:eastAsia="Times New Roman" w:hAnsi="Times New Roman"/>
                <w:sz w:val="14"/>
                <w:szCs w:val="14"/>
                <w:color w:val="auto"/>
              </w:rPr>
              <w:t>F-41</w:t>
            </w: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78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8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6" w:name="page97"/>
    <w:bookmarkEnd w:id="96"/>
    <w:p>
      <w:pPr>
        <w:jc w:val="both"/>
        <w:spacing w:after="0" w:line="270" w:lineRule="auto"/>
        <w:rPr>
          <w:sz w:val="20"/>
          <w:szCs w:val="20"/>
          <w:color w:val="auto"/>
        </w:rPr>
      </w:pPr>
      <w:r>
        <w:rPr>
          <w:rFonts w:ascii="Times New Roman" w:cs="Times New Roman" w:eastAsia="Times New Roman" w:hAnsi="Times New Roman"/>
          <w:sz w:val="14"/>
          <w:szCs w:val="14"/>
          <w:color w:val="auto"/>
        </w:rPr>
        <w:t>LivaNova reviews the realizability of its deferred tax assets by jurisdictions at each balance sheet date by weighing the positive and negative evidence including cumulative losses and impacts of transactions or other events. As of December 31, 2024 and 2023, LivaNova had valuation allowances against deferred tax assets of $158.8 million and $182.5 million, respectively. These valuation allowances were primarily related to continuing operations and are a result of significant negative evidence in the form of cumulative losses in certain jurisdictions. The decrease in valuation allowance primarily relates to the release of valuation allowances in Italy of $13.0 million for 2024 and in the UK of $110.8 million for 2023, partially offset by continued valuation allowance accruals in the U.S., Brazil and other countries. Any changes to the realizability of the deferred tax assets due to transactions and other events in 2025 will be accounted for during the quarter in which they occur.</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the beginning and ending balances of LivaNova’s deferred tax asset valuation allowances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182,464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264,754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244,978</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38,278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24,896</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Deductions</w:t>
            </w: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(120,568)</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year</w:t>
            </w: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158,823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182,464</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264,754</w:t>
            </w:r>
          </w:p>
        </w:tc>
      </w:tr>
      <w:tr>
        <w:trPr>
          <w:trHeight w:val="20"/>
        </w:trPr>
        <w:tc>
          <w:tcPr>
            <w:tcW w:w="6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NOL and tax credit carryforwards as of December 31, 2024, which can be used to reduce LivaNova’s income tax payable in future years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14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8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Tax Benefit</w:t>
            </w:r>
          </w:p>
        </w:tc>
        <w:tc>
          <w:tcPr>
            <w:tcW w:w="22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11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Amount with</w:t>
            </w:r>
          </w:p>
        </w:tc>
        <w:tc>
          <w:tcPr>
            <w:tcW w:w="80" w:type="dxa"/>
            <w:vAlign w:val="bottom"/>
          </w:tcPr>
          <w:p>
            <w:pPr>
              <w:spacing w:after="0"/>
              <w:rPr>
                <w:sz w:val="13"/>
                <w:szCs w:val="13"/>
                <w:color w:val="auto"/>
              </w:rPr>
            </w:pPr>
          </w:p>
        </w:tc>
        <w:tc>
          <w:tcPr>
            <w:tcW w:w="1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Carryforward Period</w:t>
            </w:r>
          </w:p>
        </w:tc>
        <w:tc>
          <w:tcPr>
            <w:tcW w:w="0" w:type="dxa"/>
            <w:vAlign w:val="bottom"/>
          </w:tcPr>
          <w:p>
            <w:pPr>
              <w:spacing w:after="0"/>
              <w:rPr>
                <w:sz w:val="1"/>
                <w:szCs w:val="1"/>
                <w:color w:val="auto"/>
              </w:rPr>
            </w:pPr>
          </w:p>
        </w:tc>
      </w:tr>
      <w:tr>
        <w:trPr>
          <w:trHeight w:val="191"/>
        </w:trPr>
        <w:tc>
          <w:tcPr>
            <w:tcW w:w="4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with No Expiration</w:t>
            </w:r>
          </w:p>
        </w:tc>
        <w:tc>
          <w:tcPr>
            <w:tcW w:w="140" w:type="dxa"/>
            <w:vAlign w:val="bottom"/>
          </w:tcPr>
          <w:p>
            <w:pPr>
              <w:spacing w:after="0"/>
              <w:rPr>
                <w:sz w:val="16"/>
                <w:szCs w:val="16"/>
                <w:color w:val="auto"/>
              </w:rPr>
            </w:pPr>
          </w:p>
        </w:tc>
        <w:tc>
          <w:tcPr>
            <w:tcW w:w="11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8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UK NOL</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384,514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96,128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96,128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Unlimited</w:t>
            </w: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State NOL</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7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2044</w:t>
            </w: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NOL</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6,208</w:t>
            </w:r>
          </w:p>
        </w:tc>
        <w:tc>
          <w:tcPr>
            <w:tcW w:w="7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2028</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regions NOL</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7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2042</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 NOL</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7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foreign tax credits</w:t>
            </w:r>
          </w:p>
        </w:tc>
        <w:tc>
          <w:tcPr>
            <w:tcW w:w="14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15,850</w:t>
            </w:r>
          </w:p>
        </w:tc>
        <w:tc>
          <w:tcPr>
            <w:tcW w:w="7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State research &amp; development tax credits</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5,396</w:t>
            </w:r>
          </w:p>
        </w:tc>
        <w:tc>
          <w:tcPr>
            <w:tcW w:w="7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2031</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tax credits</w:t>
            </w:r>
          </w:p>
        </w:tc>
        <w:tc>
          <w:tcPr>
            <w:tcW w:w="14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w:t>
            </w:r>
          </w:p>
        </w:tc>
        <w:tc>
          <w:tcPr>
            <w:tcW w:w="7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2039</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2044</w:t>
            </w: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non-U.S. tax credits</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7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535,476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142,479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104,802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37,677</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No provision has been made for income taxes on undistributed earnings of foreign subsidiaries as of December 31, 2024 because it is LivaNova’s intention to indefinitely reinvest undistributed earnings of its foreign subsidiaries. In the event of the distribution of those earnings in the form of dividends, a sale of the subsidiaries, or certain other transactions, LivaNova may be liable for income taxes and withholding taxes. As of December 31, 2024, it was not practicable to determine the exact amount of the deferred tax liability related to those investments.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Uncertain Income Tax Positions</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operates in multiple jurisdictions with complex legal and tax regulatory environments, and the Company’s tax returns are periodically audited or subjected to review by tax authorities. LivaNova monitors tax law changes and the potential impact on its results of operations. Tax authorities may disagree with certain positions LivaNova has taken and assess additional taxes. LivaNova regularly assesses the likely outcomes of the Company’s tax positions in order to determine the appropriateness of its reserves for uncertain tax positions. However, there can be no assurance that LivaNova will accurately predict the outcome of these audits, and the actual outcome of an audit could have a material impact on LivaNova’s consolidated results of income, financial position, or cash flows.</w:t>
      </w: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LivaNova’s total gross unrecognized tax benefit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Balance at beginning of year</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5,406</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for tax positions related to prior years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9,460</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for tax positions related to current year</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positions related to prior years for settlement with tax authorities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foreign currency exchange rates</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positions related to prior years for lapses of statute of limitations</w:t>
            </w:r>
          </w:p>
        </w:tc>
        <w:tc>
          <w:tcPr>
            <w:tcW w:w="1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Balance at end of year</w:t>
            </w:r>
          </w:p>
        </w:tc>
        <w:tc>
          <w:tcPr>
            <w:tcW w:w="1100" w:type="dxa"/>
            <w:vAlign w:val="bottom"/>
            <w:tcBorders>
              <w:top w:val="single" w:sz="8" w:color="auto"/>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80"/>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LivaNova’s total gross unrecognized tax benefit (in thousands):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6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24"/>
                <w:szCs w:val="24"/>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Recorded as liability</w:t>
            </w:r>
          </w:p>
        </w:tc>
        <w:tc>
          <w:tcPr>
            <w:tcW w:w="1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Reduction to deferred tax assets - impacting effective tax rate</w:t>
            </w: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 to deferred tax assets with valuation allowance</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9,362</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w:t>
            </w:r>
          </w:p>
        </w:tc>
      </w:tr>
      <w:tr>
        <w:trPr>
          <w:trHeight w:val="171"/>
        </w:trPr>
        <w:tc>
          <w:tcPr>
            <w:tcW w:w="6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15,221</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5,406</w:t>
            </w:r>
          </w:p>
        </w:tc>
      </w:tr>
      <w:tr>
        <w:trPr>
          <w:trHeight w:val="20"/>
        </w:trPr>
        <w:tc>
          <w:tcPr>
            <w:tcW w:w="6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 currently has tax audits in progress with a number of tax authorities. It is reasonably possible that in the next twelve months the balance of gross unrecognized tax benefit will decrease up to $9.4 million resulting from settlements with tax authorities or the expiration of statutes of limitations.</w:t>
      </w:r>
    </w:p>
    <w:p>
      <w:pPr>
        <w:spacing w:after="0" w:line="5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Accrued interest and penalties totaled $0.1 million, $0.7 million, and $0.3 million as of December 31, 2024, 2023, and 2022, respectively, and were included in other long-term liabilities on LivaNova’s consolidated balance sheets. LivaNova records accrued interest and penalties related to unrecognized tax benefits in interest expense and foreign exchange and other income/(expense), respectively, on LivaNova’s consolidated statements of income (loss).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major jurisdictions where LivaNova is subject to income tax examinations as of December 31, 2024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Earliest Year Open</w:t>
            </w:r>
          </w:p>
        </w:tc>
      </w:tr>
      <w:tr>
        <w:trPr>
          <w:trHeight w:val="171"/>
        </w:trPr>
        <w:tc>
          <w:tcPr>
            <w:tcW w:w="9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Italy</w:t>
            </w:r>
          </w:p>
        </w:tc>
        <w:tc>
          <w:tcPr>
            <w:tcW w:w="1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r>
      <w:tr>
        <w:trPr>
          <w:trHeight w:val="180"/>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r>
      <w:tr>
        <w:trPr>
          <w:trHeight w:val="180"/>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 federal and state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r>
      <w:tr>
        <w:trPr>
          <w:trHeight w:val="180"/>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England and Wales</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r>
      <w:tr>
        <w:trPr>
          <w:trHeight w:val="180"/>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Earnings Per Share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basic and diluted earnings per share: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358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income (loss) per share</w:t>
            </w:r>
          </w:p>
        </w:tc>
        <w:tc>
          <w:tcPr>
            <w:tcW w:w="24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184"/>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income (loss) per share</w:t>
            </w:r>
          </w:p>
        </w:tc>
        <w:tc>
          <w:tcPr>
            <w:tcW w:w="2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749"/>
        </w:trPr>
        <w:tc>
          <w:tcPr>
            <w:tcW w:w="3680" w:type="dxa"/>
            <w:vAlign w:val="bottom"/>
          </w:tcPr>
          <w:p>
            <w:pPr>
              <w:spacing w:after="0"/>
              <w:rPr>
                <w:sz w:val="24"/>
                <w:szCs w:val="24"/>
                <w:color w:val="auto"/>
              </w:rPr>
            </w:pPr>
          </w:p>
        </w:tc>
        <w:tc>
          <w:tcPr>
            <w:tcW w:w="3580" w:type="dxa"/>
            <w:vAlign w:val="bottom"/>
            <w:gridSpan w:val="2"/>
          </w:tcPr>
          <w:p>
            <w:pPr>
              <w:jc w:val="right"/>
              <w:ind w:right="1349"/>
              <w:spacing w:after="0"/>
              <w:rPr>
                <w:sz w:val="20"/>
                <w:szCs w:val="20"/>
                <w:color w:val="auto"/>
              </w:rPr>
            </w:pPr>
            <w:r>
              <w:rPr>
                <w:rFonts w:ascii="Times New Roman" w:cs="Times New Roman" w:eastAsia="Times New Roman" w:hAnsi="Times New Roman"/>
                <w:sz w:val="14"/>
                <w:szCs w:val="14"/>
                <w:color w:val="auto"/>
              </w:rPr>
              <w:t>F-43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97"/>
        </w:trPr>
        <w:tc>
          <w:tcPr>
            <w:tcW w:w="368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color w:val="auto"/>
        </w:rPr>
        <w:t>The following table presents the reconciliations of net income (loss) and weighted-average shares outstanding used in the calculations of basic and diluted earnings per share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Numerator: </w:t>
            </w:r>
            <w:r>
              <w:rPr>
                <w:rFonts w:ascii="Times New Roman" w:cs="Times New Roman" w:eastAsia="Times New Roman" w:hAnsi="Times New Roman"/>
                <w:sz w:val="18"/>
                <w:szCs w:val="18"/>
                <w:b w:val="1"/>
                <w:bCs w:val="1"/>
                <w:color w:val="auto"/>
                <w:vertAlign w:val="superscript"/>
              </w:rPr>
              <w:t>(1)</w:t>
            </w: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1"/>
        </w:trPr>
        <w:tc>
          <w:tcPr>
            <w:tcW w:w="610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 basic and diluted</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63,234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(86,246)</w:t>
            </w:r>
          </w:p>
        </w:tc>
        <w:tc>
          <w:tcPr>
            <w:tcW w:w="0" w:type="dxa"/>
            <w:vAlign w:val="bottom"/>
          </w:tcPr>
          <w:p>
            <w:pPr>
              <w:spacing w:after="0"/>
              <w:rPr>
                <w:sz w:val="1"/>
                <w:szCs w:val="1"/>
                <w:color w:val="auto"/>
              </w:rPr>
            </w:pPr>
          </w:p>
        </w:tc>
      </w:tr>
      <w:tr>
        <w:trPr>
          <w:trHeight w:val="212"/>
        </w:trPr>
        <w:tc>
          <w:tcPr>
            <w:tcW w:w="6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Denominator: </w:t>
            </w:r>
            <w:r>
              <w:rPr>
                <w:rFonts w:ascii="Times New Roman" w:cs="Times New Roman" w:eastAsia="Times New Roman" w:hAnsi="Times New Roman"/>
                <w:sz w:val="18"/>
                <w:szCs w:val="18"/>
                <w:b w:val="1"/>
                <w:bCs w:val="1"/>
                <w:color w:val="auto"/>
                <w:vertAlign w:val="superscript"/>
              </w:rPr>
              <w:t>(1)</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 - basic</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54,240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53,939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53,472</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Add: Dilutive effect of share-based compensation and convertible debt instruments </w:t>
            </w:r>
            <w:r>
              <w:rPr>
                <w:rFonts w:ascii="Times New Roman" w:cs="Times New Roman" w:eastAsia="Times New Roman" w:hAnsi="Times New Roman"/>
                <w:sz w:val="18"/>
                <w:szCs w:val="18"/>
                <w:color w:val="auto"/>
                <w:vertAlign w:val="superscript"/>
              </w:rPr>
              <w:t>(2)</w:t>
            </w: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 - diluted</w:t>
            </w:r>
          </w:p>
        </w:tc>
        <w:tc>
          <w:tcPr>
            <w:tcW w:w="1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54,574</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54,212</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53,472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520" w:right="380" w:hanging="260"/>
        <w:spacing w:after="0" w:line="225" w:lineRule="auto"/>
        <w:tabs>
          <w:tab w:leader="none" w:pos="510"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year ended December 31, 2024, the 2029 Notes were outstanding and potentially dilutive securities, but were excluded from the computation of diluted earnings per share because their effect would have been anti-dilutive.</w:t>
      </w:r>
    </w:p>
    <w:p>
      <w:pPr>
        <w:spacing w:after="0" w:line="1" w:lineRule="exact"/>
        <w:rPr>
          <w:rFonts w:ascii="Times New Roman" w:cs="Times New Roman" w:eastAsia="Times New Roman" w:hAnsi="Times New Roman"/>
          <w:sz w:val="17"/>
          <w:szCs w:val="17"/>
          <w:color w:val="auto"/>
          <w:vertAlign w:val="superscript"/>
        </w:rPr>
      </w:pPr>
    </w:p>
    <w:p>
      <w:pPr>
        <w:ind w:left="520" w:right="380" w:hanging="260"/>
        <w:spacing w:after="0" w:line="221" w:lineRule="auto"/>
        <w:tabs>
          <w:tab w:leader="none" w:pos="510"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Excluded from the computation of diluted earnings per share for the years ended December 31, 2024, 2023, and 2022 were shares for stock options, SARs, and RSUs totaling 2.8 million, 3.0 million, and 3.9 million, respectively, because to include them would have been anti-dilutive under the treasury stock method.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Geographic and Segment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Segment Information</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LivaNova identifies operating segments based on how it manages, evaluates, and internally reports its business activities to allocate resources, develop, and execute its strategy and assess performance. Prior to 2024, LivaNova operated through three segments: Cardiopulmonary, Neuromodulation, and ACS. During the first quarter of 2024, the Company reorganized its operating and reporting structure upon initiating the 2024 Restructuring Plan. This involved transitioning all ACS standalone cannulae and accessories, including ProtekDuo and transseptal (TandemHeart) cannulae, into its Cardiopulmonary segment. Operations for other ACS products, including LifeSPARC and Hemolung systems, were discontinued in 2024. For additional information, refer to “Note</w:t>
      </w:r>
    </w:p>
    <w:p>
      <w:pPr>
        <w:spacing w:after="0" w:line="1" w:lineRule="exact"/>
        <w:rPr>
          <w:sz w:val="20"/>
          <w:szCs w:val="20"/>
          <w:color w:val="auto"/>
        </w:rPr>
      </w:pPr>
    </w:p>
    <w:p>
      <w:pPr>
        <w:jc w:val="both"/>
        <w:ind w:firstLine="5"/>
        <w:spacing w:after="0" w:line="273" w:lineRule="auto"/>
        <w:tabs>
          <w:tab w:leader="none" w:pos="15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This restructuring, along with changes in how the Company’s CODM regularly reviews information, allocates resources, and assesses performance, resulted in modifications to LivaNova’s reportable segments. Specifically, LivaNova’s former ACS segment is now included in “Other,” excluding the ACS standalone cannulae and accessories business, which is now included in the Cardiopulmonary reportable segment. As a result, LivaNova now has two reportable segments: Cardiopulmonary and Neuromodulation. The segment financial information presented herein reflects these changes for all periods presented.</w:t>
      </w:r>
    </w:p>
    <w:p>
      <w:pPr>
        <w:spacing w:after="0" w:line="4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Cardiopulmonary segment is engaged in the design, development, manufacture, marketing, and sale of cardiopulmonary products, including HLMs, oxygenators, autotransfusion systems, perfusion tubing systems, cannulae, and other related accessories.</w:t>
      </w:r>
    </w:p>
    <w:p>
      <w:pPr>
        <w:spacing w:after="0" w:line="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Neuromodulation segment is engaged in the design, development, manufacture, marketing, and sale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OSA. LivaNova’s Neuromodulation segment also includes costs associated with the Company’s former heart failure program, which the Company wound down during 2023.</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color w:val="auto"/>
        </w:rPr>
        <w:t>LivaNova operates under three geographic regions: U.S., Europe, and Rest of World. The following table presents net revenue by operating segment and geographic region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0"/>
        </w:trPr>
        <w:tc>
          <w:tcPr>
            <w:tcW w:w="61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242,463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202,358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171,632</w:t>
            </w:r>
          </w:p>
        </w:tc>
        <w:tc>
          <w:tcPr>
            <w:tcW w:w="0" w:type="dxa"/>
            <w:vAlign w:val="bottom"/>
          </w:tcPr>
          <w:p>
            <w:pPr>
              <w:spacing w:after="0"/>
              <w:rPr>
                <w:sz w:val="1"/>
                <w:szCs w:val="1"/>
                <w:color w:val="auto"/>
              </w:rPr>
            </w:pPr>
          </w:p>
        </w:tc>
      </w:tr>
      <w:tr>
        <w:trPr>
          <w:trHeight w:val="180"/>
        </w:trPr>
        <w:tc>
          <w:tcPr>
            <w:tcW w:w="610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157,414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128,545</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Rest of World </w:t>
            </w:r>
            <w:r>
              <w:rPr>
                <w:rFonts w:ascii="Times New Roman" w:cs="Times New Roman" w:eastAsia="Times New Roman" w:hAnsi="Times New Roman"/>
                <w:sz w:val="18"/>
                <w:szCs w:val="18"/>
                <w:color w:val="auto"/>
                <w:vertAlign w:val="superscript"/>
              </w:rPr>
              <w:t>(1)</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273,025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244,340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214,021</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683,512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604,112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514,198</w:t>
            </w:r>
          </w:p>
        </w:tc>
        <w:tc>
          <w:tcPr>
            <w:tcW w:w="0" w:type="dxa"/>
            <w:vAlign w:val="bottom"/>
          </w:tcPr>
          <w:p>
            <w:pPr>
              <w:spacing w:after="0"/>
              <w:rPr>
                <w:sz w:val="1"/>
                <w:szCs w:val="1"/>
                <w:color w:val="auto"/>
              </w:rPr>
            </w:pPr>
          </w:p>
        </w:tc>
      </w:tr>
      <w:tr>
        <w:trPr>
          <w:trHeight w:val="16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407,493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374,542</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54,899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50,291</w:t>
            </w:r>
          </w:p>
        </w:tc>
        <w:tc>
          <w:tcPr>
            <w:tcW w:w="0" w:type="dxa"/>
            <w:vAlign w:val="bottom"/>
          </w:tcPr>
          <w:p>
            <w:pPr>
              <w:spacing w:after="0"/>
              <w:rPr>
                <w:sz w:val="1"/>
                <w:szCs w:val="1"/>
                <w:color w:val="auto"/>
              </w:rPr>
            </w:pPr>
          </w:p>
        </w:tc>
      </w:tr>
      <w:tr>
        <w:trPr>
          <w:trHeight w:val="180"/>
        </w:trPr>
        <w:tc>
          <w:tcPr>
            <w:tcW w:w="610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Rest of World </w:t>
            </w:r>
            <w:r>
              <w:rPr>
                <w:rFonts w:ascii="Times New Roman" w:cs="Times New Roman" w:eastAsia="Times New Roman" w:hAnsi="Times New Roman"/>
                <w:sz w:val="18"/>
                <w:szCs w:val="18"/>
                <w:color w:val="auto"/>
                <w:vertAlign w:val="superscript"/>
              </w:rPr>
              <w:t>(1)</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58,302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54,782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52,160</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554,223</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519,710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476,993</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Other Revenue </w:t>
            </w:r>
            <w:r>
              <w:rPr>
                <w:rFonts w:ascii="Times New Roman" w:cs="Times New Roman" w:eastAsia="Times New Roman" w:hAnsi="Times New Roman"/>
                <w:sz w:val="18"/>
                <w:szCs w:val="18"/>
                <w:b w:val="1"/>
                <w:bCs w:val="1"/>
                <w:color w:val="auto"/>
                <w:vertAlign w:val="superscript"/>
              </w:rPr>
              <w:t>(2)</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15,702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30,614</w:t>
            </w:r>
          </w:p>
        </w:tc>
        <w:tc>
          <w:tcPr>
            <w:tcW w:w="0" w:type="dxa"/>
            <w:vAlign w:val="bottom"/>
          </w:tcPr>
          <w:p>
            <w:pPr>
              <w:spacing w:after="0"/>
              <w:rPr>
                <w:sz w:val="1"/>
                <w:szCs w:val="1"/>
                <w:color w:val="auto"/>
              </w:rPr>
            </w:pPr>
          </w:p>
        </w:tc>
      </w:tr>
      <w:tr>
        <w:trPr>
          <w:trHeight w:val="160"/>
        </w:trPr>
        <w:tc>
          <w:tcPr>
            <w:tcW w:w="61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Totals </w:t>
            </w:r>
            <w:r>
              <w:rPr>
                <w:rFonts w:ascii="Times New Roman" w:cs="Times New Roman" w:eastAsia="Times New Roman" w:hAnsi="Times New Roman"/>
                <w:sz w:val="18"/>
                <w:szCs w:val="18"/>
                <w:b w:val="1"/>
                <w:bCs w:val="1"/>
                <w:color w:val="auto"/>
                <w:vertAlign w:val="superscript"/>
              </w:rPr>
              <w:t>(3) (4)</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695,083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635,044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571,558</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220,032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214,792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178,802</w:t>
            </w:r>
          </w:p>
        </w:tc>
        <w:tc>
          <w:tcPr>
            <w:tcW w:w="0" w:type="dxa"/>
            <w:vAlign w:val="bottom"/>
          </w:tcPr>
          <w:p>
            <w:pPr>
              <w:spacing w:after="0"/>
              <w:rPr>
                <w:sz w:val="1"/>
                <w:szCs w:val="1"/>
                <w:color w:val="auto"/>
              </w:rPr>
            </w:pPr>
          </w:p>
        </w:tc>
      </w:tr>
      <w:tr>
        <w:trPr>
          <w:trHeight w:val="180"/>
        </w:trPr>
        <w:tc>
          <w:tcPr>
            <w:tcW w:w="610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Rest of World </w:t>
            </w:r>
            <w:r>
              <w:rPr>
                <w:rFonts w:ascii="Times New Roman" w:cs="Times New Roman" w:eastAsia="Times New Roman" w:hAnsi="Times New Roman"/>
                <w:sz w:val="18"/>
                <w:szCs w:val="18"/>
                <w:color w:val="auto"/>
                <w:vertAlign w:val="superscript"/>
              </w:rPr>
              <w:t>(1)</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338,322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303,709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271,445</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1,253,437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1,153,545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1,021,805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520" w:right="380" w:hanging="260"/>
        <w:spacing w:after="0" w:line="225" w:lineRule="auto"/>
        <w:tabs>
          <w:tab w:leader="none" w:pos="510"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1" w:lineRule="exact"/>
        <w:rPr>
          <w:rFonts w:ascii="Times New Roman" w:cs="Times New Roman" w:eastAsia="Times New Roman" w:hAnsi="Times New Roman"/>
          <w:sz w:val="17"/>
          <w:szCs w:val="17"/>
          <w:color w:val="auto"/>
          <w:vertAlign w:val="superscript"/>
        </w:rPr>
      </w:pPr>
    </w:p>
    <w:p>
      <w:pPr>
        <w:ind w:left="500" w:hanging="240"/>
        <w:spacing w:after="0" w:line="195" w:lineRule="auto"/>
        <w:tabs>
          <w:tab w:leader="none" w:pos="500"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Revenue” includes revenue from the Company’s former ACS reportable segment, as discussed above, as well as rental and site services income not allocated to segments.</w:t>
      </w:r>
    </w:p>
    <w:p>
      <w:pPr>
        <w:spacing w:after="0" w:line="8" w:lineRule="exact"/>
        <w:rPr>
          <w:rFonts w:ascii="Times New Roman" w:cs="Times New Roman" w:eastAsia="Times New Roman" w:hAnsi="Times New Roman"/>
          <w:sz w:val="17"/>
          <w:szCs w:val="17"/>
          <w:color w:val="auto"/>
          <w:vertAlign w:val="superscript"/>
        </w:rPr>
      </w:pPr>
    </w:p>
    <w:p>
      <w:pPr>
        <w:ind w:left="520" w:right="380" w:hanging="260"/>
        <w:spacing w:after="0" w:line="216" w:lineRule="auto"/>
        <w:tabs>
          <w:tab w:leader="none" w:pos="510"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revenue to external customers includes $48.9 million, $41.5 million, and $32.3 million in the UK, LivaNova’s country of domicile, for the years ended December 31, 2024, 2023, and 2022, respectively.</w:t>
      </w:r>
    </w:p>
    <w:p>
      <w:pPr>
        <w:ind w:left="500" w:hanging="240"/>
        <w:spacing w:after="0" w:line="195" w:lineRule="auto"/>
        <w:tabs>
          <w:tab w:leader="none" w:pos="500"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No single customer represented over 10% of the Company’s consolidated net revenue. No country’s net revenue exceeded 10% of the Company’s consolidated revenue except for the U.S.</w:t>
      </w:r>
    </w:p>
    <w:p>
      <w:pPr>
        <w:spacing w:after="0" w:line="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defines segment income as operating income before restructuring expense, amortization of intangible assets, the Saluggia site provision, merger and integration expense, and other income and expense not allocated to segments. Other income and expense not allocated to segments primarily includes corporate expense, rental income, and the results of LivaNova’s former ACS reportable segment, as discussed above. LivaNova’s CODM is the Company’s CEO, who is regularly provided the results comprising segment income to make strategic business decisions, including, but not limited to, evaluation of the Company’s business portfolio, R&amp;D investment decisions, and consideration of the Company’s organizational structure.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segment income to consolidated income (loss) before tax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76,848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17,106</w:t>
            </w:r>
          </w:p>
        </w:tc>
      </w:tr>
      <w:tr>
        <w:trPr>
          <w:trHeight w:val="18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195,309</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153,384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172,775</w:t>
            </w:r>
          </w:p>
        </w:tc>
      </w:tr>
      <w:tr>
        <w:trPr>
          <w:trHeight w:val="171"/>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Segment income</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272,157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179,791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189,881</w:t>
            </w:r>
          </w:p>
        </w:tc>
      </w:tr>
      <w:tr>
        <w:trPr>
          <w:trHeight w:val="18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income/(expense)</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(143,106)</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(248,289)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(266,633)</w:t>
            </w:r>
          </w:p>
        </w:tc>
      </w:tr>
      <w:tr>
        <w:trPr>
          <w:trHeight w:val="171"/>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income (loss)</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129,051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(76,752)</w:t>
            </w:r>
          </w:p>
        </w:tc>
      </w:tr>
      <w:tr>
        <w:trPr>
          <w:trHeight w:val="180"/>
        </w:trPr>
        <w:tc>
          <w:tcPr>
            <w:tcW w:w="61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8"/>
                <w:szCs w:val="18"/>
                <w:color w:val="auto"/>
                <w:vertAlign w:val="superscript"/>
              </w:rPr>
              <w:t>(1)</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(63,070)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(58,853)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(48,250)</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(25,482)</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47,811</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46,125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49,860</w:t>
            </w:r>
          </w:p>
        </w:tc>
      </w:tr>
      <w:tr>
        <w:trPr>
          <w:trHeight w:val="196"/>
        </w:trPr>
        <w:tc>
          <w:tcPr>
            <w:tcW w:w="6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(loss) before tax</w:t>
            </w: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88,310</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(81,226)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(75,142)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right="380" w:hanging="260"/>
        <w:spacing w:after="0" w:line="225" w:lineRule="auto"/>
        <w:tabs>
          <w:tab w:leader="none" w:pos="510" w:val="left"/>
        </w:tabs>
        <w:numPr>
          <w:ilvl w:val="0"/>
          <w:numId w:val="2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Interest expense includes contractual interest expense associated with LivaNova’s short- and long-term financing arrangements and the amortization of debt discount and issuance costs of $21.6 million, $19.1 million, and $21.3 million for the years ended December 31, 2024, 2023, and 2022, respectively.</w:t>
      </w: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872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segment income, including significant expenses, of LivaNova’s reportable segments (in thousands):</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683,512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604,112</w:t>
            </w:r>
          </w:p>
        </w:tc>
        <w:tc>
          <w:tcPr>
            <w:tcW w:w="1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514,198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554,223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476,993</w:t>
            </w:r>
          </w:p>
        </w:tc>
        <w:tc>
          <w:tcPr>
            <w:tcW w:w="0" w:type="dxa"/>
            <w:vAlign w:val="bottom"/>
          </w:tcPr>
          <w:p>
            <w:pPr>
              <w:spacing w:after="0"/>
              <w:rPr>
                <w:sz w:val="1"/>
                <w:szCs w:val="1"/>
                <w:color w:val="auto"/>
              </w:rPr>
            </w:pPr>
          </w:p>
        </w:tc>
      </w:tr>
      <w:tr>
        <w:trPr>
          <w:trHeight w:val="180"/>
        </w:trPr>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316,937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290,929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251,858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50,236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50,213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31,618</w:t>
            </w:r>
          </w:p>
        </w:tc>
        <w:tc>
          <w:tcPr>
            <w:tcW w:w="0" w:type="dxa"/>
            <w:vAlign w:val="bottom"/>
          </w:tcPr>
          <w:p>
            <w:pPr>
              <w:spacing w:after="0"/>
              <w:rPr>
                <w:sz w:val="1"/>
                <w:szCs w:val="1"/>
                <w:color w:val="auto"/>
              </w:rPr>
            </w:pPr>
          </w:p>
        </w:tc>
      </w:tr>
      <w:tr>
        <w:trPr>
          <w:trHeight w:val="18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217,136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168,601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175,273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158,977</w:t>
            </w:r>
          </w:p>
        </w:tc>
        <w:tc>
          <w:tcPr>
            <w:tcW w:w="0" w:type="dxa"/>
            <w:vAlign w:val="bottom"/>
          </w:tcPr>
          <w:p>
            <w:pPr>
              <w:spacing w:after="0"/>
              <w:rPr>
                <w:sz w:val="1"/>
                <w:szCs w:val="1"/>
                <w:color w:val="auto"/>
              </w:rPr>
            </w:pPr>
          </w:p>
        </w:tc>
      </w:tr>
      <w:tr>
        <w:trPr>
          <w:trHeight w:val="18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45,255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121,029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113,623</w:t>
            </w:r>
          </w:p>
        </w:tc>
        <w:tc>
          <w:tcPr>
            <w:tcW w:w="0" w:type="dxa"/>
            <w:vAlign w:val="bottom"/>
          </w:tcPr>
          <w:p>
            <w:pPr>
              <w:spacing w:after="0"/>
              <w:rPr>
                <w:sz w:val="1"/>
                <w:szCs w:val="1"/>
                <w:color w:val="auto"/>
              </w:rPr>
            </w:pPr>
          </w:p>
        </w:tc>
      </w:tr>
      <w:tr>
        <w:trPr>
          <w:trHeight w:val="18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3T litigation provision</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29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153,384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172,775</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presents assets by reportable segment (in thousands):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900,672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961,976</w:t>
            </w:r>
          </w:p>
        </w:tc>
        <w:tc>
          <w:tcPr>
            <w:tcW w:w="0" w:type="dxa"/>
            <w:vAlign w:val="bottom"/>
          </w:tcPr>
          <w:p>
            <w:pPr>
              <w:spacing w:after="0"/>
              <w:rPr>
                <w:sz w:val="1"/>
                <w:szCs w:val="1"/>
                <w:color w:val="auto"/>
              </w:rPr>
            </w:pPr>
          </w:p>
        </w:tc>
      </w:tr>
      <w:tr>
        <w:trPr>
          <w:trHeight w:val="18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640,956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647,391</w:t>
            </w:r>
          </w:p>
        </w:tc>
        <w:tc>
          <w:tcPr>
            <w:tcW w:w="0" w:type="dxa"/>
            <w:vAlign w:val="bottom"/>
          </w:tcPr>
          <w:p>
            <w:pPr>
              <w:spacing w:after="0"/>
              <w:rPr>
                <w:sz w:val="1"/>
                <w:szCs w:val="1"/>
                <w:color w:val="auto"/>
              </w:rPr>
            </w:pPr>
          </w:p>
        </w:tc>
      </w:tr>
      <w:tr>
        <w:trPr>
          <w:trHeight w:val="180"/>
        </w:trPr>
        <w:tc>
          <w:tcPr>
            <w:tcW w:w="34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assets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964,761</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820,196</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2,506,389</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2,429,563</w:t>
            </w:r>
          </w:p>
        </w:tc>
        <w:tc>
          <w:tcPr>
            <w:tcW w:w="0" w:type="dxa"/>
            <w:vAlign w:val="bottom"/>
          </w:tcPr>
          <w:p>
            <w:pPr>
              <w:spacing w:after="0"/>
              <w:rPr>
                <w:sz w:val="1"/>
                <w:szCs w:val="1"/>
                <w:color w:val="auto"/>
              </w:rPr>
            </w:pPr>
          </w:p>
        </w:tc>
      </w:tr>
      <w:tr>
        <w:trPr>
          <w:trHeight w:val="20"/>
        </w:trPr>
        <w:tc>
          <w:tcPr>
            <w:tcW w:w="440" w:type="dxa"/>
            <w:vAlign w:val="bottom"/>
            <w:vMerge w:val="restart"/>
          </w:tcPr>
          <w:p>
            <w:pPr>
              <w:ind w:left="260"/>
              <w:spacing w:after="0"/>
              <w:rPr>
                <w:sz w:val="20"/>
                <w:szCs w:val="20"/>
                <w:color w:val="auto"/>
              </w:rPr>
            </w:pPr>
            <w:r>
              <w:rPr>
                <w:rFonts w:ascii="Times New Roman" w:cs="Times New Roman" w:eastAsia="Times New Roman" w:hAnsi="Times New Roman"/>
                <w:sz w:val="8"/>
                <w:szCs w:val="8"/>
                <w:color w:val="auto"/>
              </w:rPr>
              <w:t>(1)</w:t>
            </w:r>
          </w:p>
        </w:tc>
        <w:tc>
          <w:tcPr>
            <w:tcW w:w="4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auto"/>
              </w:rPr>
              <w:t>“Other assets” primarily include corporate assets not allocated to segments.</w:t>
            </w: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40" w:type="dxa"/>
            <w:vAlign w:val="bottom"/>
            <w:vMerge w:val="continue"/>
          </w:tcPr>
          <w:p>
            <w:pPr>
              <w:spacing w:after="0"/>
              <w:rPr>
                <w:sz w:val="19"/>
                <w:szCs w:val="19"/>
                <w:color w:val="auto"/>
              </w:rPr>
            </w:pPr>
          </w:p>
        </w:tc>
        <w:tc>
          <w:tcPr>
            <w:tcW w:w="430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440" w:type="dxa"/>
            <w:vAlign w:val="bottom"/>
          </w:tcPr>
          <w:p>
            <w:pPr>
              <w:spacing w:after="0"/>
              <w:rPr>
                <w:sz w:val="5"/>
                <w:szCs w:val="5"/>
                <w:color w:val="auto"/>
              </w:rPr>
            </w:pPr>
          </w:p>
        </w:tc>
        <w:tc>
          <w:tcPr>
            <w:tcW w:w="43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4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presents capital expenditures by segment (in thousands):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40" w:type="dxa"/>
            <w:vAlign w:val="bottom"/>
            <w:tcBorders>
              <w:bottom w:val="single" w:sz="8" w:color="CCEEFF"/>
            </w:tcBorders>
          </w:tcPr>
          <w:p>
            <w:pPr>
              <w:spacing w:after="0"/>
              <w:rPr>
                <w:sz w:val="24"/>
                <w:szCs w:val="24"/>
                <w:color w:val="auto"/>
              </w:rPr>
            </w:pPr>
          </w:p>
        </w:tc>
        <w:tc>
          <w:tcPr>
            <w:tcW w:w="29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28,089</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13,828</w:t>
            </w:r>
          </w:p>
        </w:tc>
        <w:tc>
          <w:tcPr>
            <w:tcW w:w="0" w:type="dxa"/>
            <w:vAlign w:val="bottom"/>
          </w:tcPr>
          <w:p>
            <w:pPr>
              <w:spacing w:after="0"/>
              <w:rPr>
                <w:sz w:val="1"/>
                <w:szCs w:val="1"/>
                <w:color w:val="auto"/>
              </w:rPr>
            </w:pPr>
          </w:p>
        </w:tc>
      </w:tr>
      <w:tr>
        <w:trPr>
          <w:trHeight w:val="18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80"/>
        </w:trPr>
        <w:tc>
          <w:tcPr>
            <w:tcW w:w="34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capital expenditures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17,621</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11,539</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12,395</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8"/>
              </w:rPr>
              <w:t>49,954</w:t>
            </w:r>
          </w:p>
        </w:tc>
        <w:tc>
          <w:tcPr>
            <w:tcW w:w="10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35,107</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26,592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500" w:hanging="240"/>
        <w:spacing w:after="0"/>
        <w:tabs>
          <w:tab w:leader="none" w:pos="500"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capital expenditures” primarily includes corporate capital expenditures not allocated to segments and capital expenditures of LivaNova’s former ACS reportable segment.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Geographic Information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presents property, plant, and equipment, net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by geographic region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r>
      <w:tr>
        <w:trPr>
          <w:trHeight w:val="171"/>
        </w:trPr>
        <w:tc>
          <w:tcPr>
            <w:tcW w:w="78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65,170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62,701</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94,394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85,606</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 of World</w:t>
            </w: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10,696</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5,874</w:t>
            </w:r>
          </w:p>
        </w:tc>
      </w:tr>
      <w:tr>
        <w:trPr>
          <w:trHeight w:val="171"/>
        </w:trPr>
        <w:tc>
          <w:tcPr>
            <w:tcW w:w="7860" w:type="dxa"/>
            <w:vAlign w:val="bottom"/>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170,260</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154,181</w:t>
            </w:r>
          </w:p>
        </w:tc>
      </w:tr>
      <w:tr>
        <w:trPr>
          <w:trHeight w:val="20"/>
        </w:trPr>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20" w:right="380" w:hanging="260"/>
        <w:spacing w:after="0" w:line="225" w:lineRule="auto"/>
        <w:tabs>
          <w:tab w:leader="none" w:pos="510" w:val="left"/>
        </w:tabs>
        <w:numPr>
          <w:ilvl w:val="0"/>
          <w:numId w:val="2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No country’s property, plant and equipment, net exceeded 10% of LivaNova’s consolidated property, plant and equipment, net except for the U.S. and Italy. Italian plant, property and equipment, net included within Europe was $73.7 million and $69.9 million as of December 31, 2024 and 2023, respectively.</w:t>
      </w: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color w:val="auto"/>
        </w:rPr>
        <w:t>Note 18. Supplemental Financial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components of inventories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r>
      <w:tr>
        <w:trPr>
          <w:trHeight w:val="171"/>
        </w:trPr>
        <w:tc>
          <w:tcPr>
            <w:tcW w:w="78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71,949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81,878</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Work-in-process</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12,901</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63,295</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53,108</w:t>
            </w:r>
          </w:p>
        </w:tc>
      </w:tr>
      <w:tr>
        <w:trPr>
          <w:trHeight w:val="171"/>
        </w:trPr>
        <w:tc>
          <w:tcPr>
            <w:tcW w:w="7860" w:type="dxa"/>
            <w:vAlign w:val="bottom"/>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147,566</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147,887</w:t>
            </w:r>
          </w:p>
        </w:tc>
      </w:tr>
      <w:tr>
        <w:trPr>
          <w:trHeight w:val="20"/>
        </w:trPr>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and 2023, inventories included adjustments totaling $16.4 million and $24.4 million, respectively, to record balances at lower of cost or net realizable value.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property, plant, and equipment, net (in thousands):</w:t>
            </w: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2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8"/>
              </w:rPr>
              <w:t>Lives in Years</w:t>
            </w:r>
          </w:p>
        </w:tc>
        <w:tc>
          <w:tcPr>
            <w:tcW w:w="0" w:type="dxa"/>
            <w:vAlign w:val="bottom"/>
          </w:tcPr>
          <w:p>
            <w:pPr>
              <w:spacing w:after="0"/>
              <w:rPr>
                <w:sz w:val="1"/>
                <w:szCs w:val="1"/>
                <w:color w:val="auto"/>
              </w:rPr>
            </w:pPr>
          </w:p>
        </w:tc>
      </w:tr>
      <w:tr>
        <w:trPr>
          <w:trHeight w:val="17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12,097</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 and building improvements</w:t>
            </w:r>
          </w:p>
        </w:tc>
        <w:tc>
          <w:tcPr>
            <w:tcW w:w="102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87,741</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84,543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6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w w:val="84"/>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w:t>
            </w: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software, furniture, and fixtures</w:t>
            </w:r>
          </w:p>
        </w:tc>
        <w:tc>
          <w:tcPr>
            <w:tcW w:w="10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242,947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233,337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84"/>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0" w:type="dxa"/>
            <w:vAlign w:val="bottom"/>
          </w:tcPr>
          <w:p>
            <w:pPr>
              <w:spacing w:after="0"/>
              <w:rPr>
                <w:sz w:val="1"/>
                <w:szCs w:val="1"/>
                <w:color w:val="auto"/>
              </w:rPr>
            </w:pPr>
          </w:p>
        </w:tc>
      </w:tr>
      <w:tr>
        <w:trPr>
          <w:trHeight w:val="180"/>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6,208</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6,690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46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w w:val="84"/>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investment in process</w:t>
            </w: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28,020</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gross property, plant, and equipment</w:t>
            </w:r>
          </w:p>
        </w:tc>
        <w:tc>
          <w:tcPr>
            <w:tcW w:w="10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377,013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350,217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(206,753)</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170,260</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154,181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accrued liabilities and other (in thousands):</w:t>
            </w: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2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and professional costs</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17,794</w:t>
            </w:r>
          </w:p>
        </w:tc>
        <w:tc>
          <w:tcPr>
            <w:tcW w:w="0" w:type="dxa"/>
            <w:vAlign w:val="bottom"/>
          </w:tcPr>
          <w:p>
            <w:pPr>
              <w:spacing w:after="0"/>
              <w:rPr>
                <w:sz w:val="1"/>
                <w:szCs w:val="1"/>
                <w:color w:val="auto"/>
              </w:rPr>
            </w:pPr>
          </w:p>
        </w:tc>
      </w:tr>
      <w:tr>
        <w:trPr>
          <w:trHeight w:val="180"/>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Italian MedTech payback measure</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8,223</w:t>
            </w: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10,725</w:t>
            </w:r>
          </w:p>
        </w:tc>
        <w:tc>
          <w:tcPr>
            <w:tcW w:w="0" w:type="dxa"/>
            <w:vAlign w:val="bottom"/>
          </w:tcPr>
          <w:p>
            <w:pPr>
              <w:spacing w:after="0"/>
              <w:rPr>
                <w:sz w:val="1"/>
                <w:szCs w:val="1"/>
                <w:color w:val="auto"/>
              </w:rPr>
            </w:pPr>
          </w:p>
        </w:tc>
      </w:tr>
      <w:tr>
        <w:trPr>
          <w:trHeight w:val="180"/>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payable</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7,840</w:t>
            </w: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Operating lease liabilities </w:t>
            </w:r>
            <w:r>
              <w:rPr>
                <w:rFonts w:ascii="Times New Roman" w:cs="Times New Roman" w:eastAsia="Times New Roman" w:hAnsi="Times New Roman"/>
                <w:sz w:val="18"/>
                <w:szCs w:val="18"/>
                <w:color w:val="auto"/>
                <w:vertAlign w:val="superscript"/>
              </w:rPr>
              <w:t>(1)</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8,362</w:t>
            </w:r>
          </w:p>
        </w:tc>
        <w:tc>
          <w:tcPr>
            <w:tcW w:w="0" w:type="dxa"/>
            <w:vAlign w:val="bottom"/>
          </w:tcPr>
          <w:p>
            <w:pPr>
              <w:spacing w:after="0"/>
              <w:rPr>
                <w:sz w:val="1"/>
                <w:szCs w:val="1"/>
                <w:color w:val="auto"/>
              </w:rPr>
            </w:pPr>
          </w:p>
        </w:tc>
      </w:tr>
      <w:tr>
        <w:trPr>
          <w:trHeight w:val="180"/>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Provisions for agents, returns, and other</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4,464</w:t>
            </w: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0" w:type="dxa"/>
            <w:vAlign w:val="bottom"/>
          </w:tcPr>
          <w:p>
            <w:pPr>
              <w:spacing w:after="0"/>
              <w:rPr>
                <w:sz w:val="1"/>
                <w:szCs w:val="1"/>
                <w:color w:val="auto"/>
              </w:rPr>
            </w:pPr>
          </w:p>
        </w:tc>
      </w:tr>
      <w:tr>
        <w:trPr>
          <w:trHeight w:val="180"/>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Royalty accrual</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4,441</w:t>
            </w: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Current derivative liabilities </w:t>
            </w:r>
            <w:r>
              <w:rPr>
                <w:rFonts w:ascii="Times New Roman" w:cs="Times New Roman" w:eastAsia="Times New Roman" w:hAnsi="Times New Roman"/>
                <w:sz w:val="18"/>
                <w:szCs w:val="18"/>
                <w:color w:val="auto"/>
                <w:vertAlign w:val="superscript"/>
              </w:rPr>
              <w:t>(2)</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0" w:type="dxa"/>
            <w:vAlign w:val="bottom"/>
          </w:tcPr>
          <w:p>
            <w:pPr>
              <w:spacing w:after="0"/>
              <w:rPr>
                <w:sz w:val="1"/>
                <w:szCs w:val="1"/>
                <w:color w:val="auto"/>
              </w:rPr>
            </w:pPr>
          </w:p>
        </w:tc>
      </w:tr>
      <w:tr>
        <w:trPr>
          <w:trHeight w:val="180"/>
        </w:trPr>
        <w:tc>
          <w:tcPr>
            <w:tcW w:w="62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Restructuring liabilities </w:t>
            </w:r>
            <w:r>
              <w:rPr>
                <w:rFonts w:ascii="Times New Roman" w:cs="Times New Roman" w:eastAsia="Times New Roman" w:hAnsi="Times New Roman"/>
                <w:sz w:val="18"/>
                <w:szCs w:val="18"/>
                <w:color w:val="auto"/>
                <w:vertAlign w:val="superscript"/>
              </w:rPr>
              <w:t>(3)</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0" w:type="dxa"/>
            <w:vAlign w:val="bottom"/>
          </w:tcPr>
          <w:p>
            <w:pPr>
              <w:spacing w:after="0"/>
              <w:rPr>
                <w:sz w:val="1"/>
                <w:szCs w:val="1"/>
                <w:color w:val="auto"/>
              </w:rPr>
            </w:pPr>
          </w:p>
        </w:tc>
      </w:tr>
      <w:tr>
        <w:trPr>
          <w:trHeight w:val="18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accrued expenses</w:t>
            </w:r>
          </w:p>
        </w:tc>
        <w:tc>
          <w:tcPr>
            <w:tcW w:w="10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33,463</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24,446</w:t>
            </w: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118,485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107,301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500" w:hanging="240"/>
        <w:spacing w:after="0"/>
        <w:tabs>
          <w:tab w:leader="none" w:pos="500" w:val="left"/>
        </w:tabs>
        <w:numPr>
          <w:ilvl w:val="0"/>
          <w:numId w:val="2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Refer to “Note 10. Leases.”</w:t>
      </w:r>
    </w:p>
    <w:p>
      <w:pPr>
        <w:spacing w:after="0" w:line="7"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2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Refer to “Note 7. Derivatives and Risk Management.”</w:t>
      </w:r>
    </w:p>
    <w:p>
      <w:pPr>
        <w:spacing w:after="0" w:line="8"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2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Refer to “Note 4. Restructuring.”</w:t>
      </w: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102" w:name="page103"/>
    <w:bookmarkEnd w:id="102"/>
    <w:p>
      <w:pPr>
        <w:spacing w:after="0" w:line="303" w:lineRule="auto"/>
        <w:rPr>
          <w:sz w:val="20"/>
          <w:szCs w:val="20"/>
          <w:color w:val="auto"/>
        </w:rPr>
      </w:pPr>
      <w:r>
        <w:rPr>
          <w:rFonts w:ascii="Times New Roman" w:cs="Times New Roman" w:eastAsia="Times New Roman" w:hAnsi="Times New Roman"/>
          <w:sz w:val="14"/>
          <w:szCs w:val="14"/>
          <w:color w:val="auto"/>
        </w:rPr>
        <w:t>The following table presents the items included within foreign exchange and other income/(expense) on the consolidated statements of income (loss) for the years ended December 31, 2024, 2023, and 2022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1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Embedded derivative fair value adjustment (2025 Notes) </w:t>
            </w:r>
            <w:r>
              <w:rPr>
                <w:rFonts w:ascii="Times New Roman" w:cs="Times New Roman" w:eastAsia="Times New Roman" w:hAnsi="Times New Roman"/>
                <w:sz w:val="18"/>
                <w:szCs w:val="18"/>
                <w:color w:val="auto"/>
                <w:vertAlign w:val="superscript"/>
              </w:rPr>
              <w:t>(1)</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96,025</w:t>
            </w:r>
          </w:p>
        </w:tc>
      </w:tr>
      <w:tr>
        <w:trPr>
          <w:trHeight w:val="180"/>
        </w:trPr>
        <w:tc>
          <w:tcPr>
            <w:tcW w:w="61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Embedded derivative fair value adjustment (2029 Notes) </w:t>
            </w:r>
            <w:r>
              <w:rPr>
                <w:rFonts w:ascii="Times New Roman" w:cs="Times New Roman" w:eastAsia="Times New Roman" w:hAnsi="Times New Roman"/>
                <w:sz w:val="18"/>
                <w:szCs w:val="18"/>
                <w:color w:val="auto"/>
                <w:vertAlign w:val="superscript"/>
              </w:rPr>
              <w:t>(1)</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Capped call fair value adjustment (2025 Notes) </w:t>
            </w:r>
            <w:r>
              <w:rPr>
                <w:rFonts w:ascii="Times New Roman" w:cs="Times New Roman" w:eastAsia="Times New Roman" w:hAnsi="Times New Roman"/>
                <w:sz w:val="18"/>
                <w:szCs w:val="18"/>
                <w:color w:val="auto"/>
                <w:vertAlign w:val="superscript"/>
              </w:rPr>
              <w:t>(1)</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(52,236)</w:t>
            </w:r>
          </w:p>
        </w:tc>
      </w:tr>
      <w:tr>
        <w:trPr>
          <w:trHeight w:val="180"/>
        </w:trPr>
        <w:tc>
          <w:tcPr>
            <w:tcW w:w="61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Capped call fair value adjustment (2029 Notes) </w:t>
            </w:r>
            <w:r>
              <w:rPr>
                <w:rFonts w:ascii="Times New Roman" w:cs="Times New Roman" w:eastAsia="Times New Roman" w:hAnsi="Times New Roman"/>
                <w:sz w:val="18"/>
                <w:szCs w:val="18"/>
                <w:color w:val="auto"/>
                <w:vertAlign w:val="superscript"/>
              </w:rPr>
              <w:t>(1)</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4,697</w:t>
            </w:r>
          </w:p>
        </w:tc>
      </w:tr>
      <w:tr>
        <w:trPr>
          <w:trHeight w:val="180"/>
        </w:trPr>
        <w:tc>
          <w:tcPr>
            <w:tcW w:w="61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Investment revaluation - Ceribell, Inc. </w:t>
            </w:r>
            <w:r>
              <w:rPr>
                <w:rFonts w:ascii="Times New Roman" w:cs="Times New Roman" w:eastAsia="Times New Roman" w:hAnsi="Times New Roman"/>
                <w:sz w:val="18"/>
                <w:szCs w:val="18"/>
                <w:color w:val="auto"/>
                <w:vertAlign w:val="superscript"/>
              </w:rPr>
              <w:t>(2)</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Impairment of investment - ShiraTronics, Inc. </w:t>
            </w:r>
            <w:r>
              <w:rPr>
                <w:rFonts w:ascii="Times New Roman" w:cs="Times New Roman" w:eastAsia="Times New Roman" w:hAnsi="Times New Roman"/>
                <w:sz w:val="18"/>
                <w:szCs w:val="18"/>
                <w:color w:val="auto"/>
                <w:vertAlign w:val="superscript"/>
              </w:rPr>
              <w:t>(2)</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FX fluctuations</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r>
      <w:tr>
        <w:trPr>
          <w:trHeight w:val="18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w:t>
            </w:r>
          </w:p>
        </w:tc>
      </w:tr>
      <w:tr>
        <w:trPr>
          <w:trHeight w:val="196"/>
        </w:trPr>
        <w:tc>
          <w:tcPr>
            <w:tcW w:w="6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500" w:hanging="240"/>
        <w:spacing w:after="0"/>
        <w:tabs>
          <w:tab w:leader="none" w:pos="500" w:val="left"/>
        </w:tabs>
        <w:numPr>
          <w:ilvl w:val="0"/>
          <w:numId w:val="2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Refer to “Note 8. Fair Value Measurements.”</w:t>
      </w:r>
    </w:p>
    <w:p>
      <w:pPr>
        <w:spacing w:after="0" w:line="7"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2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Refer to “Note 6. Investments.”</w:t>
      </w:r>
    </w:p>
    <w:p>
      <w:pPr>
        <w:spacing w:after="0" w:line="75"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The following table presents a reconciliation of cash, cash equivalents, and restricted cash reported on the consolidated balance sheets that sum to the total of the amounts shown on the consolidated statements of cash flows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r>
      <w:tr>
        <w:trPr>
          <w:trHeight w:val="171"/>
        </w:trPr>
        <w:tc>
          <w:tcPr>
            <w:tcW w:w="78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428,858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266,504</w:t>
            </w:r>
          </w:p>
        </w:tc>
      </w:tr>
      <w:tr>
        <w:trPr>
          <w:trHeight w:val="180"/>
        </w:trPr>
        <w:tc>
          <w:tcPr>
            <w:tcW w:w="78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Restricted cash </w:t>
            </w:r>
            <w:r>
              <w:rPr>
                <w:rFonts w:ascii="Times New Roman" w:cs="Times New Roman" w:eastAsia="Times New Roman" w:hAnsi="Times New Roman"/>
                <w:sz w:val="18"/>
                <w:szCs w:val="18"/>
                <w:color w:val="auto"/>
                <w:vertAlign w:val="superscript"/>
              </w:rPr>
              <w:t>(1)</w:t>
            </w: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294,698</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311,368</w:t>
            </w:r>
          </w:p>
        </w:tc>
      </w:tr>
      <w:tr>
        <w:trPr>
          <w:trHeight w:val="196"/>
        </w:trPr>
        <w:tc>
          <w:tcPr>
            <w:tcW w:w="78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723,556</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577,872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500" w:hanging="240"/>
        <w:spacing w:after="0"/>
        <w:tabs>
          <w:tab w:leader="none" w:pos="500" w:val="left"/>
        </w:tabs>
        <w:numPr>
          <w:ilvl w:val="0"/>
          <w:numId w:val="3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Restricted cash represents funds held as collateral for the SNIA Litigation Guarantee. Refer to “Note 11. Commitments and Contingencies.”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19. New Accounting Pronouncements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Adoption of New Accounting Pronouncements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description of LivaNova’s adoption of a new ASU issued by the FASB and the impact of the adoption on the Company’s consolidated financial statements: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Issue Date &amp; Standard</w:t>
            </w:r>
          </w:p>
        </w:tc>
        <w:tc>
          <w:tcPr>
            <w:tcW w:w="464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70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20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Assessment</w:t>
            </w:r>
          </w:p>
        </w:tc>
      </w:tr>
      <w:tr>
        <w:trPr>
          <w:trHeight w:val="133"/>
        </w:trPr>
        <w:tc>
          <w:tcPr>
            <w:tcW w:w="184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November 2023</w:t>
            </w:r>
          </w:p>
        </w:tc>
        <w:tc>
          <w:tcPr>
            <w:tcW w:w="100" w:type="dxa"/>
            <w:vAlign w:val="bottom"/>
            <w:tcBorders>
              <w:top w:val="single" w:sz="8" w:color="CCEEFF"/>
            </w:tcBorders>
            <w:shd w:val="clear" w:color="auto" w:fill="CCEEFF"/>
          </w:tcPr>
          <w:p>
            <w:pPr>
              <w:spacing w:after="0"/>
              <w:rPr>
                <w:sz w:val="11"/>
                <w:szCs w:val="11"/>
                <w:color w:val="auto"/>
              </w:rPr>
            </w:pPr>
          </w:p>
        </w:tc>
        <w:tc>
          <w:tcPr>
            <w:tcW w:w="454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This ASU expands public entities’ reportable segment disclosures by requiring</w:t>
            </w:r>
          </w:p>
        </w:tc>
        <w:tc>
          <w:tcPr>
            <w:tcW w:w="100" w:type="dxa"/>
            <w:vAlign w:val="bottom"/>
            <w:tcBorders>
              <w:top w:val="single" w:sz="8" w:color="CCEEFF"/>
            </w:tcBorders>
            <w:shd w:val="clear" w:color="auto" w:fill="CCEEFF"/>
          </w:tcPr>
          <w:p>
            <w:pPr>
              <w:spacing w:after="0"/>
              <w:rPr>
                <w:sz w:val="11"/>
                <w:szCs w:val="11"/>
                <w:color w:val="auto"/>
              </w:rPr>
            </w:pPr>
          </w:p>
        </w:tc>
        <w:tc>
          <w:tcPr>
            <w:tcW w:w="25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Annual periods beginning after December</w:t>
            </w:r>
          </w:p>
        </w:tc>
        <w:tc>
          <w:tcPr>
            <w:tcW w:w="120" w:type="dxa"/>
            <w:vAlign w:val="bottom"/>
            <w:tcBorders>
              <w:top w:val="single" w:sz="8" w:color="CCEEFF"/>
            </w:tcBorders>
            <w:shd w:val="clear" w:color="auto" w:fill="CCEEFF"/>
          </w:tcPr>
          <w:p>
            <w:pPr>
              <w:spacing w:after="0"/>
              <w:rPr>
                <w:sz w:val="11"/>
                <w:szCs w:val="11"/>
                <w:color w:val="auto"/>
              </w:rPr>
            </w:pPr>
          </w:p>
        </w:tc>
        <w:tc>
          <w:tcPr>
            <w:tcW w:w="200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There was no material impact to</w:t>
            </w:r>
          </w:p>
        </w:tc>
      </w:tr>
      <w:tr>
        <w:trPr>
          <w:trHeight w:val="144"/>
        </w:trPr>
        <w:tc>
          <w:tcPr>
            <w:tcW w:w="19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 xml:space="preserve">ASU No. 2023-07, </w:t>
            </w:r>
            <w:r>
              <w:rPr>
                <w:rFonts w:ascii="Times New Roman" w:cs="Times New Roman" w:eastAsia="Times New Roman" w:hAnsi="Times New Roman"/>
                <w:sz w:val="14"/>
                <w:szCs w:val="14"/>
                <w:i w:val="1"/>
                <w:iCs w:val="1"/>
                <w:color w:val="auto"/>
              </w:rPr>
              <w:t>Segment</w:t>
            </w:r>
          </w:p>
        </w:tc>
        <w:tc>
          <w:tcPr>
            <w:tcW w:w="46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disclosure of significant segment expenses that are regularly provided to the</w:t>
            </w:r>
          </w:p>
        </w:tc>
        <w:tc>
          <w:tcPr>
            <w:tcW w:w="27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15, 2023 and interim periods within fiscal</w:t>
            </w:r>
          </w:p>
        </w:tc>
        <w:tc>
          <w:tcPr>
            <w:tcW w:w="20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LivaNova’s reportable segment</w:t>
            </w:r>
          </w:p>
        </w:tc>
      </w:tr>
      <w:tr>
        <w:trPr>
          <w:trHeight w:val="138"/>
        </w:trPr>
        <w:tc>
          <w:tcPr>
            <w:tcW w:w="194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i w:val="1"/>
                <w:iCs w:val="1"/>
                <w:color w:val="auto"/>
              </w:rPr>
              <w:t>Reporting (Topic 280):</w:t>
            </w:r>
          </w:p>
        </w:tc>
        <w:tc>
          <w:tcPr>
            <w:tcW w:w="464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CODM and included within each reported measure of segment profit or loss,</w:t>
            </w:r>
          </w:p>
        </w:tc>
        <w:tc>
          <w:tcPr>
            <w:tcW w:w="270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years beginning after December 15, 2024, on</w:t>
            </w:r>
          </w:p>
        </w:tc>
        <w:tc>
          <w:tcPr>
            <w:tcW w:w="20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disclosures as a result of adopting</w:t>
            </w:r>
          </w:p>
        </w:tc>
      </w:tr>
      <w:tr>
        <w:trPr>
          <w:trHeight w:val="142"/>
        </w:trPr>
        <w:tc>
          <w:tcPr>
            <w:tcW w:w="194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i w:val="1"/>
                <w:iCs w:val="1"/>
                <w:color w:val="auto"/>
              </w:rPr>
              <w:t>Improvements to Reportable</w:t>
            </w:r>
          </w:p>
        </w:tc>
        <w:tc>
          <w:tcPr>
            <w:tcW w:w="464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the amount and description of other segment items, and the title and position of</w:t>
            </w:r>
          </w:p>
        </w:tc>
        <w:tc>
          <w:tcPr>
            <w:tcW w:w="270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a retrospective basis.</w:t>
            </w:r>
          </w:p>
        </w:tc>
        <w:tc>
          <w:tcPr>
            <w:tcW w:w="20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this ASU.</w:t>
            </w:r>
          </w:p>
        </w:tc>
      </w:tr>
      <w:tr>
        <w:trPr>
          <w:trHeight w:val="144"/>
        </w:trPr>
        <w:tc>
          <w:tcPr>
            <w:tcW w:w="19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i w:val="1"/>
                <w:iCs w:val="1"/>
                <w:color w:val="auto"/>
              </w:rPr>
              <w:t>Segment Disclosures</w:t>
            </w:r>
          </w:p>
        </w:tc>
        <w:tc>
          <w:tcPr>
            <w:tcW w:w="46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the Company’s CODM, as well as an explanation of how the CODM uses the</w:t>
            </w:r>
          </w:p>
        </w:tc>
        <w:tc>
          <w:tcPr>
            <w:tcW w:w="2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r>
      <w:tr>
        <w:trPr>
          <w:trHeight w:val="138"/>
        </w:trPr>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4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Company’s reported measures of segment profit or loss in assessing segment</w:t>
            </w:r>
          </w:p>
        </w:tc>
        <w:tc>
          <w:tcPr>
            <w:tcW w:w="2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r>
      <w:tr>
        <w:trPr>
          <w:trHeight w:val="180"/>
        </w:trPr>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and deciding how to allocate resources.</w:t>
            </w:r>
          </w:p>
        </w:tc>
        <w:tc>
          <w:tcPr>
            <w:tcW w:w="2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753"/>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ind w:left="3640"/>
              <w:spacing w:after="0"/>
              <w:rPr>
                <w:sz w:val="20"/>
                <w:szCs w:val="20"/>
                <w:color w:val="auto"/>
              </w:rPr>
            </w:pPr>
            <w:r>
              <w:rPr>
                <w:rFonts w:ascii="Times New Roman" w:cs="Times New Roman" w:eastAsia="Times New Roman" w:hAnsi="Times New Roman"/>
                <w:sz w:val="14"/>
                <w:szCs w:val="14"/>
                <w:color w:val="auto"/>
              </w:rPr>
              <w:t>F-48</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97"/>
        </w:trPr>
        <w:tc>
          <w:tcPr>
            <w:tcW w:w="1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color w:val="auto"/>
        </w:rPr>
        <w:t>Future Adoption of New Accounting Pronouncements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description of future adoptions of new ASUs issued by the FASB that may have an impact on LivaNova’s consolidated financial statements when adopted: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Issue Date &amp; Standard</w:t>
            </w:r>
          </w:p>
        </w:tc>
        <w:tc>
          <w:tcPr>
            <w:tcW w:w="464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70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20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Assessment</w:t>
            </w:r>
          </w:p>
        </w:tc>
      </w:tr>
      <w:tr>
        <w:trPr>
          <w:trHeight w:val="129"/>
        </w:trPr>
        <w:tc>
          <w:tcPr>
            <w:tcW w:w="18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December 2023 ASU No.</w:t>
            </w:r>
          </w:p>
        </w:tc>
        <w:tc>
          <w:tcPr>
            <w:tcW w:w="100" w:type="dxa"/>
            <w:vAlign w:val="bottom"/>
            <w:tcBorders>
              <w:top w:val="single" w:sz="8" w:color="CCEEFF"/>
            </w:tcBorders>
            <w:shd w:val="clear" w:color="auto" w:fill="CCEEFF"/>
          </w:tcPr>
          <w:p>
            <w:pPr>
              <w:spacing w:after="0"/>
              <w:rPr>
                <w:sz w:val="11"/>
                <w:szCs w:val="11"/>
                <w:color w:val="auto"/>
              </w:rPr>
            </w:pPr>
          </w:p>
        </w:tc>
        <w:tc>
          <w:tcPr>
            <w:tcW w:w="45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This ASU expands annual income tax disclosures primarily related to the rate</w:t>
            </w:r>
          </w:p>
        </w:tc>
        <w:tc>
          <w:tcPr>
            <w:tcW w:w="100" w:type="dxa"/>
            <w:vAlign w:val="bottom"/>
            <w:tcBorders>
              <w:top w:val="single" w:sz="8" w:color="CCEEFF"/>
            </w:tcBorders>
            <w:shd w:val="clear" w:color="auto" w:fill="CCEEFF"/>
          </w:tcPr>
          <w:p>
            <w:pPr>
              <w:spacing w:after="0"/>
              <w:rPr>
                <w:sz w:val="11"/>
                <w:szCs w:val="11"/>
                <w:color w:val="auto"/>
              </w:rPr>
            </w:pPr>
          </w:p>
        </w:tc>
        <w:tc>
          <w:tcPr>
            <w:tcW w:w="25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This ASU will be effective for annual</w:t>
            </w:r>
          </w:p>
        </w:tc>
        <w:tc>
          <w:tcPr>
            <w:tcW w:w="120" w:type="dxa"/>
            <w:vAlign w:val="bottom"/>
            <w:tcBorders>
              <w:top w:val="single" w:sz="8" w:color="CCEEFF"/>
            </w:tcBorders>
            <w:shd w:val="clear" w:color="auto" w:fill="CCEEFF"/>
          </w:tcPr>
          <w:p>
            <w:pPr>
              <w:spacing w:after="0"/>
              <w:rPr>
                <w:sz w:val="11"/>
                <w:szCs w:val="11"/>
                <w:color w:val="auto"/>
              </w:rPr>
            </w:pPr>
          </w:p>
        </w:tc>
        <w:tc>
          <w:tcPr>
            <w:tcW w:w="20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LivaNova is currently evaluating</w:t>
            </w:r>
          </w:p>
        </w:tc>
      </w:tr>
      <w:tr>
        <w:trPr>
          <w:trHeight w:val="142"/>
        </w:trPr>
        <w:tc>
          <w:tcPr>
            <w:tcW w:w="194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 xml:space="preserve">2023-09, </w:t>
            </w:r>
            <w:r>
              <w:rPr>
                <w:rFonts w:ascii="Times New Roman" w:cs="Times New Roman" w:eastAsia="Times New Roman" w:hAnsi="Times New Roman"/>
                <w:sz w:val="14"/>
                <w:szCs w:val="14"/>
                <w:i w:val="1"/>
                <w:iCs w:val="1"/>
                <w:color w:val="auto"/>
              </w:rPr>
              <w:t>Income Taxes (Topic</w:t>
            </w:r>
          </w:p>
        </w:tc>
        <w:tc>
          <w:tcPr>
            <w:tcW w:w="464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reconciliation and income taxes paid.</w:t>
            </w:r>
          </w:p>
        </w:tc>
        <w:tc>
          <w:tcPr>
            <w:tcW w:w="270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periods beginning after December 15, 2024,</w:t>
            </w:r>
          </w:p>
        </w:tc>
        <w:tc>
          <w:tcPr>
            <w:tcW w:w="20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the effect this standard will have</w:t>
            </w:r>
          </w:p>
        </w:tc>
      </w:tr>
      <w:tr>
        <w:trPr>
          <w:trHeight w:val="144"/>
        </w:trPr>
        <w:tc>
          <w:tcPr>
            <w:tcW w:w="19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i w:val="1"/>
                <w:iCs w:val="1"/>
                <w:color w:val="auto"/>
              </w:rPr>
              <w:t>740): Improvements to Income</w:t>
            </w:r>
          </w:p>
        </w:tc>
        <w:tc>
          <w:tcPr>
            <w:tcW w:w="4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on a prospective basis, with early adoption</w:t>
            </w:r>
          </w:p>
        </w:tc>
        <w:tc>
          <w:tcPr>
            <w:tcW w:w="20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on its consolidated financial</w:t>
            </w:r>
          </w:p>
        </w:tc>
      </w:tr>
      <w:tr>
        <w:trPr>
          <w:trHeight w:val="18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Tax Disclosures</w:t>
            </w:r>
          </w:p>
        </w:tc>
        <w:tc>
          <w:tcPr>
            <w:tcW w:w="4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and retrospective application permitted.</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statements and related disclosures.</w:t>
            </w:r>
          </w:p>
        </w:tc>
      </w:tr>
    </w:tbl>
    <w:p>
      <w:pPr>
        <w:spacing w:after="0" w:line="1" w:lineRule="exact"/>
        <w:rPr>
          <w:sz w:val="20"/>
          <w:szCs w:val="20"/>
          <w:color w:val="auto"/>
        </w:rPr>
      </w:pPr>
    </w:p>
    <w:p>
      <w:pPr>
        <w:sectPr>
          <w:pgSz w:w="11900" w:h="16838" w:orient="portrait"/>
          <w:cols w:equalWidth="0" w:num="1">
            <w:col w:w="11280"/>
          </w:cols>
          <w:pgMar w:left="300" w:top="821" w:right="319" w:bottom="1440" w:gutter="0" w:footer="0" w:header="0"/>
        </w:sectPr>
      </w:pPr>
    </w:p>
    <w:p>
      <w:pPr>
        <w:ind w:left="20"/>
        <w:spacing w:after="0" w:line="223" w:lineRule="auto"/>
        <w:tabs>
          <w:tab w:leader="none" w:pos="1940" w:val="left"/>
        </w:tabs>
        <w:rPr>
          <w:sz w:val="20"/>
          <w:szCs w:val="20"/>
          <w:color w:val="auto"/>
        </w:rPr>
      </w:pPr>
      <w:r>
        <w:rPr>
          <w:rFonts w:ascii="Times New Roman" w:cs="Times New Roman" w:eastAsia="Times New Roman" w:hAnsi="Times New Roman"/>
          <w:sz w:val="14"/>
          <w:szCs w:val="14"/>
          <w:color w:val="auto"/>
        </w:rPr>
        <w:t>November 2024 ASU No.</w:t>
      </w:r>
      <w:r>
        <w:rPr>
          <w:sz w:val="20"/>
          <w:szCs w:val="20"/>
          <w:color w:val="auto"/>
        </w:rPr>
        <w:tab/>
      </w:r>
      <w:r>
        <w:rPr>
          <w:rFonts w:ascii="Times New Roman" w:cs="Times New Roman" w:eastAsia="Times New Roman" w:hAnsi="Times New Roman"/>
          <w:sz w:val="14"/>
          <w:szCs w:val="14"/>
          <w:color w:val="auto"/>
        </w:rPr>
        <w:t>This ASU requires disclosure in the notes to financial statements of additional</w:t>
      </w:r>
    </w:p>
    <w:p>
      <w:pPr>
        <w:ind w:left="20"/>
        <w:spacing w:after="0" w:line="221" w:lineRule="auto"/>
        <w:tabs>
          <w:tab w:leader="none" w:pos="1940" w:val="left"/>
        </w:tabs>
        <w:rPr>
          <w:sz w:val="20"/>
          <w:szCs w:val="20"/>
          <w:color w:val="auto"/>
        </w:rPr>
      </w:pPr>
      <w:r>
        <w:rPr>
          <w:rFonts w:ascii="Times New Roman" w:cs="Times New Roman" w:eastAsia="Times New Roman" w:hAnsi="Times New Roman"/>
          <w:sz w:val="14"/>
          <w:szCs w:val="14"/>
          <w:color w:val="auto"/>
        </w:rPr>
        <w:t xml:space="preserve">2024-03, </w:t>
      </w:r>
      <w:r>
        <w:rPr>
          <w:rFonts w:ascii="Times New Roman" w:cs="Times New Roman" w:eastAsia="Times New Roman" w:hAnsi="Times New Roman"/>
          <w:sz w:val="14"/>
          <w:szCs w:val="14"/>
          <w:i w:val="1"/>
          <w:iCs w:val="1"/>
          <w:color w:val="auto"/>
        </w:rPr>
        <w:t>Income Statement—</w:t>
      </w:r>
      <w:r>
        <w:rPr>
          <w:sz w:val="20"/>
          <w:szCs w:val="20"/>
          <w:color w:val="auto"/>
        </w:rPr>
        <w:tab/>
      </w:r>
      <w:r>
        <w:rPr>
          <w:rFonts w:ascii="Times New Roman" w:cs="Times New Roman" w:eastAsia="Times New Roman" w:hAnsi="Times New Roman"/>
          <w:sz w:val="14"/>
          <w:szCs w:val="14"/>
          <w:color w:val="auto"/>
        </w:rPr>
        <w:t>information disaggregating specific expense categories underlying certain</w:t>
      </w:r>
    </w:p>
    <w:p>
      <w:pPr>
        <w:ind w:left="20"/>
        <w:spacing w:after="0" w:line="206" w:lineRule="auto"/>
        <w:tabs>
          <w:tab w:leader="none" w:pos="1940" w:val="left"/>
        </w:tabs>
        <w:rPr>
          <w:sz w:val="20"/>
          <w:szCs w:val="20"/>
          <w:color w:val="auto"/>
        </w:rPr>
      </w:pPr>
      <w:r>
        <w:rPr>
          <w:rFonts w:ascii="Times New Roman" w:cs="Times New Roman" w:eastAsia="Times New Roman" w:hAnsi="Times New Roman"/>
          <w:sz w:val="14"/>
          <w:szCs w:val="14"/>
          <w:i w:val="1"/>
          <w:iCs w:val="1"/>
          <w:color w:val="auto"/>
        </w:rPr>
        <w:t>Reporting Comprehensive</w:t>
      </w:r>
      <w:r>
        <w:rPr>
          <w:sz w:val="20"/>
          <w:szCs w:val="20"/>
          <w:color w:val="auto"/>
        </w:rPr>
        <w:tab/>
      </w:r>
      <w:r>
        <w:rPr>
          <w:rFonts w:ascii="Times New Roman" w:cs="Times New Roman" w:eastAsia="Times New Roman" w:hAnsi="Times New Roman"/>
          <w:sz w:val="14"/>
          <w:szCs w:val="14"/>
          <w:color w:val="auto"/>
        </w:rPr>
        <w:t>income statement expense line items, including employee compensation,</w:t>
      </w:r>
    </w:p>
    <w:p>
      <w:pPr>
        <w:ind w:left="20"/>
        <w:spacing w:after="0" w:line="206" w:lineRule="auto"/>
        <w:tabs>
          <w:tab w:leader="none" w:pos="1940" w:val="left"/>
        </w:tabs>
        <w:rPr>
          <w:sz w:val="20"/>
          <w:szCs w:val="20"/>
          <w:color w:val="auto"/>
        </w:rPr>
      </w:pPr>
      <w:r>
        <w:rPr>
          <w:rFonts w:ascii="Times New Roman" w:cs="Times New Roman" w:eastAsia="Times New Roman" w:hAnsi="Times New Roman"/>
          <w:sz w:val="14"/>
          <w:szCs w:val="14"/>
          <w:i w:val="1"/>
          <w:iCs w:val="1"/>
          <w:color w:val="auto"/>
        </w:rPr>
        <w:t>Income—Expense</w:t>
      </w:r>
      <w:r>
        <w:rPr>
          <w:sz w:val="20"/>
          <w:szCs w:val="20"/>
          <w:color w:val="auto"/>
        </w:rPr>
        <w:tab/>
      </w:r>
      <w:r>
        <w:rPr>
          <w:rFonts w:ascii="Times New Roman" w:cs="Times New Roman" w:eastAsia="Times New Roman" w:hAnsi="Times New Roman"/>
          <w:sz w:val="14"/>
          <w:szCs w:val="14"/>
          <w:color w:val="auto"/>
        </w:rPr>
        <w:t>depreciation, and intangible asset amortization, as well as certain other</w:t>
      </w:r>
    </w:p>
    <w:p>
      <w:pPr>
        <w:ind w:left="20"/>
        <w:spacing w:after="0" w:line="221" w:lineRule="auto"/>
        <w:tabs>
          <w:tab w:leader="none" w:pos="1940" w:val="left"/>
        </w:tabs>
        <w:rPr>
          <w:sz w:val="20"/>
          <w:szCs w:val="20"/>
          <w:color w:val="auto"/>
        </w:rPr>
      </w:pPr>
      <w:r>
        <w:rPr>
          <w:rFonts w:ascii="Times New Roman" w:cs="Times New Roman" w:eastAsia="Times New Roman" w:hAnsi="Times New Roman"/>
          <w:sz w:val="14"/>
          <w:szCs w:val="14"/>
          <w:i w:val="1"/>
          <w:iCs w:val="1"/>
          <w:color w:val="auto"/>
        </w:rPr>
        <w:t>Disaggregation Disclosures</w:t>
      </w:r>
      <w:r>
        <w:rPr>
          <w:sz w:val="20"/>
          <w:szCs w:val="20"/>
          <w:color w:val="auto"/>
        </w:rPr>
        <w:tab/>
      </w:r>
      <w:r>
        <w:rPr>
          <w:rFonts w:ascii="Times New Roman" w:cs="Times New Roman" w:eastAsia="Times New Roman" w:hAnsi="Times New Roman"/>
          <w:sz w:val="14"/>
          <w:szCs w:val="14"/>
          <w:color w:val="auto"/>
        </w:rPr>
        <w:t>disclosures to provide enhanced transparency into the nature and function of</w:t>
      </w:r>
    </w:p>
    <w:p>
      <w:pPr>
        <w:ind w:left="20"/>
        <w:spacing w:after="0" w:line="222" w:lineRule="auto"/>
        <w:tabs>
          <w:tab w:leader="none" w:pos="1940" w:val="left"/>
        </w:tabs>
        <w:rPr>
          <w:sz w:val="20"/>
          <w:szCs w:val="20"/>
          <w:color w:val="auto"/>
        </w:rPr>
      </w:pPr>
      <w:r>
        <w:rPr>
          <w:rFonts w:ascii="Times New Roman" w:cs="Times New Roman" w:eastAsia="Times New Roman" w:hAnsi="Times New Roman"/>
          <w:sz w:val="14"/>
          <w:szCs w:val="14"/>
          <w:i w:val="1"/>
          <w:iCs w:val="1"/>
          <w:color w:val="auto"/>
        </w:rPr>
        <w:t>(Subtopic 220-40):</w:t>
      </w:r>
      <w:r>
        <w:rPr>
          <w:sz w:val="20"/>
          <w:szCs w:val="20"/>
          <w:color w:val="auto"/>
        </w:rPr>
        <w:tab/>
      </w:r>
      <w:r>
        <w:rPr>
          <w:rFonts w:ascii="Times New Roman" w:cs="Times New Roman" w:eastAsia="Times New Roman" w:hAnsi="Times New Roman"/>
          <w:sz w:val="13"/>
          <w:szCs w:val="13"/>
          <w:color w:val="auto"/>
        </w:rPr>
        <w:t>expenses.</w:t>
      </w:r>
    </w:p>
    <w:p>
      <w:pPr>
        <w:ind w:left="20"/>
        <w:spacing w:after="0" w:line="205" w:lineRule="auto"/>
        <w:rPr>
          <w:sz w:val="20"/>
          <w:szCs w:val="20"/>
          <w:color w:val="auto"/>
        </w:rPr>
      </w:pPr>
      <w:r>
        <w:rPr>
          <w:rFonts w:ascii="Times New Roman" w:cs="Times New Roman" w:eastAsia="Times New Roman" w:hAnsi="Times New Roman"/>
          <w:sz w:val="14"/>
          <w:szCs w:val="14"/>
          <w:i w:val="1"/>
          <w:iCs w:val="1"/>
          <w:color w:val="auto"/>
        </w:rPr>
        <w:t>Disaggregation of Income</w:t>
      </w:r>
    </w:p>
    <w:p>
      <w:pPr>
        <w:ind w:left="20"/>
        <w:spacing w:after="0"/>
        <w:rPr>
          <w:sz w:val="20"/>
          <w:szCs w:val="20"/>
          <w:color w:val="auto"/>
        </w:rPr>
      </w:pPr>
      <w:r>
        <w:rPr>
          <w:rFonts w:ascii="Times New Roman" w:cs="Times New Roman" w:eastAsia="Times New Roman" w:hAnsi="Times New Roman"/>
          <w:sz w:val="14"/>
          <w:szCs w:val="14"/>
          <w:i w:val="1"/>
          <w:iCs w:val="1"/>
          <w:color w:val="auto"/>
        </w:rPr>
        <w:t>Statement Expenses</w:t>
      </w:r>
    </w:p>
    <w:p>
      <w:pPr>
        <w:spacing w:after="0" w:line="20" w:lineRule="exact"/>
        <w:rPr>
          <w:sz w:val="20"/>
          <w:szCs w:val="20"/>
          <w:color w:val="auto"/>
        </w:rPr>
      </w:pPr>
      <w:r>
        <w:rPr>
          <w:sz w:val="20"/>
          <w:szCs w:val="20"/>
          <w:color w:val="auto"/>
        </w:rPr>
        <w:br w:type="column"/>
      </w:r>
    </w:p>
    <w:p>
      <w:pPr>
        <w:spacing w:after="0" w:line="223" w:lineRule="auto"/>
        <w:tabs>
          <w:tab w:leader="none" w:pos="2700" w:val="left"/>
        </w:tabs>
        <w:rPr>
          <w:sz w:val="20"/>
          <w:szCs w:val="20"/>
          <w:color w:val="auto"/>
        </w:rPr>
      </w:pPr>
      <w:r>
        <w:rPr>
          <w:rFonts w:ascii="Times New Roman" w:cs="Times New Roman" w:eastAsia="Times New Roman" w:hAnsi="Times New Roman"/>
          <w:sz w:val="14"/>
          <w:szCs w:val="14"/>
          <w:color w:val="auto"/>
        </w:rPr>
        <w:t>This ASU will be effective for annual</w:t>
      </w:r>
      <w:r>
        <w:rPr>
          <w:sz w:val="20"/>
          <w:szCs w:val="20"/>
          <w:color w:val="auto"/>
        </w:rPr>
        <w:tab/>
      </w:r>
      <w:r>
        <w:rPr>
          <w:rFonts w:ascii="Times New Roman" w:cs="Times New Roman" w:eastAsia="Times New Roman" w:hAnsi="Times New Roman"/>
          <w:sz w:val="14"/>
          <w:szCs w:val="14"/>
          <w:color w:val="auto"/>
        </w:rPr>
        <w:t>LivaNova is currently evaluating</w:t>
      </w:r>
    </w:p>
    <w:p>
      <w:pPr>
        <w:spacing w:after="0" w:line="221" w:lineRule="auto"/>
        <w:tabs>
          <w:tab w:leader="none" w:pos="2700" w:val="left"/>
        </w:tabs>
        <w:rPr>
          <w:sz w:val="20"/>
          <w:szCs w:val="20"/>
          <w:color w:val="auto"/>
        </w:rPr>
      </w:pPr>
      <w:r>
        <w:rPr>
          <w:rFonts w:ascii="Times New Roman" w:cs="Times New Roman" w:eastAsia="Times New Roman" w:hAnsi="Times New Roman"/>
          <w:sz w:val="14"/>
          <w:szCs w:val="14"/>
          <w:color w:val="auto"/>
        </w:rPr>
        <w:t>periods beginning after December 15, 2026,</w:t>
      </w:r>
      <w:r>
        <w:rPr>
          <w:sz w:val="20"/>
          <w:szCs w:val="20"/>
          <w:color w:val="auto"/>
        </w:rPr>
        <w:tab/>
      </w:r>
      <w:r>
        <w:rPr>
          <w:rFonts w:ascii="Times New Roman" w:cs="Times New Roman" w:eastAsia="Times New Roman" w:hAnsi="Times New Roman"/>
          <w:sz w:val="14"/>
          <w:szCs w:val="14"/>
          <w:color w:val="auto"/>
        </w:rPr>
        <w:t>the effect this standard will have</w:t>
      </w:r>
    </w:p>
    <w:p>
      <w:pPr>
        <w:spacing w:after="0" w:line="206" w:lineRule="auto"/>
        <w:tabs>
          <w:tab w:leader="none" w:pos="2700" w:val="left"/>
        </w:tabs>
        <w:rPr>
          <w:sz w:val="20"/>
          <w:szCs w:val="20"/>
          <w:color w:val="auto"/>
        </w:rPr>
      </w:pPr>
      <w:r>
        <w:rPr>
          <w:rFonts w:ascii="Times New Roman" w:cs="Times New Roman" w:eastAsia="Times New Roman" w:hAnsi="Times New Roman"/>
          <w:sz w:val="14"/>
          <w:szCs w:val="14"/>
          <w:color w:val="auto"/>
        </w:rPr>
        <w:t>and interim periods beginning after</w:t>
      </w:r>
      <w:r>
        <w:rPr>
          <w:sz w:val="20"/>
          <w:szCs w:val="20"/>
          <w:color w:val="auto"/>
        </w:rPr>
        <w:tab/>
      </w:r>
      <w:r>
        <w:rPr>
          <w:rFonts w:ascii="Times New Roman" w:cs="Times New Roman" w:eastAsia="Times New Roman" w:hAnsi="Times New Roman"/>
          <w:sz w:val="14"/>
          <w:szCs w:val="14"/>
          <w:color w:val="auto"/>
        </w:rPr>
        <w:t>on its consolidated financial</w:t>
      </w:r>
    </w:p>
    <w:p>
      <w:pPr>
        <w:spacing w:after="0" w:line="206" w:lineRule="auto"/>
        <w:tabs>
          <w:tab w:leader="none" w:pos="2700" w:val="left"/>
        </w:tabs>
        <w:rPr>
          <w:sz w:val="20"/>
          <w:szCs w:val="20"/>
          <w:color w:val="auto"/>
        </w:rPr>
      </w:pPr>
      <w:r>
        <w:rPr>
          <w:rFonts w:ascii="Times New Roman" w:cs="Times New Roman" w:eastAsia="Times New Roman" w:hAnsi="Times New Roman"/>
          <w:sz w:val="14"/>
          <w:szCs w:val="14"/>
          <w:color w:val="auto"/>
        </w:rPr>
        <w:t>December 15, 2027. This ASU may be</w:t>
      </w:r>
      <w:r>
        <w:rPr>
          <w:sz w:val="20"/>
          <w:szCs w:val="20"/>
          <w:color w:val="auto"/>
        </w:rPr>
        <w:tab/>
      </w:r>
      <w:r>
        <w:rPr>
          <w:rFonts w:ascii="Times New Roman" w:cs="Times New Roman" w:eastAsia="Times New Roman" w:hAnsi="Times New Roman"/>
          <w:sz w:val="14"/>
          <w:szCs w:val="14"/>
          <w:color w:val="auto"/>
        </w:rPr>
        <w:t>statements and related disclosures.</w:t>
      </w:r>
    </w:p>
    <w:p>
      <w:pPr>
        <w:spacing w:after="0" w:line="221" w:lineRule="auto"/>
        <w:rPr>
          <w:sz w:val="20"/>
          <w:szCs w:val="20"/>
          <w:color w:val="auto"/>
        </w:rPr>
      </w:pPr>
      <w:r>
        <w:rPr>
          <w:rFonts w:ascii="Times New Roman" w:cs="Times New Roman" w:eastAsia="Times New Roman" w:hAnsi="Times New Roman"/>
          <w:sz w:val="14"/>
          <w:szCs w:val="14"/>
          <w:color w:val="auto"/>
        </w:rPr>
        <w:t>applied on either a prospective or</w:t>
      </w:r>
    </w:p>
    <w:p>
      <w:pPr>
        <w:spacing w:after="0" w:line="206" w:lineRule="auto"/>
        <w:rPr>
          <w:sz w:val="20"/>
          <w:szCs w:val="20"/>
          <w:color w:val="auto"/>
        </w:rPr>
      </w:pPr>
      <w:r>
        <w:rPr>
          <w:rFonts w:ascii="Times New Roman" w:cs="Times New Roman" w:eastAsia="Times New Roman" w:hAnsi="Times New Roman"/>
          <w:sz w:val="14"/>
          <w:szCs w:val="14"/>
          <w:color w:val="auto"/>
        </w:rPr>
        <w:t>retrospective basis, with early adoption</w:t>
      </w:r>
    </w:p>
    <w:p>
      <w:pPr>
        <w:spacing w:after="0"/>
        <w:rPr>
          <w:sz w:val="20"/>
          <w:szCs w:val="20"/>
          <w:color w:val="auto"/>
        </w:rPr>
      </w:pPr>
      <w:r>
        <w:rPr>
          <w:rFonts w:ascii="Times New Roman" w:cs="Times New Roman" w:eastAsia="Times New Roman" w:hAnsi="Times New Roman"/>
          <w:sz w:val="14"/>
          <w:szCs w:val="14"/>
          <w:color w:val="auto"/>
        </w:rPr>
        <w:t>permitted.</w:t>
      </w:r>
    </w:p>
    <w:p>
      <w:pPr>
        <w:spacing w:after="0" w:line="337" w:lineRule="exact"/>
        <w:rPr>
          <w:sz w:val="20"/>
          <w:szCs w:val="20"/>
          <w:color w:val="auto"/>
        </w:rPr>
      </w:pPr>
    </w:p>
    <w:p>
      <w:pPr>
        <w:sectPr>
          <w:pgSz w:w="11900" w:h="16838" w:orient="portrait"/>
          <w:cols w:equalWidth="0" w:num="2">
            <w:col w:w="6360" w:space="220"/>
            <w:col w:w="4700"/>
          </w:cols>
          <w:pgMar w:left="300" w:top="821" w:right="319" w:bottom="1440" w:gutter="0" w:footer="0" w:header="0"/>
          <w:type w:val="continuous"/>
        </w:sectPr>
      </w:pPr>
    </w:p>
    <w:p>
      <w:pPr>
        <w:spacing w:after="0" w:line="3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F-49</w:t>
      </w:r>
    </w:p>
    <w:p>
      <w:pPr>
        <w:sectPr>
          <w:pgSz w:w="11900" w:h="16838" w:orient="portrait"/>
          <w:cols w:equalWidth="0" w:num="1">
            <w:col w:w="11280"/>
          </w:cols>
          <w:pgMar w:left="300" w:top="821" w:right="319" w:bottom="1440" w:gutter="0" w:footer="0" w:header="0"/>
          <w:type w:val="continuous"/>
        </w:sectPr>
      </w:pPr>
    </w:p>
    <w:bookmarkStart w:id="104" w:name="page105"/>
    <w:bookmarkEnd w:id="104"/>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 REGISTERED</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 SECTION 12 OF THE EXCHANGE ACT</w:t>
      </w:r>
    </w:p>
    <w:p>
      <w:pPr>
        <w:spacing w:after="0" w:line="255"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4"/>
          <w:szCs w:val="14"/>
          <w:color w:val="auto"/>
        </w:rPr>
        <w:t>LivaNova PLC (the “Company”) has one class of securities registered under Section 12 of the Securities Exchange Act of 1934, as amended (the “Exchange Act”), which are its ordinary shares, which have a nominal or par value of £1.00 each (the “ordinary shares”). The below is a summary of the applicable provisions of the Company’s Articles of Association (the “Articles”) and certain relevant provisions of applicable law. The summary is not complete and we encourage you to read this summary, the Articles and the other documents we refer to herein for a more complete understanding of the ordinary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Under English law, persons who are neither residents nor nationals of the U.K. may freely hold, vote and transfer the ordinary shares in the same manner and under the same terms as U.K. residents or nationals.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Capital</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entire issued share capital of the Company is comprised of 54,437,670 ordinary shares.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 and Distributions</w:t>
      </w:r>
    </w:p>
    <w:p>
      <w:pPr>
        <w:spacing w:after="0" w:line="255"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4"/>
          <w:szCs w:val="14"/>
          <w:color w:val="auto"/>
        </w:rPr>
        <w:t>Under English law, the Company may only pay dividends out of profits that are available for that purpose. The Company’s profits available for distribution are (in basic terms) its accumulated, realized profits, so far as not previously utilized by distribution or capitalization, less its accumulated, realized losses, so far as not previously reduced or extinguished in a reduction or reorganization of capital duly made. The amount of the Company’s distributable reserves is a cumulative calculation. The Company may be profitable in a single financial year but unable to pay a dividend if the profits of that year do not offset all previous years’ accumulated, realized losses.</w:t>
      </w:r>
    </w:p>
    <w:p>
      <w:pPr>
        <w:spacing w:after="0" w:line="150"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Additionally, the Company may only make a distribution if the amount of its net assets is not less than the aggregate of its called-up share capital and undistributable reserves, and if, and to the extent that, the distribution does not reduce the amount of those assets to less than that aggregate.</w:t>
      </w:r>
    </w:p>
    <w:p>
      <w:pPr>
        <w:spacing w:after="0" w:line="124"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The Articles permit the Company shareholders, by ordinary resolution (a resolution passed by a simple majority of those shareholders present in person or by proxy and voting in respect of the relevant resolution), to declare dividends but no dividend shall exceed the amount recommended by the directors.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the directors may decide to pay interim dividends. The entitlement to a dividend lapses if unclaimed by a shareholder for 12 years from the date when it became due for payment.</w:t>
      </w:r>
    </w:p>
    <w:p>
      <w:pPr>
        <w:spacing w:after="0" w:line="253" w:lineRule="exact"/>
        <w:rPr>
          <w:sz w:val="20"/>
          <w:szCs w:val="20"/>
          <w:color w:val="auto"/>
        </w:rPr>
      </w:pPr>
    </w:p>
    <w:p>
      <w:pPr>
        <w:jc w:val="both"/>
        <w:spacing w:after="0" w:line="413" w:lineRule="auto"/>
        <w:rPr>
          <w:sz w:val="20"/>
          <w:szCs w:val="20"/>
          <w:color w:val="auto"/>
        </w:rPr>
      </w:pPr>
      <w:r>
        <w:rPr>
          <w:rFonts w:ascii="Times New Roman" w:cs="Times New Roman" w:eastAsia="Times New Roman" w:hAnsi="Times New Roman"/>
          <w:sz w:val="14"/>
          <w:szCs w:val="14"/>
          <w:color w:val="auto"/>
        </w:rPr>
        <w:t>The Articles also permit a scrip dividend scheme under which the directors of the Company may offer any holders of ordinary shares the right to receive shares, credited as fully paid, instead of cash in respect of all or any dividend subject to certain terms and conditions set out in the Articles.</w:t>
      </w:r>
    </w:p>
    <w:p>
      <w:pPr>
        <w:sectPr>
          <w:pgSz w:w="11900" w:h="16838" w:orient="portrait"/>
          <w:cols w:equalWidth="0" w:num="1">
            <w:col w:w="11280"/>
          </w:cols>
          <w:pgMar w:left="300" w:top="766"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The shareholders in general meeting must vote by poll. On a poll taken at a general meeting, each qualifying Company shareholder present in person or by proxy and entitled to vote on the resolution has one vote for every ordinary share held by such shareholder.</w:t>
      </w:r>
    </w:p>
    <w:p>
      <w:pPr>
        <w:spacing w:after="0" w:line="134"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In the case of joint holders, the vote of the senior holder who tenders a vote shall be accepted to the exclusion of the votes of the other joint holders. The necessary quorum for a general meeting is shareholders who together represent at least a majority of the voting rights of all Company shareholders entitled to vote at the meeting, present in person or by proxy, save that if the Company has only one shareholder entitled to attend and vote at the general meeting, one qualifying Company shareholder present at the meeting and entitled to vote is a quorum.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 to the Articles</w:t>
      </w:r>
    </w:p>
    <w:p>
      <w:pPr>
        <w:spacing w:after="0" w:line="255" w:lineRule="exact"/>
        <w:rPr>
          <w:sz w:val="20"/>
          <w:szCs w:val="20"/>
          <w:color w:val="auto"/>
        </w:rPr>
      </w:pPr>
    </w:p>
    <w:p>
      <w:pPr>
        <w:jc w:val="both"/>
        <w:spacing w:after="0" w:line="388" w:lineRule="auto"/>
        <w:rPr>
          <w:sz w:val="20"/>
          <w:szCs w:val="20"/>
          <w:color w:val="auto"/>
        </w:rPr>
      </w:pPr>
      <w:r>
        <w:rPr>
          <w:rFonts w:ascii="Times New Roman" w:cs="Times New Roman" w:eastAsia="Times New Roman" w:hAnsi="Times New Roman"/>
          <w:sz w:val="14"/>
          <w:szCs w:val="14"/>
          <w:color w:val="auto"/>
        </w:rPr>
        <w:t>Under the UK Companies Act 2006 (the “Companies Act”), the shareholders may amend the articles of association of the Company by special resolution (a resolution passed by the holders of at least 75% of those shares voted either in person or by proxy on the relevant resolution) at a general meeting. The notice of the general meeting at which a special resolution is proposed shall be required to specify the intention to propose any resolutions at the meeting as special resolutions.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of rights</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The rights attaching to the ordinary shares may be modified with the written consent of the holders of 75% in nominal value of the issued ordinary shares (excluding any shares of that class held as treasury shares), or by a special resolution of the holders of the issued ordinary shares, but not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Meetings and Notices</w:t>
      </w:r>
    </w:p>
    <w:p>
      <w:pPr>
        <w:spacing w:after="0" w:line="265"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14"/>
          <w:szCs w:val="14"/>
          <w:color w:val="auto"/>
        </w:rPr>
        <w:t>An annual general meeting must be called by not less than 21 clear days’ notice (i.e., excluding the date of receipt or deemed receipt of the notice and the date of the meeting itself). All other general meetings must be called by not less than 14 clear days’ notice. General meetings that are not annual general meetings may be called by shorter notice if agreed to by a majority in number of the Company shareholders having the right to attend and vote at the meeting, being a majority who together hold not less than 95% in nominal or par value of the ordinary shares given that right. At least seven clear days’ notice is required for any adjourned meeting, and such meeting must be held not less than 14 days but not more than 28 days after adjournment at such time and place specified for the purpose in the notice calling the meeting or as decided by the chairman of the meeting.</w:t>
      </w:r>
    </w:p>
    <w:p>
      <w:pPr>
        <w:spacing w:after="0" w:line="153"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4"/>
          <w:szCs w:val="14"/>
          <w:color w:val="auto"/>
        </w:rPr>
        <w:t>Subject to the Companies Act, notices of general meetings shall be given to every holder of ordinary shares as of the record date for the relevant meeting. Beneficial owners nominated to enjoy information rights under the Companies Act and the Company’s auditors are also entitled to receive notices of, and other communications relating to, general meetings. Under the Companies Act, the Company is required to hold an annual general meeting of its shareholders within six months from the day following the end of its fiscal year. Subject to the foregoing, a general meeting may be held at a time and place determined by the Company’s board.</w:t>
      </w:r>
    </w:p>
    <w:p>
      <w:pPr>
        <w:sectPr>
          <w:pgSz w:w="11900" w:h="16838" w:orient="portrait"/>
          <w:cols w:equalWidth="0" w:num="1">
            <w:col w:w="11280"/>
          </w:cols>
          <w:pgMar w:left="300" w:top="770" w:right="319" w:bottom="1440" w:gutter="0" w:footer="0" w:header="0"/>
        </w:sectPr>
      </w:pPr>
    </w:p>
    <w:bookmarkStart w:id="106" w:name="page107"/>
    <w:bookmarkEnd w:id="106"/>
    <w:p>
      <w:pPr>
        <w:jc w:val="both"/>
        <w:spacing w:after="0" w:line="398" w:lineRule="auto"/>
        <w:rPr>
          <w:sz w:val="20"/>
          <w:szCs w:val="20"/>
          <w:color w:val="auto"/>
        </w:rPr>
      </w:pPr>
      <w:r>
        <w:rPr>
          <w:rFonts w:ascii="Times New Roman" w:cs="Times New Roman" w:eastAsia="Times New Roman" w:hAnsi="Times New Roman"/>
          <w:sz w:val="14"/>
          <w:szCs w:val="14"/>
          <w:color w:val="auto"/>
        </w:rPr>
        <w:t>Under the Companies Act, the Company must convene such a meeting once it has received requests to do so from Company shareholders representing at least 5% of the paid up share capital of the Company carrying voting rights at general meetings (excluding any paid-up capital held as treasury shares).</w:t>
      </w:r>
    </w:p>
    <w:p>
      <w:pPr>
        <w:spacing w:after="0" w:line="124" w:lineRule="exact"/>
        <w:rPr>
          <w:sz w:val="20"/>
          <w:szCs w:val="20"/>
          <w:color w:val="auto"/>
        </w:rPr>
      </w:pPr>
    </w:p>
    <w:p>
      <w:pPr>
        <w:jc w:val="both"/>
        <w:spacing w:after="0" w:line="413" w:lineRule="auto"/>
        <w:rPr>
          <w:sz w:val="20"/>
          <w:szCs w:val="20"/>
          <w:color w:val="auto"/>
        </w:rPr>
      </w:pPr>
      <w:r>
        <w:rPr>
          <w:rFonts w:ascii="Times New Roman" w:cs="Times New Roman" w:eastAsia="Times New Roman" w:hAnsi="Times New Roman"/>
          <w:sz w:val="14"/>
          <w:szCs w:val="14"/>
          <w:color w:val="auto"/>
        </w:rPr>
        <w:t>Under the Articles, a general meeting may also be called if the company has fewer than two directors and the director (if any) is unable or unwilling to appoint sufficient directors to make up a quorum or to call a general meeting to do so. In such case, two or more Company shareholders may call a general meeting for the purpose of appointing one or more directors.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of interests in ordinary shares</w:t>
      </w:r>
    </w:p>
    <w:p>
      <w:pPr>
        <w:spacing w:after="0" w:line="255"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4"/>
          <w:szCs w:val="14"/>
          <w:color w:val="auto"/>
        </w:rPr>
        <w:t>Under the Companies Act, the Company may serve a notice requiring a person it knows, or has reasonable cause to believe, has an interest in any ordinary shares (or to have had an interest in the previous three years) to confirm or deny the fact, and, if the former, to disclose certain information about the interest, including information about any other person with an interest in the ordinary shares. If a shareholder fails to comply with such a notice within such reasonable period of time as may be set out in the notice, the shareholder shall not be entitled to attend or vote either personally or by proxy at a general meeting, and, where the shares to which such failure to comply represent at least 0.25 per cent in nominal value of the issued shares of their class, in respect of such shares, no dividends shall be paid, and no transfers of such shares shall be registered save in certain circumstances.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Return of Capital and Winding Up</w:t>
      </w:r>
    </w:p>
    <w:p>
      <w:pPr>
        <w:spacing w:after="0" w:line="255"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On a return of capital on a liquidation, reduction of capital or otherwise, the surplus assets of the Company available for distribution among the holders of the ordinary shares shall be applied in the same order of priority as applies in respect of dividends (i.e., on a pro rata basis based on the number of ordinary shares held by each holder, with all ordinary shares ranking equally amongst themselves for such purpose).</w:t>
      </w:r>
    </w:p>
    <w:p>
      <w:pPr>
        <w:spacing w:after="0" w:line="148"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14"/>
          <w:szCs w:val="14"/>
          <w:color w:val="auto"/>
        </w:rPr>
        <w:t>In the event of a voluntary winding up of the Company, the liquidator may, with the sanction of a special resolution of the Company and any other sanction required by law, subject to the Companies Act, divide among the Company shareholders the whole or any part of the assets of the Company, whether they consist of property of the same kind or not, and the liquidator may, for that purpose, value any assets as the liquidator deems fair and determine how the division shall be carried out as between the shareholders or different classes of shareholders, and may vest the whole or any part of the assets in trustees upon such trusts for the benefit of the Company shareholders as the liquidator, with the like sanction, may determine. No Company shareholder shall be compelled to accept any assets upon which there is a liability.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Authority to Allot New Shares and Pre-Emption Rights</w:t>
      </w:r>
    </w:p>
    <w:p>
      <w:pPr>
        <w:spacing w:after="0" w:line="255"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Under the Companies Act, the Board may only allot shares in the Company or grant rights to subscribe for, or to convert any security into, shares in the Company if it is authorized to do so by the Articles or by ordinary shareholder resolution. There are certain exceptions under the Companies Act, including for shares allotted pursuant to an employees’ share scheme (as such term is defined in the Companies Act).</w:t>
      </w:r>
    </w:p>
    <w:p>
      <w:pPr>
        <w:spacing w:after="0" w:line="137" w:lineRule="exact"/>
        <w:rPr>
          <w:sz w:val="20"/>
          <w:szCs w:val="20"/>
          <w:color w:val="auto"/>
        </w:rPr>
      </w:pPr>
    </w:p>
    <w:p>
      <w:pPr>
        <w:jc w:val="both"/>
        <w:spacing w:after="0" w:line="413" w:lineRule="auto"/>
        <w:rPr>
          <w:sz w:val="20"/>
          <w:szCs w:val="20"/>
          <w:color w:val="auto"/>
        </w:rPr>
      </w:pPr>
      <w:r>
        <w:rPr>
          <w:rFonts w:ascii="Times New Roman" w:cs="Times New Roman" w:eastAsia="Times New Roman" w:hAnsi="Times New Roman"/>
          <w:sz w:val="14"/>
          <w:szCs w:val="14"/>
          <w:color w:val="auto"/>
        </w:rPr>
        <w:t>At the annual general meeting of shareholders held on June 11, 2024 (the “2024 AGM”), the Company’s shareholders passed an ordinary resolution granting the Board authority to allot new shares and to grant rights to subscribe for, or to convert any</w:t>
      </w:r>
    </w:p>
    <w:p>
      <w:pPr>
        <w:sectPr>
          <w:pgSz w:w="11900" w:h="16838" w:orient="portrait"/>
          <w:cols w:equalWidth="0" w:num="1">
            <w:col w:w="11280"/>
          </w:cols>
          <w:pgMar w:left="300" w:top="772" w:right="319" w:bottom="1440" w:gutter="0" w:footer="0" w:header="0"/>
        </w:sectPr>
      </w:pPr>
    </w:p>
    <w:bookmarkStart w:id="107" w:name="page108"/>
    <w:bookmarkEnd w:id="107"/>
    <w:p>
      <w:pPr>
        <w:jc w:val="both"/>
        <w:spacing w:after="0" w:line="376" w:lineRule="auto"/>
        <w:rPr>
          <w:sz w:val="20"/>
          <w:szCs w:val="20"/>
          <w:color w:val="auto"/>
        </w:rPr>
      </w:pPr>
      <w:r>
        <w:rPr>
          <w:rFonts w:ascii="Times New Roman" w:cs="Times New Roman" w:eastAsia="Times New Roman" w:hAnsi="Times New Roman"/>
          <w:sz w:val="14"/>
          <w:szCs w:val="14"/>
          <w:color w:val="auto"/>
        </w:rPr>
        <w:t>security into, shares, up to an aggregate nominal value of £10,830,212, which is equivalent to approximately 20% of the Company’s total issued ordinary share capital (excluding treasury shares) as at April 15, 2024. This authority (unless previously revoked, varied or renewed by the Company) will expire at the end of the next annual general meeting of the Company or, if earlier, the close of business on the date that is fifteen (15) months after the 2024 AGM,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w:t>
      </w:r>
    </w:p>
    <w:p>
      <w:pPr>
        <w:spacing w:after="0" w:line="139"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14"/>
          <w:szCs w:val="14"/>
          <w:color w:val="auto"/>
        </w:rPr>
        <w:t>Under the Companies Act, the allotment of equity securities that are to be paid for wholly in cash must be offered first to the existing holders of equity securities in proportion to the respective nominal amounts (i.e., par values) of their holdings on the same or more favorable terms, unless a special resolution to the contrary has been passed or the Articles otherwise provide an exclusion of these pre-emption rights. In this context, equity securities generally means shares other than shares which, with respect to dividends or capital, carry a right to participate only up to a specified amount in a distribution, which, in relation to the Company, will include the ordinary shares, and all rights to subscribe for or to convert securities into such ordinary shares. There are certain exceptions under the Companies Act, including for equity securities allotted pursuant to an employees’ share scheme (as such term is defined in the Companies Act) and for equity securities wholly or partly paid up otherwise than in cash.</w:t>
      </w:r>
    </w:p>
    <w:p>
      <w:pPr>
        <w:spacing w:after="0" w:line="143" w:lineRule="exact"/>
        <w:rPr>
          <w:sz w:val="20"/>
          <w:szCs w:val="20"/>
          <w:color w:val="auto"/>
        </w:rPr>
      </w:pPr>
    </w:p>
    <w:p>
      <w:pPr>
        <w:ind w:right="20"/>
        <w:spacing w:after="0" w:line="373" w:lineRule="auto"/>
        <w:rPr>
          <w:sz w:val="20"/>
          <w:szCs w:val="20"/>
          <w:color w:val="auto"/>
        </w:rPr>
      </w:pPr>
      <w:r>
        <w:rPr>
          <w:rFonts w:ascii="Times New Roman" w:cs="Times New Roman" w:eastAsia="Times New Roman" w:hAnsi="Times New Roman"/>
          <w:sz w:val="14"/>
          <w:szCs w:val="14"/>
          <w:color w:val="auto"/>
        </w:rPr>
        <w:t>At the 2024 AGM, the Company’s shareholders passed a special resolution to give the Board the power to allot new equity securities for cash or to sell treasury shares held by the Company for cash, in each case without first offering them to shareholders in proportion to their existing holdings up to an aggregate nominal amount of £10,830,212, which is equal to approximately 20% of the Company’s issued ordinary share capital (excluding treasury shares) as at April 15, 2024. This power (unless previously revoked, varied or renewed by the Company) will expire at the end of the next annual general meeting of the Company or, if earlier, the close of business on the date that is fifteen (15) months after the 2024 AGM,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Alteration of Share Capital/Repurchase of Ordinary Shares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the Companies Act, and without prejudice to any relevant special rights attached to any class of shares, the Company may, from time to time, among other things:</w:t>
      </w:r>
    </w:p>
    <w:p>
      <w:pPr>
        <w:spacing w:after="0" w:line="263" w:lineRule="exact"/>
        <w:rPr>
          <w:sz w:val="20"/>
          <w:szCs w:val="20"/>
          <w:color w:val="auto"/>
        </w:rPr>
      </w:pPr>
    </w:p>
    <w:p>
      <w:pPr>
        <w:ind w:left="520" w:hanging="515"/>
        <w:spacing w:after="0" w:line="363"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its share capital by allotting and issuing new shares in accordance with the Articles and any relevant shareholder resolution (see "Authority to Allot New Shares and Pre-Emption Rights" above);</w:t>
      </w:r>
    </w:p>
    <w:p>
      <w:pPr>
        <w:spacing w:after="0" w:line="1" w:lineRule="exact"/>
        <w:rPr>
          <w:rFonts w:ascii="Times New Roman" w:cs="Times New Roman" w:eastAsia="Times New Roman" w:hAnsi="Times New Roman"/>
          <w:sz w:val="14"/>
          <w:szCs w:val="14"/>
          <w:color w:val="auto"/>
        </w:rPr>
      </w:pPr>
    </w:p>
    <w:p>
      <w:pPr>
        <w:ind w:left="520" w:hanging="515"/>
        <w:spacing w:after="0" w:line="363"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all or any of its share capital into shares of a larger nominal amount (i.e., par value) than the existing shares, subject to this being approved by its shareholders by means of an ordinary resolution;</w:t>
      </w:r>
    </w:p>
    <w:p>
      <w:pPr>
        <w:spacing w:after="0" w:line="1" w:lineRule="exact"/>
        <w:rPr>
          <w:rFonts w:ascii="Times New Roman" w:cs="Times New Roman" w:eastAsia="Times New Roman" w:hAnsi="Times New Roman"/>
          <w:sz w:val="14"/>
          <w:szCs w:val="14"/>
          <w:color w:val="auto"/>
        </w:rPr>
      </w:pPr>
    </w:p>
    <w:p>
      <w:pPr>
        <w:ind w:left="520" w:hanging="515"/>
        <w:spacing w:after="0" w:line="371"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subdivide any of its shares into shares of a smaller nominal amount (i.e., par value) than its existing shares, subject to this being approved by its shareholders by means of an ordinary resolution; or</w:t>
      </w:r>
    </w:p>
    <w:p>
      <w:pPr>
        <w:ind w:left="520" w:hanging="515"/>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redenominate its share capital or any class of share capital, subject to this being approved by its shareholders by means of an ordinary resolution.</w:t>
      </w:r>
    </w:p>
    <w:p>
      <w:pPr>
        <w:spacing w:after="0" w:line="83" w:lineRule="exact"/>
        <w:rPr>
          <w:sz w:val="20"/>
          <w:szCs w:val="20"/>
          <w:color w:val="auto"/>
        </w:rPr>
      </w:pPr>
    </w:p>
    <w:p>
      <w:pPr>
        <w:spacing w:after="0" w:line="398" w:lineRule="auto"/>
        <w:rPr>
          <w:sz w:val="20"/>
          <w:szCs w:val="20"/>
          <w:color w:val="auto"/>
        </w:rPr>
      </w:pPr>
      <w:r>
        <w:rPr>
          <w:rFonts w:ascii="Times New Roman" w:cs="Times New Roman" w:eastAsia="Times New Roman" w:hAnsi="Times New Roman"/>
          <w:sz w:val="14"/>
          <w:szCs w:val="14"/>
          <w:color w:val="auto"/>
        </w:rPr>
        <w:t>The Companies Act prohibits the Company from purchasing its own shares unless the terms of the contract pursuant to which the purchase(s) are to be made have been approved by its shareholders by means of an ordinary resolution.</w:t>
      </w:r>
    </w:p>
    <w:p>
      <w:pPr>
        <w:sectPr>
          <w:pgSz w:w="11900" w:h="16838" w:orient="portrait"/>
          <w:cols w:equalWidth="0" w:num="1">
            <w:col w:w="11280"/>
          </w:cols>
          <w:pgMar w:left="300" w:top="772"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color w:val="auto"/>
        </w:rPr>
        <w:t>Transfer of ordinary shares</w:t>
      </w:r>
    </w:p>
    <w:p>
      <w:pPr>
        <w:spacing w:after="0" w:line="255" w:lineRule="exact"/>
        <w:rPr>
          <w:sz w:val="20"/>
          <w:szCs w:val="20"/>
          <w:color w:val="auto"/>
        </w:rPr>
      </w:pPr>
    </w:p>
    <w:p>
      <w:pPr>
        <w:jc w:val="both"/>
        <w:spacing w:after="0" w:line="388" w:lineRule="auto"/>
        <w:rPr>
          <w:sz w:val="20"/>
          <w:szCs w:val="20"/>
          <w:color w:val="auto"/>
        </w:rPr>
      </w:pPr>
      <w:r>
        <w:rPr>
          <w:rFonts w:ascii="Times New Roman" w:cs="Times New Roman" w:eastAsia="Times New Roman" w:hAnsi="Times New Roman"/>
          <w:sz w:val="14"/>
          <w:szCs w:val="14"/>
          <w:color w:val="auto"/>
        </w:rPr>
        <w:t>The Articles allow holders of ordinary shares to transfer all or any of their shares by instrument of transfer in writing in any usual form or in any other form which is permitted by the Companies Act and is approved by the Company’s board. The instrument of transfer must be executed by or on behalf of the transferor and (in the case of a transfer of any ordinary shares which are not fully paid) by or on behalf of the transferee.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may not charge a fee for registering the transfer of a share.</w:t>
      </w:r>
    </w:p>
    <w:p>
      <w:pPr>
        <w:spacing w:after="0" w:line="253"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The Company’s board may, in its absolute discretion, refuse to register a transfer of shares in certificated form if it is not fully paid or is with respect to a share on which the Company has a lien and sums in respect of which the lien exists is payable and is not paid within 14 clear days after due notice has been sent. If the Company’s board refuses to register a transfer of a share, it shall send notice to the transferee of notice of the refusal together with reasons for the refusal and any instrument of transfer shall (except in the case of fraud) be returned when the notice of refusal is sent.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U.K. Tax Consequences of Holding Ordinary Shares for U.S. Holders</w:t>
      </w:r>
    </w:p>
    <w:p>
      <w:pPr>
        <w:spacing w:after="0" w:line="255"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14"/>
          <w:szCs w:val="14"/>
          <w:color w:val="auto"/>
        </w:rPr>
        <w:t>The following summarizes certain U.K. tax consequences generally applicable to ordinary shares and is based on current U.K. tax law and HM Revenue &amp; Customs (“HMRC”) published practice, both of which are subject to change. It does not purport to be a complete analysis of all U.K. tax considerations which may arise. It relates only to persons who (i) are absolute beneficial owners holding ordinary shares as a capital investment, (ii) are resident for tax purposes solely in the United States, and (iii) do not carry on (whether solely or in partnership) any trade, profession or vocation in the United Kingdom through a branch or agency to which those shares are attributable, or, in the case of corporate holders of ordinary shares, do not carry on a trade in the United Kingdom through a permanent establishment to which those shares are attributable (persons meeting each of the descriptions in (i), (ii) and (iii) being “US Holders”). It may not apply to certain categories of U.S Holders, such as those who acquired their ordinary shares in connection with employment.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Shareholders should consult their own tax advisors in respect of the tax consequences related to receipt, ownership, purchase or sale or other disposition of their ordinary shares.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U.S. Holders will not be subject to U.K. income tax or U.K. corporation tax on income in relation to any dividends received in respect of their ordinary shares. Additionally, no U.K. tax is required to be withheld from any dividends paid in respect of ordinary shares.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Disposition and Transfers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Holders will not be subject to U.K. tax on capital gains arising on the disposal of their ordinary shares.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Treaty relief</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If the U.K. tax treatment of dividends paid to U.S. Holders, or the U.K. taxation of capital gains realized by U.S. Holders from the disposal of ordinary shares, were to change, then eligible U.S. Holders may be able to claim relief from applicable U.K. tax</w:t>
      </w:r>
    </w:p>
    <w:p>
      <w:pPr>
        <w:sectPr>
          <w:pgSz w:w="11900" w:h="16838" w:orient="portrait"/>
          <w:cols w:equalWidth="0" w:num="1">
            <w:col w:w="11280"/>
          </w:cols>
          <w:pgMar w:left="300" w:top="770"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color w:val="auto"/>
        </w:rPr>
        <w:t>under the provisions of the tax treaty between the U.K. and the United States of America. Relief under the treaty generally has to be claimed rather than applying automatically.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Stamp duty and stamp duty reserve tax ("SDRT")</w:t>
      </w:r>
    </w:p>
    <w:p>
      <w:pPr>
        <w:spacing w:after="0" w:line="255" w:lineRule="exact"/>
        <w:rPr>
          <w:sz w:val="20"/>
          <w:szCs w:val="20"/>
          <w:color w:val="auto"/>
        </w:rPr>
      </w:pPr>
    </w:p>
    <w:p>
      <w:pPr>
        <w:jc w:val="both"/>
        <w:spacing w:after="0" w:line="388" w:lineRule="auto"/>
        <w:rPr>
          <w:sz w:val="20"/>
          <w:szCs w:val="20"/>
          <w:color w:val="auto"/>
        </w:rPr>
      </w:pPr>
      <w:r>
        <w:rPr>
          <w:rFonts w:ascii="Times New Roman" w:cs="Times New Roman" w:eastAsia="Times New Roman" w:hAnsi="Times New Roman"/>
          <w:sz w:val="14"/>
          <w:szCs w:val="14"/>
          <w:color w:val="auto"/>
        </w:rPr>
        <w:t>Transfers of ordinary shares within a clearance service or depositary receipt system should not give rise to a liability to U.K. stamp duty or SDRT, provided that no instrument of transfer is executed and no election that applies to ordinary shares is, or has been, made by the clearance service or depositary receipt system under Section 97A of the U.K. Finance Act 1986. We understand that HMRC regards the facilities of the Depositary Trust Company as a clearance service for these purposes.</w:t>
      </w:r>
    </w:p>
    <w:p>
      <w:pPr>
        <w:spacing w:after="0" w:line="132"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Transfers of ordinary shares within a clearance service or depositary receipt system where an election has been made by the clearance service or depositary receipt system under Section 97A of the U.K. Finance Act 1986 will generally be subject to SDRT (rather than U.K. stamp duty) at the rate of 0.5% of the amount or value of the consideration or, in certain circumstances, the value of the shares. SDRT is a liability of the transferee of the shares.</w:t>
      </w:r>
    </w:p>
    <w:p>
      <w:pPr>
        <w:spacing w:after="0" w:line="148"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4"/>
          <w:szCs w:val="14"/>
          <w:color w:val="auto"/>
        </w:rPr>
        <w:t>Transfers of ordinary shares that are held in certificated form by means of an instrument of transfer will generally be subject to U.K. stamp duty at the rate of 0.5% of the consideration given (rounded up to the nearest £5 per instrument), typically (although not necessarily) payable by the transferee. An exemption from U.K. stamp duty is available for a written instrument transferring an interest in ordinary shares where the amount or value of the consideration is £1,000 or less, and it is certified on the instrument that the transaction effected by the instrument does not form part of a larger transaction or series of transactions for which the aggregate consideration exceeds £1,000.</w:t>
      </w:r>
    </w:p>
    <w:p>
      <w:pPr>
        <w:spacing w:after="0" w:line="140"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SDRT may be payable on an agreement to transfer ordinary shares, generally at the rate of 0.5% of the consideration given in money or money’s worth under the agreement. Any SDRT paid would be refundable, and any unpaid charge to SDRT would be discharged, if an instrument of transfer is executed pursuant to the agreement which gave rise to the SDRT and U.K. stamp duty is duly paid on the instrument transferring the relevant ordinary shares within six years of the date on which the agreement was made or, if the agreement was conditional, the date on which the agreement became unconditional.</w:t>
      </w:r>
    </w:p>
    <w:p>
      <w:pPr>
        <w:spacing w:after="0" w:line="137"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In certain circumstances the stamp duty or SDRT liability may be calculated by reference to the market value of the ordinary shares concerned in the relevant transaction, rather than the consideration given for the transfer or agreement for transfer.</w:t>
      </w:r>
    </w:p>
    <w:p>
      <w:pPr>
        <w:spacing w:after="0" w:line="124"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If ordinary shares (or interests therein) are subsequently transferred into a clearance service or depositary receipt system, U.K. stamp duty or SDRT will generally be payable at the rate of 1.5% of the amount or value of the consideration given or, in certain circumstances, the value of the shares (save to the extent that an election has been made under Section 97A of the U.K. Finance Act 1986). This liability for U.K. stamp duty or SDRT will strictly be accountable for by the clearance service or depositary receipt system, as the case may be, but will, in practice, generally be reimbursed by participants in the clearance service or depositary receipt system.</w:t>
      </w:r>
    </w:p>
    <w:p>
      <w:pPr>
        <w:spacing w:after="0" w:line="137"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Transfers through CREST of CREST depositary interests (“CDIs”), representing underlying ordinary shares will be generally liable to SDRT, rather than U.K. stamp duty, at the 0.5% rate. CREST is obliged to collect SDRT on relevant transactions settled within the CREST system.</w:t>
      </w:r>
    </w:p>
    <w:p>
      <w:pPr>
        <w:sectPr>
          <w:pgSz w:w="11900" w:h="16838" w:orient="portrait"/>
          <w:cols w:equalWidth="0" w:num="1">
            <w:col w:w="11280"/>
          </w:cols>
          <w:pgMar w:left="300" w:top="772" w:right="319" w:bottom="1440" w:gutter="0" w:footer="0" w:header="0"/>
        </w:sectPr>
      </w:pPr>
    </w:p>
    <w:bookmarkStart w:id="110" w:name="page111"/>
    <w:bookmarkEnd w:id="110"/>
    <w:p>
      <w:pPr>
        <w:spacing w:after="0" w:line="398" w:lineRule="auto"/>
        <w:rPr>
          <w:sz w:val="20"/>
          <w:szCs w:val="20"/>
          <w:color w:val="auto"/>
        </w:rPr>
      </w:pPr>
      <w:r>
        <w:rPr>
          <w:rFonts w:ascii="Times New Roman" w:cs="Times New Roman" w:eastAsia="Times New Roman" w:hAnsi="Times New Roman"/>
          <w:sz w:val="14"/>
          <w:szCs w:val="14"/>
          <w:color w:val="auto"/>
        </w:rPr>
        <w:t>This discussion is for general information only and does not constitute tax or legal advice. In addition, US Holders should consult their own tax advisors regarding the U.S. tax consequences of the purchase, ownership and disposition of ordinary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Exchange Listing</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ordinary shares trade on Nasdaq under the symbol “LIVN”.</w:t>
      </w:r>
    </w:p>
    <w:p>
      <w:pPr>
        <w:sectPr>
          <w:pgSz w:w="11900" w:h="16838" w:orient="portrait"/>
          <w:cols w:equalWidth="0" w:num="1">
            <w:col w:w="11280"/>
          </w:cols>
          <w:pgMar w:left="300" w:top="772" w:right="319" w:bottom="1440"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3"/>
          <w:szCs w:val="13"/>
          <w:b w:val="1"/>
          <w:bCs w:val="1"/>
          <w:color w:val="auto"/>
        </w:rPr>
        <w:t>EXHIBIT 21.1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LIST OF SUBSIDIARIES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LivaNova PLC and Subsidiaries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December 31, 2024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2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Jurisdiction of Formation</w:t>
            </w:r>
          </w:p>
        </w:tc>
      </w:tr>
      <w:tr>
        <w:trPr>
          <w:trHeight w:val="158"/>
        </w:trPr>
        <w:tc>
          <w:tcPr>
            <w:tcW w:w="8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LivaNova Plc</w:t>
            </w:r>
          </w:p>
        </w:tc>
        <w:tc>
          <w:tcPr>
            <w:tcW w:w="120" w:type="dxa"/>
            <w:vAlign w:val="bottom"/>
          </w:tcPr>
          <w:p>
            <w:pPr>
              <w:spacing w:after="0"/>
              <w:rPr>
                <w:sz w:val="13"/>
                <w:szCs w:val="13"/>
                <w:color w:val="auto"/>
              </w:rPr>
            </w:pPr>
          </w:p>
        </w:tc>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Plc (Italian Branch)</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Caisson Interventional,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CardiacAssist, Inc. Dba TandemLife</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Cyberonics Holdings,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Cyberonics Netherlands CV</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Netherlands</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ALung Technologies,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ImThera Medical,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Australia PTY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Australia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Austria GmbH</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Austria</w:t>
            </w:r>
          </w:p>
        </w:tc>
      </w:tr>
      <w:tr>
        <w:trPr>
          <w:trHeight w:val="168"/>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Belgium N.V.</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Belgium</w:t>
            </w:r>
          </w:p>
        </w:tc>
      </w:tr>
      <w:tr>
        <w:trPr>
          <w:trHeight w:val="172"/>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LivaNova Brasil Comércio e Distribuição de Equipamentos Médico-hospitalares Ltda</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Brazil</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Canada,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Canada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Chile SpA</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Chile</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(China) Medical Technology Co. Ltd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China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Colombia Sas</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Colombia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Deutschland GmbH</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Germany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Espana, S.L.</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Spain</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Finland Oy</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Finland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Holding S.r.l.</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Hong Kong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Hong Kong</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Hungary Limited Liability Company</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Hungary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India Private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India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IP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Japan K.K.</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Japan</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Malaysia Sdn. Bhd.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Malaysia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Nederland N.V.</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Netherlands</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Norway AS</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Norway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Poland Sp. Z o.o.</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Poland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SAS</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France</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Scandinavia AB</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Sweeden</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Singapore Pte Ltd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Singapore</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Site Management S.r.l.</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Switzerland SA</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Switzerland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Taiwan Co. Ltd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Taiwan</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(Thailand) Ltd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Thailand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Turkey Medikal Limited Sirketi</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Turkey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UK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USA,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LIVN Irishco 2 UC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Ireland</w:t>
            </w:r>
          </w:p>
        </w:tc>
      </w:tr>
    </w:tbl>
    <w:p>
      <w:pPr>
        <w:sectPr>
          <w:pgSz w:w="11900" w:h="16838" w:orient="portrait"/>
          <w:cols w:equalWidth="0" w:num="1">
            <w:col w:w="11280"/>
          </w:cols>
          <w:pgMar w:left="300" w:top="1145" w:right="319" w:bottom="144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2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Jurisdiction of Formation</w:t>
            </w:r>
          </w:p>
        </w:tc>
      </w:tr>
      <w:tr>
        <w:trPr>
          <w:trHeight w:val="158"/>
        </w:trPr>
        <w:tc>
          <w:tcPr>
            <w:tcW w:w="8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LIVN UK Holdco Limited</w:t>
            </w:r>
          </w:p>
        </w:tc>
        <w:tc>
          <w:tcPr>
            <w:tcW w:w="120" w:type="dxa"/>
            <w:vAlign w:val="bottom"/>
          </w:tcPr>
          <w:p>
            <w:pPr>
              <w:spacing w:after="0"/>
              <w:rPr>
                <w:sz w:val="13"/>
                <w:szCs w:val="13"/>
                <w:color w:val="auto"/>
              </w:rPr>
            </w:pPr>
          </w:p>
        </w:tc>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LIVN UK 2 Co.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LIVN US 3,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LIVN US 5,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Sorin Group Italia S.r.l.</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Sorin Group Rus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Russia</w:t>
            </w:r>
          </w:p>
        </w:tc>
      </w:tr>
    </w:tbl>
    <w:p>
      <w:pPr>
        <w:sectPr>
          <w:pgSz w:w="11900" w:h="16838" w:orient="portrait"/>
          <w:cols w:equalWidth="0" w:num="1">
            <w:col w:w="11280"/>
          </w:cols>
          <w:pgMar w:left="300" w:top="1251" w:right="31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4"/>
          <w:szCs w:val="14"/>
          <w:color w:val="auto"/>
        </w:rPr>
        <w:t>Exhibit 23.1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327" w:lineRule="exact"/>
        <w:rPr>
          <w:sz w:val="20"/>
          <w:szCs w:val="20"/>
          <w:color w:val="auto"/>
        </w:rPr>
      </w:pPr>
    </w:p>
    <w:p>
      <w:pPr>
        <w:ind w:right="80"/>
        <w:spacing w:after="0" w:line="303"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S-8 (Nos. 333-228411, 333-207478, 333-265563, 333-273450 and 333-280160) of LivaNova PLC of our report dated February 25, 2025 relating to the financial statements and the effectiveness of internal control over financial reporting, which appears in this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2025</w:t>
      </w:r>
    </w:p>
    <w:p>
      <w:pPr>
        <w:sectPr>
          <w:pgSz w:w="11900" w:h="16838" w:orient="portrait"/>
          <w:cols w:equalWidth="0" w:num="1">
            <w:col w:w="11280"/>
          </w:cols>
          <w:pgMar w:left="300" w:top="814" w:right="31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6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Vladimir Makatsaria, certify that:</w:t>
      </w:r>
    </w:p>
    <w:p>
      <w:pPr>
        <w:spacing w:after="0" w:line="94" w:lineRule="exact"/>
        <w:rPr>
          <w:sz w:val="20"/>
          <w:szCs w:val="20"/>
          <w:color w:val="auto"/>
        </w:rPr>
      </w:pPr>
    </w:p>
    <w:p>
      <w:pPr>
        <w:ind w:left="440" w:hanging="180"/>
        <w:spacing w:after="0"/>
        <w:tabs>
          <w:tab w:leader="none" w:pos="4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December 31, 2024 of LivaNova PLC and its consolidated subsidiaries;</w:t>
      </w:r>
    </w:p>
    <w:p>
      <w:pPr>
        <w:spacing w:after="0" w:line="93" w:lineRule="exact"/>
        <w:rPr>
          <w:rFonts w:ascii="Times New Roman" w:cs="Times New Roman" w:eastAsia="Times New Roman" w:hAnsi="Times New Roman"/>
          <w:sz w:val="14"/>
          <w:szCs w:val="14"/>
          <w:color w:val="auto"/>
        </w:rPr>
      </w:pPr>
    </w:p>
    <w:p>
      <w:pPr>
        <w:ind w:firstLine="260"/>
        <w:spacing w:after="0" w:line="287" w:lineRule="auto"/>
        <w:tabs>
          <w:tab w:leader="none" w:pos="47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sz w:val="20"/>
          <w:szCs w:val="20"/>
          <w:color w:val="auto"/>
        </w:rPr>
      </w:pPr>
    </w:p>
    <w:p>
      <w:pPr>
        <w:ind w:firstLine="260"/>
        <w:spacing w:after="0" w:line="287" w:lineRule="auto"/>
        <w:tabs>
          <w:tab w:leader="none" w:pos="48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8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1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firstLine="260"/>
        <w:spacing w:after="0" w:line="287" w:lineRule="auto"/>
        <w:tabs>
          <w:tab w:leader="none" w:pos="47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firstLine="260"/>
        <w:spacing w:after="0" w:line="287" w:lineRule="auto"/>
        <w:tabs>
          <w:tab w:leader="none" w:pos="47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480" w:hanging="220"/>
        <w:spacing w:after="0"/>
        <w:tabs>
          <w:tab w:leader="none" w:pos="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Date: February 25, 2025</w:t>
      </w:r>
    </w:p>
    <w:p>
      <w:pPr>
        <w:spacing w:after="0" w:line="15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14605</wp:posOffset>
            </wp:positionV>
            <wp:extent cx="470281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6">
                      <a:extLst>
                        <a:ext uri="{28A0092B-C50C-407E-A947-70E740481C1C}"/>
                      </a:extLst>
                    </a:blip>
                    <a:srcRect/>
                    <a:stretch>
                      <a:fillRect/>
                    </a:stretch>
                  </pic:blipFill>
                  <pic:spPr bwMode="auto">
                    <a:xfrm>
                      <a:off x="0" y="0"/>
                      <a:ext cx="4702810" cy="6985"/>
                    </a:xfrm>
                    <a:prstGeom prst="rect">
                      <a:avLst/>
                    </a:prstGeom>
                    <a:noFill/>
                  </pic:spPr>
                </pic:pic>
              </a:graphicData>
            </a:graphic>
          </wp:anchor>
        </w:drawing>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Vladimir Makatsaria</w:t>
      </w:r>
    </w:p>
    <w:p>
      <w:pPr>
        <w:spacing w:after="0" w:line="2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770" w:right="31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Alex Shvartsburg, certify that:</w:t>
      </w:r>
    </w:p>
    <w:p>
      <w:pPr>
        <w:spacing w:after="0" w:line="94" w:lineRule="exact"/>
        <w:rPr>
          <w:sz w:val="20"/>
          <w:szCs w:val="20"/>
          <w:color w:val="auto"/>
        </w:rPr>
      </w:pPr>
    </w:p>
    <w:p>
      <w:pPr>
        <w:ind w:left="440" w:hanging="180"/>
        <w:spacing w:after="0"/>
        <w:tabs>
          <w:tab w:leader="none" w:pos="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December 31, 2024 of LivaNova PLC and its consolidated subsidiaries;</w:t>
      </w:r>
    </w:p>
    <w:p>
      <w:pPr>
        <w:spacing w:after="0" w:line="93" w:lineRule="exact"/>
        <w:rPr>
          <w:rFonts w:ascii="Times New Roman" w:cs="Times New Roman" w:eastAsia="Times New Roman" w:hAnsi="Times New Roman"/>
          <w:sz w:val="14"/>
          <w:szCs w:val="14"/>
          <w:color w:val="auto"/>
        </w:rPr>
      </w:pPr>
    </w:p>
    <w:p>
      <w:pPr>
        <w:ind w:firstLine="260"/>
        <w:spacing w:after="0" w:line="287" w:lineRule="auto"/>
        <w:tabs>
          <w:tab w:leader="none" w:pos="479"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sz w:val="20"/>
          <w:szCs w:val="20"/>
          <w:color w:val="auto"/>
        </w:rPr>
      </w:pPr>
    </w:p>
    <w:p>
      <w:pPr>
        <w:ind w:firstLine="260"/>
        <w:spacing w:after="0" w:line="287" w:lineRule="auto"/>
        <w:tabs>
          <w:tab w:leader="none" w:pos="48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2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8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1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firstLine="260"/>
        <w:spacing w:after="0" w:line="287" w:lineRule="auto"/>
        <w:tabs>
          <w:tab w:leader="none" w:pos="471"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firstLine="260"/>
        <w:spacing w:after="0" w:line="287" w:lineRule="auto"/>
        <w:tabs>
          <w:tab w:leader="none" w:pos="475"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480" w:hanging="220"/>
        <w:spacing w:after="0"/>
        <w:tabs>
          <w:tab w:leader="none" w:pos="4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Date: February 25, 2025</w:t>
      </w:r>
    </w:p>
    <w:p>
      <w:pPr>
        <w:spacing w:after="0" w:line="1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14605</wp:posOffset>
            </wp:positionV>
            <wp:extent cx="338201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7">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ectPr>
          <w:pgSz w:w="11900" w:h="16838" w:orient="portrait"/>
          <w:cols w:equalWidth="0" w:num="1">
            <w:col w:w="11280"/>
          </w:cols>
          <w:pgMar w:left="300" w:top="855" w:right="31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 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LIVANOVA PLC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Each of Vladimir Makatsaria, Chief Executive Officer of LivaNova PLC (the “Company”), and Alex Shvartsburg, Chief Financial Officer of the Company, each hereby certifies pursuant to 18</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U.S.C. Section 1350, as adopted pursuant to Section 906 of the Sarbanes-Oxley Act of 2002, that to the best of his knowledge:</w:t>
      </w:r>
    </w:p>
    <w:p>
      <w:pPr>
        <w:spacing w:after="0" w:line="200" w:lineRule="exact"/>
        <w:rPr>
          <w:sz w:val="20"/>
          <w:szCs w:val="20"/>
          <w:color w:val="auto"/>
        </w:rPr>
      </w:pPr>
    </w:p>
    <w:p>
      <w:pPr>
        <w:spacing w:after="0" w:line="244" w:lineRule="exact"/>
        <w:rPr>
          <w:sz w:val="20"/>
          <w:szCs w:val="20"/>
          <w:color w:val="auto"/>
        </w:rPr>
      </w:pPr>
    </w:p>
    <w:p>
      <w:pPr>
        <w:ind w:firstLine="514"/>
        <w:spacing w:after="0" w:line="413" w:lineRule="auto"/>
        <w:tabs>
          <w:tab w:leader="none" w:pos="743"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on Form 10-K of the Company and its consolidated subsidiaries for the year ended December 31, 2024, as filed with the Securities and Exchange Commission on the date hereof (the “Report”) fully complies with the requirements of Section 13(a) or 15(d) of the Securities Exchange Act of 1934, as amended; and</w:t>
      </w:r>
    </w:p>
    <w:p>
      <w:pPr>
        <w:spacing w:after="0" w:line="305" w:lineRule="exact"/>
        <w:rPr>
          <w:rFonts w:ascii="Times New Roman" w:cs="Times New Roman" w:eastAsia="Times New Roman" w:hAnsi="Times New Roman"/>
          <w:sz w:val="14"/>
          <w:szCs w:val="14"/>
          <w:color w:val="auto"/>
        </w:rPr>
      </w:pPr>
    </w:p>
    <w:p>
      <w:pPr>
        <w:ind w:left="740" w:hanging="226"/>
        <w:spacing w:after="0"/>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Date: February 25, 2025</w:t>
      </w: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14605</wp:posOffset>
            </wp:positionV>
            <wp:extent cx="389572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8">
                      <a:extLst>
                        <a:ext uri="{28A0092B-C50C-407E-A947-70E740481C1C}"/>
                      </a:extLst>
                    </a:blip>
                    <a:srcRect/>
                    <a:stretch>
                      <a:fillRect/>
                    </a:stretch>
                  </pic:blipFill>
                  <pic:spPr bwMode="auto">
                    <a:xfrm>
                      <a:off x="0" y="0"/>
                      <a:ext cx="3895725" cy="6985"/>
                    </a:xfrm>
                    <a:prstGeom prst="rect">
                      <a:avLst/>
                    </a:prstGeom>
                    <a:noFill/>
                  </pic:spPr>
                </pic:pic>
              </a:graphicData>
            </a:graphic>
          </wp:anchor>
        </w:drawing>
      </w:r>
    </w:p>
    <w:p>
      <w:pPr>
        <w:spacing w:after="0" w:line="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Vladimir Makatsaria</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14605</wp:posOffset>
            </wp:positionV>
            <wp:extent cx="389572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9">
                      <a:extLst>
                        <a:ext uri="{28A0092B-C50C-407E-A947-70E740481C1C}"/>
                      </a:extLst>
                    </a:blip>
                    <a:srcRect/>
                    <a:stretch>
                      <a:fillRect/>
                    </a:stretch>
                  </pic:blipFill>
                  <pic:spPr bwMode="auto">
                    <a:xfrm>
                      <a:off x="0" y="0"/>
                      <a:ext cx="3895725" cy="6985"/>
                    </a:xfrm>
                    <a:prstGeom prst="rect">
                      <a:avLst/>
                    </a:prstGeom>
                    <a:noFill/>
                  </pic:spPr>
                </pic:pic>
              </a:graphicData>
            </a:graphic>
          </wp:anchor>
        </w:drawing>
      </w:r>
    </w:p>
    <w:p>
      <w:pPr>
        <w:spacing w:after="0" w:line="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a part of this report or on a separate disclosure document.</w:t>
      </w:r>
    </w:p>
    <w:p>
      <w:pPr>
        <w:sectPr>
          <w:pgSz w:w="11900" w:h="16838" w:orient="portrait"/>
          <w:cols w:equalWidth="0" w:num="1">
            <w:col w:w="11280"/>
          </w:cols>
          <w:pgMar w:left="300" w:top="770" w:right="319" w:bottom="1440"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lvl w:ilvl="1">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4"/>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2"/>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4"/>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decimal"/>
      <w:start w:val="5"/>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decimal"/>
      <w:start w:val="5"/>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82" Type="http://schemas.openxmlformats.org/officeDocument/2006/relationships/image" Target="media/image62.png"/><Relationship Id="rId85" Type="http://schemas.openxmlformats.org/officeDocument/2006/relationships/image" Target="media/image63.png"/><Relationship Id="rId88" Type="http://schemas.openxmlformats.org/officeDocument/2006/relationships/image" Target="media/image64.png"/><Relationship Id="rId91" Type="http://schemas.openxmlformats.org/officeDocument/2006/relationships/image" Target="media/image65.png"/><Relationship Id="rId94" Type="http://schemas.openxmlformats.org/officeDocument/2006/relationships/image" Target="media/image66.png"/><Relationship Id="rId97" Type="http://schemas.openxmlformats.org/officeDocument/2006/relationships/image" Target="media/image67.png"/><Relationship Id="rId100" Type="http://schemas.openxmlformats.org/officeDocument/2006/relationships/image" Target="media/image68.png"/><Relationship Id="rId103" Type="http://schemas.openxmlformats.org/officeDocument/2006/relationships/image" Target="media/image69.png"/><Relationship Id="rId106" Type="http://schemas.openxmlformats.org/officeDocument/2006/relationships/image" Target="media/image70.png"/><Relationship Id="rId108" Type="http://schemas.openxmlformats.org/officeDocument/2006/relationships/image" Target="media/image71.png"/><Relationship Id="rId109" Type="http://schemas.openxmlformats.org/officeDocument/2006/relationships/image" Target="media/image72.png"/><Relationship Id="rId113" Type="http://schemas.openxmlformats.org/officeDocument/2006/relationships/image" Target="media/image73.png"/><Relationship Id="rId116" Type="http://schemas.openxmlformats.org/officeDocument/2006/relationships/image" Target="media/image74.png"/><Relationship Id="rId119" Type="http://schemas.openxmlformats.org/officeDocument/2006/relationships/image" Target="media/image75.png"/><Relationship Id="rId122" Type="http://schemas.openxmlformats.org/officeDocument/2006/relationships/image" Target="media/image76.png"/><Relationship Id="rId125" Type="http://schemas.openxmlformats.org/officeDocument/2006/relationships/image" Target="media/image77.png"/><Relationship Id="rId128" Type="http://schemas.openxmlformats.org/officeDocument/2006/relationships/image" Target="media/image78.png"/><Relationship Id="rId131" Type="http://schemas.openxmlformats.org/officeDocument/2006/relationships/image" Target="media/image79.png"/><Relationship Id="rId134" Type="http://schemas.openxmlformats.org/officeDocument/2006/relationships/image" Target="media/image80.png"/><Relationship Id="rId137" Type="http://schemas.openxmlformats.org/officeDocument/2006/relationships/image" Target="media/image81.png"/><Relationship Id="rId138" Type="http://schemas.openxmlformats.org/officeDocument/2006/relationships/image" Target="media/image82.png"/><Relationship Id="rId139" Type="http://schemas.openxmlformats.org/officeDocument/2006/relationships/image" Target="media/image83.png"/><Relationship Id="rId140" Type="http://schemas.openxmlformats.org/officeDocument/2006/relationships/image" Target="media/image84.png"/><Relationship Id="rId141" Type="http://schemas.openxmlformats.org/officeDocument/2006/relationships/image" Target="media/image85.png"/><Relationship Id="rId142" Type="http://schemas.openxmlformats.org/officeDocument/2006/relationships/image" Target="media/image86.png"/><Relationship Id="rId143" Type="http://schemas.openxmlformats.org/officeDocument/2006/relationships/image" Target="media/image87.png"/><Relationship Id="rId144" Type="http://schemas.openxmlformats.org/officeDocument/2006/relationships/image" Target="media/image88.png"/><Relationship Id="rId145" Type="http://schemas.openxmlformats.org/officeDocument/2006/relationships/image" Target="media/image89.png"/><Relationship Id="rId146" Type="http://schemas.openxmlformats.org/officeDocument/2006/relationships/image" Target="media/image90.png"/><Relationship Id="rId147" Type="http://schemas.openxmlformats.org/officeDocument/2006/relationships/image" Target="media/image91.png"/><Relationship Id="rId148" Type="http://schemas.openxmlformats.org/officeDocument/2006/relationships/image" Target="media/image92.png"/><Relationship Id="rId149" Type="http://schemas.openxmlformats.org/officeDocument/2006/relationships/image" Target="media/image93.png"/><Relationship Id="rId150" Type="http://schemas.openxmlformats.org/officeDocument/2006/relationships/image" Target="media/image94.png"/><Relationship Id="rId151" Type="http://schemas.openxmlformats.org/officeDocument/2006/relationships/image" Target="media/image95.png"/><Relationship Id="rId152" Type="http://schemas.openxmlformats.org/officeDocument/2006/relationships/image" Target="media/image96.png"/><Relationship Id="rId153" Type="http://schemas.openxmlformats.org/officeDocument/2006/relationships/image" Target="media/image97.png"/><Relationship Id="rId154" Type="http://schemas.openxmlformats.org/officeDocument/2006/relationships/image" Target="media/image98.png"/><Relationship Id="rId155" Type="http://schemas.openxmlformats.org/officeDocument/2006/relationships/image" Target="media/image99.png"/><Relationship Id="rId156" Type="http://schemas.openxmlformats.org/officeDocument/2006/relationships/image" Target="media/image100.png"/><Relationship Id="rId157" Type="http://schemas.openxmlformats.org/officeDocument/2006/relationships/image" Target="media/image101.png"/><Relationship Id="rId158" Type="http://schemas.openxmlformats.org/officeDocument/2006/relationships/image" Target="media/image102.png"/><Relationship Id="rId159" Type="http://schemas.openxmlformats.org/officeDocument/2006/relationships/image" Target="media/image103.png"/><Relationship Id="rId160" Type="http://schemas.openxmlformats.org/officeDocument/2006/relationships/image" Target="media/image104.png"/><Relationship Id="rId161" Type="http://schemas.openxmlformats.org/officeDocument/2006/relationships/image" Target="media/image105.png"/><Relationship Id="rId162" Type="http://schemas.openxmlformats.org/officeDocument/2006/relationships/image" Target="media/image106.png"/><Relationship Id="rId163" Type="http://schemas.openxmlformats.org/officeDocument/2006/relationships/image" Target="media/image107.png"/><Relationship Id="rId164" Type="http://schemas.openxmlformats.org/officeDocument/2006/relationships/image" Target="media/image108.png"/><Relationship Id="rId165" Type="http://schemas.openxmlformats.org/officeDocument/2006/relationships/image" Target="media/image109.png"/><Relationship Id="rId166" Type="http://schemas.openxmlformats.org/officeDocument/2006/relationships/image" Target="media/image110.png"/><Relationship Id="rId167" Type="http://schemas.openxmlformats.org/officeDocument/2006/relationships/image" Target="media/image111.png"/><Relationship Id="rId168" Type="http://schemas.openxmlformats.org/officeDocument/2006/relationships/image" Target="media/image112.png"/><Relationship Id="rId169" Type="http://schemas.openxmlformats.org/officeDocument/2006/relationships/image" Target="media/image113.png"/><Relationship Id="rId170" Type="http://schemas.openxmlformats.org/officeDocument/2006/relationships/image" Target="media/image114.png"/><Relationship Id="rId171" Type="http://schemas.openxmlformats.org/officeDocument/2006/relationships/image" Target="media/image115.png"/><Relationship Id="rId172" Type="http://schemas.openxmlformats.org/officeDocument/2006/relationships/image" Target="media/image116.png"/><Relationship Id="rId173" Type="http://schemas.openxmlformats.org/officeDocument/2006/relationships/image" Target="media/image117.png"/><Relationship Id="rId174" Type="http://schemas.openxmlformats.org/officeDocument/2006/relationships/image" Target="media/image118.png"/><Relationship Id="rId175" Type="http://schemas.openxmlformats.org/officeDocument/2006/relationships/image" Target="media/image119.png"/><Relationship Id="rId176" Type="http://schemas.openxmlformats.org/officeDocument/2006/relationships/image" Target="media/image120.png"/><Relationship Id="rId177" Type="http://schemas.openxmlformats.org/officeDocument/2006/relationships/image" Target="media/image121.png"/><Relationship Id="rId178" Type="http://schemas.openxmlformats.org/officeDocument/2006/relationships/image" Target="media/image122.png"/><Relationship Id="rId179" Type="http://schemas.openxmlformats.org/officeDocument/2006/relationships/image" Target="media/image123.png"/><Relationship Id="rId180" Type="http://schemas.openxmlformats.org/officeDocument/2006/relationships/image" Target="media/image124.png"/><Relationship Id="rId181" Type="http://schemas.openxmlformats.org/officeDocument/2006/relationships/image" Target="media/image125.png"/><Relationship Id="rId182" Type="http://schemas.openxmlformats.org/officeDocument/2006/relationships/image" Target="media/image126.png"/><Relationship Id="rId183" Type="http://schemas.openxmlformats.org/officeDocument/2006/relationships/image" Target="media/image127.png"/><Relationship Id="rId184" Type="http://schemas.openxmlformats.org/officeDocument/2006/relationships/image" Target="media/image128.png"/><Relationship Id="rId185" Type="http://schemas.openxmlformats.org/officeDocument/2006/relationships/image" Target="media/image129.png"/><Relationship Id="rId186" Type="http://schemas.openxmlformats.org/officeDocument/2006/relationships/image" Target="media/image130.png"/><Relationship Id="rId187" Type="http://schemas.openxmlformats.org/officeDocument/2006/relationships/image" Target="media/image131.png"/><Relationship Id="rId188" Type="http://schemas.openxmlformats.org/officeDocument/2006/relationships/image" Target="media/image132.png"/><Relationship Id="rId189" Type="http://schemas.openxmlformats.org/officeDocument/2006/relationships/image" Target="media/image133.png"/><Relationship Id="rId190" Type="http://schemas.openxmlformats.org/officeDocument/2006/relationships/image" Target="media/image134.png"/><Relationship Id="rId191" Type="http://schemas.openxmlformats.org/officeDocument/2006/relationships/image" Target="media/image135.png"/><Relationship Id="rId192" Type="http://schemas.openxmlformats.org/officeDocument/2006/relationships/image" Target="media/image136.png"/><Relationship Id="rId193" Type="http://schemas.openxmlformats.org/officeDocument/2006/relationships/image" Target="media/image137.png"/><Relationship Id="rId194" Type="http://schemas.openxmlformats.org/officeDocument/2006/relationships/image" Target="media/image138.png"/><Relationship Id="rId195" Type="http://schemas.openxmlformats.org/officeDocument/2006/relationships/image" Target="media/image139.png"/><Relationship Id="rId196" Type="http://schemas.openxmlformats.org/officeDocument/2006/relationships/image" Target="media/image140.png"/><Relationship Id="rId197" Type="http://schemas.openxmlformats.org/officeDocument/2006/relationships/image" Target="media/image141.png"/><Relationship Id="rId198" Type="http://schemas.openxmlformats.org/officeDocument/2006/relationships/image" Target="media/image142.png"/><Relationship Id="rId199" Type="http://schemas.openxmlformats.org/officeDocument/2006/relationships/image" Target="media/image143.png"/><Relationship Id="rId200" Type="http://schemas.openxmlformats.org/officeDocument/2006/relationships/image" Target="media/image144.png"/><Relationship Id="rId201" Type="http://schemas.openxmlformats.org/officeDocument/2006/relationships/image" Target="media/image145.png"/><Relationship Id="rId202" Type="http://schemas.openxmlformats.org/officeDocument/2006/relationships/image" Target="media/image146.png"/><Relationship Id="rId203" Type="http://schemas.openxmlformats.org/officeDocument/2006/relationships/image" Target="media/image147.png"/><Relationship Id="rId204" Type="http://schemas.openxmlformats.org/officeDocument/2006/relationships/image" Target="media/image148.png"/><Relationship Id="rId205" Type="http://schemas.openxmlformats.org/officeDocument/2006/relationships/image" Target="media/image149.png"/><Relationship Id="rId206" Type="http://schemas.openxmlformats.org/officeDocument/2006/relationships/image" Target="media/image150.png"/><Relationship Id="rId207" Type="http://schemas.openxmlformats.org/officeDocument/2006/relationships/image" Target="media/image151.png"/><Relationship Id="rId208" Type="http://schemas.openxmlformats.org/officeDocument/2006/relationships/image" Target="media/image152.png"/><Relationship Id="rId209" Type="http://schemas.openxmlformats.org/officeDocument/2006/relationships/image" Target="media/image153.png"/><Relationship Id="rId210" Type="http://schemas.openxmlformats.org/officeDocument/2006/relationships/image" Target="media/image154.png"/><Relationship Id="rId211" Type="http://schemas.openxmlformats.org/officeDocument/2006/relationships/image" Target="media/image155.png"/><Relationship Id="rId212" Type="http://schemas.openxmlformats.org/officeDocument/2006/relationships/image" Target="media/image156.png"/><Relationship Id="rId213" Type="http://schemas.openxmlformats.org/officeDocument/2006/relationships/image" Target="media/image157.png"/><Relationship Id="rId214" Type="http://schemas.openxmlformats.org/officeDocument/2006/relationships/image" Target="media/image158.png"/><Relationship Id="rId215" Type="http://schemas.openxmlformats.org/officeDocument/2006/relationships/image" Target="media/image159.png"/><Relationship Id="rId216" Type="http://schemas.openxmlformats.org/officeDocument/2006/relationships/image" Target="media/image160.png"/><Relationship Id="rId217" Type="http://schemas.openxmlformats.org/officeDocument/2006/relationships/image" Target="media/image161.png"/><Relationship Id="rId218" Type="http://schemas.openxmlformats.org/officeDocument/2006/relationships/image" Target="media/image162.png"/><Relationship Id="rId219" Type="http://schemas.openxmlformats.org/officeDocument/2006/relationships/image" Target="media/image163.png"/><Relationship Id="rId220" Type="http://schemas.openxmlformats.org/officeDocument/2006/relationships/image" Target="media/image164.png"/><Relationship Id="rId221" Type="http://schemas.openxmlformats.org/officeDocument/2006/relationships/image" Target="media/image165.png"/><Relationship Id="rId222" Type="http://schemas.openxmlformats.org/officeDocument/2006/relationships/image" Target="media/image166.png"/><Relationship Id="rId223" Type="http://schemas.openxmlformats.org/officeDocument/2006/relationships/image" Target="media/image167.png"/><Relationship Id="rId224" Type="http://schemas.openxmlformats.org/officeDocument/2006/relationships/image" Target="media/image168.png"/><Relationship Id="rId225" Type="http://schemas.openxmlformats.org/officeDocument/2006/relationships/image" Target="media/image169.png"/><Relationship Id="rId226" Type="http://schemas.openxmlformats.org/officeDocument/2006/relationships/image" Target="media/image170.png"/><Relationship Id="rId227" Type="http://schemas.openxmlformats.org/officeDocument/2006/relationships/image" Target="media/image171.png"/><Relationship Id="rId228" Type="http://schemas.openxmlformats.org/officeDocument/2006/relationships/image" Target="media/image172.png"/><Relationship Id="rId229" Type="http://schemas.openxmlformats.org/officeDocument/2006/relationships/image" Target="media/image173.png"/><Relationship Id="rId230" Type="http://schemas.openxmlformats.org/officeDocument/2006/relationships/image" Target="media/image174.png"/><Relationship Id="rId231" Type="http://schemas.openxmlformats.org/officeDocument/2006/relationships/image" Target="media/image175.png"/><Relationship Id="rId232" Type="http://schemas.openxmlformats.org/officeDocument/2006/relationships/image" Target="media/image176.png"/><Relationship Id="rId233" Type="http://schemas.openxmlformats.org/officeDocument/2006/relationships/image" Target="media/image177.png"/><Relationship Id="rId234" Type="http://schemas.openxmlformats.org/officeDocument/2006/relationships/image" Target="media/image178.png"/><Relationship Id="rId235" Type="http://schemas.openxmlformats.org/officeDocument/2006/relationships/image" Target="media/image179.png"/><Relationship Id="rId236" Type="http://schemas.openxmlformats.org/officeDocument/2006/relationships/image" Target="media/image180.png"/><Relationship Id="rId237" Type="http://schemas.openxmlformats.org/officeDocument/2006/relationships/image" Target="media/image181.png"/><Relationship Id="rId238" Type="http://schemas.openxmlformats.org/officeDocument/2006/relationships/image" Target="media/image182.png"/><Relationship Id="rId239" Type="http://schemas.openxmlformats.org/officeDocument/2006/relationships/image" Target="media/image183.png"/><Relationship Id="rId240" Type="http://schemas.openxmlformats.org/officeDocument/2006/relationships/image" Target="media/image184.png"/><Relationship Id="rId241" Type="http://schemas.openxmlformats.org/officeDocument/2006/relationships/image" Target="media/image185.png"/><Relationship Id="rId242" Type="http://schemas.openxmlformats.org/officeDocument/2006/relationships/image" Target="media/image186.png"/><Relationship Id="rId243" Type="http://schemas.openxmlformats.org/officeDocument/2006/relationships/image" Target="media/image187.png"/><Relationship Id="rId244" Type="http://schemas.openxmlformats.org/officeDocument/2006/relationships/image" Target="media/image188.png"/><Relationship Id="rId245" Type="http://schemas.openxmlformats.org/officeDocument/2006/relationships/image" Target="media/image189.png"/><Relationship Id="rId246" Type="http://schemas.openxmlformats.org/officeDocument/2006/relationships/image" Target="media/image190.png"/><Relationship Id="rId247" Type="http://schemas.openxmlformats.org/officeDocument/2006/relationships/image" Target="media/image191.png"/><Relationship Id="rId248" Type="http://schemas.openxmlformats.org/officeDocument/2006/relationships/image" Target="media/image192.png"/><Relationship Id="rId249" Type="http://schemas.openxmlformats.org/officeDocument/2006/relationships/image" Target="media/image193.png"/><Relationship Id="rId250" Type="http://schemas.openxmlformats.org/officeDocument/2006/relationships/image" Target="media/image194.png"/><Relationship Id="rId251" Type="http://schemas.openxmlformats.org/officeDocument/2006/relationships/image" Target="media/image195.png"/><Relationship Id="rId252" Type="http://schemas.openxmlformats.org/officeDocument/2006/relationships/image" Target="media/image196.png"/><Relationship Id="rId253" Type="http://schemas.openxmlformats.org/officeDocument/2006/relationships/image" Target="media/image197.png"/><Relationship Id="rId254" Type="http://schemas.openxmlformats.org/officeDocument/2006/relationships/image" Target="media/image198.png"/><Relationship Id="rId255" Type="http://schemas.openxmlformats.org/officeDocument/2006/relationships/image" Target="media/image199.png"/><Relationship Id="rId256" Type="http://schemas.openxmlformats.org/officeDocument/2006/relationships/image" Target="media/image200.png"/><Relationship Id="rId257" Type="http://schemas.openxmlformats.org/officeDocument/2006/relationships/image" Target="media/image201.png"/><Relationship Id="rId258" Type="http://schemas.openxmlformats.org/officeDocument/2006/relationships/image" Target="media/image202.png"/><Relationship Id="rId259" Type="http://schemas.openxmlformats.org/officeDocument/2006/relationships/image" Target="media/image203.png"/><Relationship Id="rId260" Type="http://schemas.openxmlformats.org/officeDocument/2006/relationships/image" Target="media/image204.png"/><Relationship Id="rId261" Type="http://schemas.openxmlformats.org/officeDocument/2006/relationships/image" Target="media/image205.png"/><Relationship Id="rId262" Type="http://schemas.openxmlformats.org/officeDocument/2006/relationships/image" Target="media/image206.png"/><Relationship Id="rId263" Type="http://schemas.openxmlformats.org/officeDocument/2006/relationships/image" Target="media/image207.png"/><Relationship Id="rId52" Type="http://schemas.openxmlformats.org/officeDocument/2006/relationships/hyperlink" Target="https://www.sec.gov/ix?doc=/Archives/edgar/data/1639691/000163969124000021/livn-20231231.htm" TargetMode="External"/><Relationship Id="rId67" Type="http://schemas.openxmlformats.org/officeDocument/2006/relationships/hyperlink" Target="https://www.sec.gov/Archives/edgar/data/1639691/000163969120000127/ex2-1saleandassetpurch.htm" TargetMode="External"/><Relationship Id="rId68" Type="http://schemas.openxmlformats.org/officeDocument/2006/relationships/hyperlink" Target="https://www.sec.gov/Archives/edgar/data/1639691/000163969121000035/ex2_1mitralholdcopurchasea.htm" TargetMode="External"/><Relationship Id="rId69" Type="http://schemas.openxmlformats.org/officeDocument/2006/relationships/hyperlink" Target="https://www.sec.gov/Archives/edgar/data/1639691/000163969120000098/livn-20200630xex31.htm" TargetMode="External"/><Relationship Id="rId70" Type="http://schemas.openxmlformats.org/officeDocument/2006/relationships/hyperlink" Target="https://www.sec.gov/Archives/edgar/data/1639691/000119312520171382/d861234dex41.htm" TargetMode="External"/><Relationship Id="rId71" Type="http://schemas.openxmlformats.org/officeDocument/2006/relationships/hyperlink" Target="https://www.sec.gov/Archives/edgar/data/1639691/000163969124000034/exhbit41-97987069v14xmon.htm" TargetMode="External"/><Relationship Id="rId72" Type="http://schemas.openxmlformats.org/officeDocument/2006/relationships/hyperlink" Target="https://www.sec.gov/Archives/edgar/data/1639691/000119312515347177/d51483dex103.htm" TargetMode="External"/><Relationship Id="rId73" Type="http://schemas.openxmlformats.org/officeDocument/2006/relationships/hyperlink" Target="https://www.sec.gov/Archives/edgar/data/1639691/000119312515347177/d51483dex104.htm" TargetMode="External"/><Relationship Id="rId74" Type="http://schemas.openxmlformats.org/officeDocument/2006/relationships/hyperlink" Target="https://www.sec.gov/Archives/edgar/data/1639691/000119312515347176/d58097dex101.htm" TargetMode="External"/><Relationship Id="rId75" Type="http://schemas.openxmlformats.org/officeDocument/2006/relationships/hyperlink" Target="https://www.sec.gov/Archives/edgar/data/1639691/000163969118000024/exhibit103_formof2018longt.htm" TargetMode="External"/><Relationship Id="rId79" Type="http://schemas.openxmlformats.org/officeDocument/2006/relationships/hyperlink" Target="https://www.sec.gov/Archives/edgar/data/1639691/000163969118000084/livn-20180630xex104.htm" TargetMode="External"/><Relationship Id="rId80" Type="http://schemas.openxmlformats.org/officeDocument/2006/relationships/hyperlink" Target="https://www.sec.gov/Archives/edgar/data/1639691/000163969119000052/ex10_3formof2019ltipsarawa.htm" TargetMode="External"/><Relationship Id="rId81" Type="http://schemas.openxmlformats.org/officeDocument/2006/relationships/hyperlink" Target="https://www.sec.gov/Archives/edgar/data/1639691/000163969119000120/livn-20190630xex101.htm" TargetMode="External"/><Relationship Id="rId83" Type="http://schemas.openxmlformats.org/officeDocument/2006/relationships/hyperlink" Target="https://www.sec.gov/Archives/edgar/data/1639691/000163969124000134/thsettlementagreement.htm" TargetMode="External"/><Relationship Id="rId84" Type="http://schemas.openxmlformats.org/officeDocument/2006/relationships/hyperlink" Target="https://www.sec.gov/Archives/edgar/data/1639691/000119312520171382/d861234dex101.htm" TargetMode="External"/><Relationship Id="rId86" Type="http://schemas.openxmlformats.org/officeDocument/2006/relationships/hyperlink" Target="https://www.sec.gov/Archives/edgar/data/1639691/000163969124000034/exhibt101-monetaxformofc.htm" TargetMode="External"/><Relationship Id="rId87" Type="http://schemas.openxmlformats.org/officeDocument/2006/relationships/hyperlink" Target="https://www.sec.gov/Archives/edgar/data/1639691/000163969120000098/livn-20200630xex1010.htm" TargetMode="External"/><Relationship Id="rId89" Type="http://schemas.openxmlformats.org/officeDocument/2006/relationships/hyperlink" Target="https://www.sec.gov/Archives/edgar/data/1639691/000163969120000098/livn-20200630xex1012.htm" TargetMode="External"/><Relationship Id="rId90" Type="http://schemas.openxmlformats.org/officeDocument/2006/relationships/hyperlink" Target="https://www.sec.gov/Archives/edgar/data/1639691/000163969120000111/livn-20200930xex101.htm" TargetMode="External"/><Relationship Id="rId92" Type="http://schemas.openxmlformats.org/officeDocument/2006/relationships/hyperlink" Target="https://www.sec.gov/Archives/edgar/data/1639691/000163969120000111/livn-20200930xex102.htm" TargetMode="External"/><Relationship Id="rId93" Type="http://schemas.openxmlformats.org/officeDocument/2006/relationships/hyperlink" Target="https://www.sec.gov/Archives/edgar/data/1639691/000163969120000111/livn-20200930xex103.htm" TargetMode="External"/><Relationship Id="rId95" Type="http://schemas.openxmlformats.org/officeDocument/2006/relationships/hyperlink" Target="https://www.sec.gov/Archives/edgar/data/1639691/000163969121000016/livn-20201231xex1042.htm" TargetMode="External"/><Relationship Id="rId96" Type="http://schemas.openxmlformats.org/officeDocument/2006/relationships/hyperlink" Target="https://www.sec.gov/Archives/edgar/data/1639691/000163969121000091/livn-20210630xex101.htm" TargetMode="External"/><Relationship Id="rId98" Type="http://schemas.openxmlformats.org/officeDocument/2006/relationships/hyperlink" Target="https://www.sec.gov/Archives/edgar/data/1639691/000163969123000015/letterdateddecember2022t.htm" TargetMode="External"/><Relationship Id="rId99" Type="http://schemas.openxmlformats.org/officeDocument/2006/relationships/hyperlink" Target="https://www.sec.gov/Archives/edgar/data/1639691/000163969121000096/ex10_1livanova-firstliencr.htm" TargetMode="External"/><Relationship Id="rId101" Type="http://schemas.openxmlformats.org/officeDocument/2006/relationships/hyperlink" Target="https://www.sec.gov/Archives/edgar/data/1639691/000163969122000013/ex-1051.htm" TargetMode="External"/><Relationship Id="rId102" Type="http://schemas.openxmlformats.org/officeDocument/2006/relationships/hyperlink" Target="https://www.sec.gov/Archives/edgar/data/1639691/000163969122000030/ex10_1letterofindemnity.htm" TargetMode="External"/><Relationship Id="rId104" Type="http://schemas.openxmlformats.org/officeDocument/2006/relationships/hyperlink" Target="https://www.sec.gov/Archives/edgar/data/1639691/000163969122000030/ex10_2pledgeagreement.htm" TargetMode="External"/><Relationship Id="rId105" Type="http://schemas.openxmlformats.org/officeDocument/2006/relationships/hyperlink" Target="https://www.sec.gov/Archives/edgar/data/1639691/000163969122000044/livanova-amendmentno2tof.htm" TargetMode="External"/><Relationship Id="rId107" Type="http://schemas.openxmlformats.org/officeDocument/2006/relationships/hyperlink" Target="https://www.sec.gov/Archives/edgar/data/1639691/000163969122000074/livanova-incrementalamen.htm" TargetMode="External"/><Relationship Id="rId110" Type="http://schemas.openxmlformats.org/officeDocument/2006/relationships/hyperlink" Target="https://www.sec.gov/Archives/edgar/data/1639691/000163969124000034/exhibit102-parts1and2xme.htm" TargetMode="External"/><Relationship Id="rId111" Type="http://schemas.openxmlformats.org/officeDocument/2006/relationships/hyperlink" Target="https://www.sec.gov/Archives/edgar/data/1639691/000163969122000082/exhibit101-amendmentto20.htm" TargetMode="External"/><Relationship Id="rId112" Type="http://schemas.openxmlformats.org/officeDocument/2006/relationships/hyperlink" Target="https://www.sec.gov/Archives/edgar/data/1639691/000163969124000075/amendmentno2tothe2015pla.htm" TargetMode="External"/><Relationship Id="rId114" Type="http://schemas.openxmlformats.org/officeDocument/2006/relationships/hyperlink" Target="https://www.sec.gov/Archives/edgar/data/1639691/000163969122000082/exhibit103-form2022sarag.htm" TargetMode="External"/><Relationship Id="rId115" Type="http://schemas.openxmlformats.org/officeDocument/2006/relationships/hyperlink" Target="https://www.sec.gov/Archives/edgar/data/1639691/000163969122000082/exhibit104-form2022rsuag.htm" TargetMode="External"/><Relationship Id="rId117" Type="http://schemas.openxmlformats.org/officeDocument/2006/relationships/hyperlink" Target="https://www.sec.gov/Archives/edgar/data/1639691/000163969122000082/exhibit105-form2022psuag.htm" TargetMode="External"/><Relationship Id="rId118" Type="http://schemas.openxmlformats.org/officeDocument/2006/relationships/hyperlink" Target="https://www.sec.gov/Archives/edgar/data/1639691/000163969122000082/exhibit107-psuawardagree.htm" TargetMode="External"/><Relationship Id="rId120" Type="http://schemas.openxmlformats.org/officeDocument/2006/relationships/hyperlink" Target="https://www.sec.gov/Archives/edgar/data/1639691/000163969122000082/exhibit108-relevant20202.htm" TargetMode="External"/><Relationship Id="rId121" Type="http://schemas.openxmlformats.org/officeDocument/2006/relationships/hyperlink" Target="https://www.sec.gov/Archives/edgar/data/1639691/000163969123000047/finalsardoubletriggeragr.htm" TargetMode="External"/><Relationship Id="rId123" Type="http://schemas.openxmlformats.org/officeDocument/2006/relationships/hyperlink" Target="https://www.sec.gov/Archives/edgar/data/1639691/000163969123000047/finalrsudoubletriggeragr.htm" TargetMode="External"/><Relationship Id="rId124" Type="http://schemas.openxmlformats.org/officeDocument/2006/relationships/hyperlink" Target="https://www.sec.gov/Archives/edgar/data/1639691/000163969123000047/finalpsudoubletriggeragr.htm" TargetMode="External"/><Relationship Id="rId126" Type="http://schemas.openxmlformats.org/officeDocument/2006/relationships/hyperlink" Target="https://www.sec.gov/Archives/edgar/data/1639691/000163969123000015/finalsardoubletriggeragr.htm" TargetMode="External"/><Relationship Id="rId127" Type="http://schemas.openxmlformats.org/officeDocument/2006/relationships/hyperlink" Target="https://www.sec.gov/Archives/edgar/data/1639691/000163969123000015/finalrsudoubletriggeragr.htm" TargetMode="External"/><Relationship Id="rId129" Type="http://schemas.openxmlformats.org/officeDocument/2006/relationships/hyperlink" Target="https://www.sec.gov/Archives/edgar/data/1639691/000163969123000015/finalpsudoubletriggeragr.htm" TargetMode="External"/><Relationship Id="rId130" Type="http://schemas.openxmlformats.org/officeDocument/2006/relationships/hyperlink" Target="https://www.sec.gov/Archives/edgar/data/1639691/000163969123000057/proposal4approvaloftheamen.htm" TargetMode="External"/><Relationship Id="rId132" Type="http://schemas.openxmlformats.org/officeDocument/2006/relationships/hyperlink" Target="https://www.sec.gov/Archives/edgar/data/1639691/000163969124000075/amendmentno1tothe2022arp.htm" TargetMode="External"/><Relationship Id="rId133" Type="http://schemas.openxmlformats.org/officeDocument/2006/relationships/hyperlink" Target="https://www.sec.gov/Archives/edgar/data/1639691/000163969124000021/hutchinsonofferletter_31.htm" TargetMode="External"/><Relationship Id="rId135" Type="http://schemas.openxmlformats.org/officeDocument/2006/relationships/hyperlink" Target="https://www.sec.gov/Archives/edgar/data/1639691/000163969123000076/williamkozy_04202023.htm" TargetMode="External"/><Relationship Id="rId136" Type="http://schemas.openxmlformats.org/officeDocument/2006/relationships/hyperlink" Target="https://www.sec.gov/Archives/edgar/data/1639691/000163969124000060/livanova-offerletterxv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2025-02-25T15:33:22Z</dcterms:created>
  <dcterms:modified xsi:type="dcterms:W3CDTF">2025-02-25T15:33:22Z</dcterms:modified>
</cp:coreProperties>
</file>