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 w:lineRule="exact"/>
        <w:rPr>
          <w:sz w:val="24"/>
          <w:szCs w:val="24"/>
          <w:color w:val="auto"/>
        </w:rPr>
      </w:pPr>
    </w:p>
    <w:p>
      <w:pPr>
        <w:jc w:val="center"/>
        <w:ind w:left="320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720" w:firstLine="685"/>
        <w:spacing w:after="0" w:line="290" w:lineRule="auto"/>
        <w:rPr>
          <w:sz w:val="20"/>
          <w:szCs w:val="20"/>
          <w:color w:val="auto"/>
        </w:rPr>
      </w:pPr>
      <w:r>
        <w:rPr>
          <w:rFonts w:ascii="Arial" w:cs="Arial" w:eastAsia="Arial" w:hAnsi="Arial"/>
          <w:sz w:val="17"/>
          <w:szCs w:val="17"/>
          <w:color w:val="auto"/>
        </w:rPr>
        <w:t>OMB APPROVAL 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-299085</wp:posOffset>
            </wp:positionV>
            <wp:extent cx="1783080" cy="745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745490"/>
                    </a:xfrm>
                    <a:prstGeom prst="rect">
                      <a:avLst/>
                    </a:prstGeom>
                    <a:noFill/>
                  </pic:spPr>
                </pic:pic>
              </a:graphicData>
            </a:graphic>
          </wp:anchor>
        </w:drawing>
      </w:r>
    </w:p>
    <w:p>
      <w:pPr>
        <w:ind w:right="440"/>
        <w:spacing w:after="0" w:line="329" w:lineRule="auto"/>
        <w:rPr>
          <w:sz w:val="20"/>
          <w:szCs w:val="20"/>
          <w:color w:val="auto"/>
        </w:rPr>
      </w:pPr>
      <w:r>
        <w:rPr>
          <w:rFonts w:ascii="Arial" w:cs="Arial" w:eastAsia="Arial" w:hAnsi="Arial"/>
          <w:sz w:val="16"/>
          <w:szCs w:val="16"/>
          <w:color w:val="auto"/>
        </w:rPr>
        <w:t>Expires: February 28, 2009 Estimated average burden hours per response. . . . . . . .10.4</w:t>
      </w:r>
    </w:p>
    <w:p>
      <w:pPr>
        <w:spacing w:after="0" w:line="134" w:lineRule="exact"/>
        <w:rPr>
          <w:sz w:val="24"/>
          <w:szCs w:val="24"/>
          <w:color w:val="auto"/>
        </w:rPr>
      </w:pPr>
    </w:p>
    <w:p>
      <w:pPr>
        <w:sectPr>
          <w:pgSz w:w="11900" w:h="16838" w:orient="portrait"/>
          <w:cols w:equalWidth="0" w:num="2">
            <w:col w:w="7840" w:space="620"/>
            <w:col w:w="2780"/>
          </w:cols>
          <w:pgMar w:left="320" w:top="1044" w:right="339" w:bottom="1440" w:gutter="0" w:footer="0" w:header="0"/>
        </w:sect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00" w:right="632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-919480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-1133475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-1750695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3,920,885</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720" w:type="dxa"/>
            <w:vAlign w:val="bottom"/>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7"/>
              </w:rPr>
              <w:t>Owned by Each</w:t>
            </w:r>
          </w:p>
        </w:tc>
        <w:tc>
          <w:tcPr>
            <w:tcW w:w="7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3,956,695</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20" w:right="7280" w:hanging="655"/>
        <w:spacing w:after="0" w:line="277" w:lineRule="auto"/>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700" w:right="568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3,956,695</w:t>
      </w:r>
    </w:p>
    <w:p>
      <w:pPr>
        <w:spacing w:after="0" w:line="353" w:lineRule="exact"/>
        <w:rPr>
          <w:rFonts w:ascii="Arial" w:cs="Arial" w:eastAsia="Arial" w:hAnsi="Arial"/>
          <w:sz w:val="18"/>
          <w:szCs w:val="18"/>
          <w:color w:val="auto"/>
        </w:rPr>
      </w:pPr>
    </w:p>
    <w:p>
      <w:pPr>
        <w:ind w:left="700" w:hanging="469"/>
        <w:spacing w:after="0" w:line="207" w:lineRule="exact"/>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right="670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8.14%</w:t>
      </w:r>
    </w:p>
    <w:p>
      <w:pPr>
        <w:spacing w:after="0" w:line="386" w:lineRule="exact"/>
        <w:rPr>
          <w:rFonts w:ascii="Arial" w:cs="Arial" w:eastAsia="Arial" w:hAnsi="Arial"/>
          <w:sz w:val="18"/>
          <w:szCs w:val="18"/>
          <w:color w:val="auto"/>
        </w:rPr>
      </w:pPr>
    </w:p>
    <w:p>
      <w:pPr>
        <w:ind w:left="700" w:hanging="46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360" w:right="8540" w:hanging="454"/>
        <w:spacing w:after="0" w:line="342"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LivaNova PLC</w:t>
      </w:r>
    </w:p>
    <w:p>
      <w:pPr>
        <w:spacing w:after="0" w:line="29" w:lineRule="exact"/>
        <w:rPr>
          <w:rFonts w:ascii="Arial" w:cs="Arial" w:eastAsia="Arial" w:hAnsi="Arial"/>
          <w:sz w:val="16"/>
          <w:szCs w:val="16"/>
          <w:color w:val="auto"/>
        </w:rPr>
      </w:pPr>
    </w:p>
    <w:p>
      <w:pPr>
        <w:ind w:left="1360" w:hanging="45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20 Eastbourne Terrace, Paddington, London W2 6LG,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40005</wp:posOffset>
            </wp:positionV>
            <wp:extent cx="6266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-310515</wp:posOffset>
            </wp:positionV>
            <wp:extent cx="6266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hanging="45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360" w:right="536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360" w:right="882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360" w:right="7720" w:hanging="454"/>
        <w:spacing w:after="0" w:line="27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360" w:right="848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6266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-366395</wp:posOffset>
            </wp:positionV>
            <wp:extent cx="6266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-717550</wp:posOffset>
            </wp:positionV>
            <wp:extent cx="6266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-1069340</wp:posOffset>
            </wp:positionV>
            <wp:extent cx="6266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-1420495</wp:posOffset>
            </wp:positionV>
            <wp:extent cx="6266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8" w:lineRule="exact"/>
        <w:rPr>
          <w:sz w:val="20"/>
          <w:szCs w:val="20"/>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49" w:lineRule="exact"/>
        <w:rPr>
          <w:rFonts w:ascii="Arial" w:cs="Arial" w:eastAsia="Arial" w:hAnsi="Arial"/>
          <w:sz w:val="18"/>
          <w:szCs w:val="18"/>
          <w:color w:val="auto"/>
        </w:rPr>
      </w:pPr>
    </w:p>
    <w:p>
      <w:pPr>
        <w:ind w:left="1320" w:hanging="46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An investment adviser in accordance with §240.13d-1(b)(1)(ii)(E);</w:t>
      </w:r>
    </w:p>
    <w:p>
      <w:pPr>
        <w:spacing w:after="0" w:line="84"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hanging="908"/>
        <w:spacing w:after="0" w:line="239" w:lineRule="exact"/>
        <w:tabs>
          <w:tab w:leader="none" w:pos="131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80" w:top="958" w:right="51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1360" w:right="7700" w:hanging="378"/>
        <w:spacing w:after="0" w:line="43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3,395,695</w:t>
      </w:r>
    </w:p>
    <w:p>
      <w:pPr>
        <w:spacing w:after="0" w:line="14" w:lineRule="exact"/>
        <w:rPr>
          <w:rFonts w:ascii="Arial" w:cs="Arial" w:eastAsia="Arial" w:hAnsi="Arial"/>
          <w:sz w:val="18"/>
          <w:szCs w:val="18"/>
          <w:color w:val="auto"/>
        </w:rPr>
      </w:pPr>
    </w:p>
    <w:p>
      <w:pPr>
        <w:ind w:left="1360" w:hanging="383"/>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8.14.</w:t>
      </w:r>
    </w:p>
    <w:p>
      <w:pPr>
        <w:spacing w:after="0" w:line="130" w:lineRule="exact"/>
        <w:rPr>
          <w:rFonts w:ascii="Arial" w:cs="Arial" w:eastAsia="Arial" w:hAnsi="Arial"/>
          <w:sz w:val="18"/>
          <w:szCs w:val="18"/>
          <w:color w:val="auto"/>
        </w:rPr>
      </w:pPr>
    </w:p>
    <w:p>
      <w:pPr>
        <w:ind w:left="1360" w:hanging="378"/>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46" w:lineRule="exact"/>
        <w:rPr>
          <w:rFonts w:ascii="Arial" w:cs="Arial" w:eastAsia="Arial" w:hAnsi="Arial"/>
          <w:sz w:val="18"/>
          <w:szCs w:val="18"/>
          <w:color w:val="auto"/>
        </w:rPr>
      </w:pPr>
    </w:p>
    <w:p>
      <w:pPr>
        <w:ind w:left="1820" w:hanging="371"/>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-164465</wp:posOffset>
            </wp:positionV>
            <wp:extent cx="6266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-516255</wp:posOffset>
            </wp:positionV>
            <wp:extent cx="6266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-1004570</wp:posOffset>
            </wp:positionV>
            <wp:extent cx="6266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3,920,885.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ind w:left="1420"/>
        <w:spacing w:after="0"/>
        <w:tabs>
          <w:tab w:leader="none" w:pos="18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111" w:lineRule="exact"/>
        <w:rPr>
          <w:sz w:val="20"/>
          <w:szCs w:val="20"/>
          <w:color w:val="auto"/>
        </w:rPr>
      </w:pPr>
    </w:p>
    <w:p>
      <w:pPr>
        <w:ind w:left="1820" w:right="5600" w:hanging="421"/>
        <w:spacing w:after="0" w:line="438"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3,956,695.</w:t>
      </w:r>
    </w:p>
    <w:p>
      <w:pPr>
        <w:spacing w:after="0" w:line="14" w:lineRule="exact"/>
        <w:rPr>
          <w:rFonts w:ascii="Arial" w:cs="Arial" w:eastAsia="Arial" w:hAnsi="Arial"/>
          <w:sz w:val="18"/>
          <w:szCs w:val="18"/>
          <w:color w:val="auto"/>
        </w:rPr>
      </w:pPr>
    </w:p>
    <w:p>
      <w:pPr>
        <w:ind w:left="1820" w:right="5420" w:hanging="416"/>
        <w:spacing w:after="0" w:line="52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-121920</wp:posOffset>
            </wp:positionV>
            <wp:extent cx="598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-610235</wp:posOffset>
            </wp:positionV>
            <wp:extent cx="5983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43"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3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40" w:firstLine="324"/>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58" w:right="39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6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/s/ Jennifer Ottosen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Jennifer Ottosen,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þ"/>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Letter"/>
      <w:start w:val="9"/>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2021-02-12T11:04:13Z</dcterms:created>
  <dcterms:modified xsi:type="dcterms:W3CDTF">2021-02-12T11:04:13Z</dcterms:modified>
</cp:coreProperties>
</file>