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Manko Douglas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03/01/2020</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754</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3,106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03/01/2020</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224</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69.72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2,882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754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03/01/2020</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754</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7,552</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5, 2017, reporting person was granted RSUs that vest 25% on the second day after release of LivaNova's full-year 2019 financial results, February 27, 2020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7 of Table II reflects the RSUs eligible for vesting at the target price subject to continued service during the vesting period and the award agreement.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8"/>
              </w:rPr>
              <w:t>Douglas J. Manko</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03/03/2020</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2020-03-03T15:40:13Z</dcterms:created>
  <dcterms:modified xsi:type="dcterms:W3CDTF">2020-03-03T15:40:13Z</dcterms:modified>
</cp:coreProperties>
</file>