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LivaNova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GBP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G5509L101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G5509L101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2,374,293.00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2,374,293.00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2,374,293.00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G5509L101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2,970,114.00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2,970,114.00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2,970,114.00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G5509L101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2,970,114.00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2,970,114.00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2,970,114.00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G5509L101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2,970,114.00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2,970,114.00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2,970,114.00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26"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60" w:top="126"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LivaNova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Eastbourne Terrace, London, United Kingdom, W2 6LG</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Millennium Management LLC Millennium Group Management LLC Israel A. Englander</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5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Integrated Core Strategies (US) LLC - Delaware Millennium Management LLC - Delaware Millennium Group Management LLC - Delaware Israel A. Englander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 par value GBP 1.00 per share</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1100"/>
          </w:cols>
          <w:pgMar w:left="360" w:top="126" w:right="439" w:bottom="0" w:gutter="0" w:footer="0" w:header="0"/>
          <w:type w:val="continuous"/>
        </w:sectPr>
      </w:pPr>
    </w:p>
    <w:bookmarkStart w:id="4" w:name="page5"/>
    <w:bookmarkEnd w:id="4"/>
    <w:p>
      <w:pPr>
        <w:spacing w:after="0" w:line="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G5509L101</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ind w:right="6480" w:firstLine="6"/>
        <w:spacing w:after="0" w:line="509" w:lineRule="auto"/>
        <w:tabs>
          <w:tab w:leader="none" w:pos="25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response to Item 5 on each cover page.</w:t>
      </w:r>
    </w:p>
    <w:p>
      <w:pPr>
        <w:spacing w:after="0" w:line="1" w:lineRule="exact"/>
        <w:rPr>
          <w:rFonts w:ascii="Times New Roman" w:cs="Times New Roman" w:eastAsia="Times New Roman" w:hAnsi="Times New Roman"/>
          <w:sz w:val="21"/>
          <w:szCs w:val="21"/>
          <w:color w:val="auto"/>
        </w:rPr>
      </w:pPr>
    </w:p>
    <w:p>
      <w:pPr>
        <w:ind w:right="6240" w:firstLine="6"/>
        <w:spacing w:after="0" w:line="509" w:lineRule="auto"/>
        <w:tabs>
          <w:tab w:leader="none" w:pos="31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49" w:orient="portrait"/>
          <w:cols w:equalWidth="0" w:num="2">
            <w:col w:w="620" w:space="300"/>
            <w:col w:w="10220"/>
          </w:cols>
          <w:pgMar w:left="360" w:top="112"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ectPr>
          <w:pgSz w:w="11900" w:h="16849" w:orient="portrait"/>
          <w:cols w:equalWidth="0" w:num="1">
            <w:col w:w="11140"/>
          </w:cols>
          <w:pgMar w:left="360" w:top="112" w:right="399" w:bottom="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See Exhibit I</w:t>
      </w:r>
    </w:p>
    <w:p>
      <w:pPr>
        <w:sectPr>
          <w:pgSz w:w="11900" w:h="16849" w:orient="portrait"/>
          <w:cols w:equalWidth="0" w:num="1">
            <w:col w:w="11140"/>
          </w:cols>
          <w:pgMar w:left="360" w:top="112" w:right="399" w:bottom="0" w:gutter="0" w:footer="0" w:header="0"/>
          <w:type w:val="continuous"/>
        </w:sectPr>
      </w:pPr>
    </w:p>
    <w:bookmarkStart w:id="5" w:name="page6"/>
    <w:bookmarkEnd w:id="5"/>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11/05/2025</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11/05/2025</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11/05/2025</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11/05/2025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INTEGRATED CORE STRATEGIES (US) LLC By: Integrated Holding Group 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 By: Millennium Management LLC, its General Partner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90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November 5, 2025, by and among Integrated Core Strategies (US) LLC, Millennium Management LLC, Millennium Group Management LLC and Israel A. Englander.</w:t>
      </w:r>
    </w:p>
    <w:p>
      <w:pPr>
        <w:sectPr>
          <w:pgSz w:w="11900" w:h="16838" w:orient="portrait"/>
          <w:cols w:equalWidth="0" w:num="1">
            <w:col w:w="11180"/>
          </w:cols>
          <w:pgMar w:left="320" w:top="126" w:right="399" w:bottom="1440" w:gutter="0" w:footer="0" w:header="0"/>
        </w:sectPr>
      </w:pPr>
    </w:p>
    <w:bookmarkStart w:id="6" w:name="page7"/>
    <w:bookmarkEnd w:id="6"/>
    <w:p>
      <w:pPr>
        <w:jc w:val="center"/>
        <w:ind w:right="-1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Ordinary Shares, par value £1.00 per share, of LivaNova PLC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2025</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2852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20"/>
      </w:cols>
      <w:pgMar w:left="320" w:top="36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2025-11-06T15:32:41Z</dcterms:created>
  <dcterms:modified xsi:type="dcterms:W3CDTF">2025-11-06T15:32:41Z</dcterms:modified>
</cp:coreProperties>
</file>