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Story Brooke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09/15/2022</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1,725</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1,725</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6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granted RSUs to vest and forfeiture restrictions thereon to lapse on the earliest of (i) September 15, 2023, (ii) the date of a change in control or (iii) a termination of service in accordance with the RSU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Mohr, POA</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09/16/2022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613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2022-09-19T15:58:01Z</dcterms:created>
  <dcterms:modified xsi:type="dcterms:W3CDTF">2022-09-19T15:58:01Z</dcterms:modified>
</cp:coreProperties>
</file>