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431165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2839085</wp:posOffset>
            </wp:positionH>
            <wp:positionV relativeFrom="paragraph">
              <wp:posOffset>168910</wp:posOffset>
            </wp:positionV>
            <wp:extent cx="1472565" cy="4622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2565" cy="462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98-1268150</w:t>
            </w:r>
          </w:p>
        </w:tc>
      </w:tr>
      <w:tr>
        <w:trPr>
          <w:trHeight w:val="255"/>
        </w:trPr>
        <w:tc>
          <w:tcPr>
            <w:tcW w:w="2140" w:type="dxa"/>
            <w:vAlign w:val="bottom"/>
          </w:tcPr>
          <w:p>
            <w:pPr>
              <w:jc w:val="center"/>
              <w:ind w:right="9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ind w:left="164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5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1"/>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4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4"/>
        </w:trPr>
        <w:tc>
          <w:tcPr>
            <w:tcW w:w="214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7"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780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2" w:right="339" w:bottom="1440" w:gutter="0" w:footer="0" w:header="0"/>
        </w:sectPr>
      </w:pPr>
    </w:p>
    <w:p>
      <w:pPr>
        <w:spacing w:after="0" w:line="2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302" w:lineRule="exact"/>
        <w:rPr>
          <w:sz w:val="20"/>
          <w:szCs w:val="20"/>
          <w:color w:val="auto"/>
        </w:rPr>
      </w:pPr>
    </w:p>
    <w:p>
      <w:pPr>
        <w:ind w:right="40"/>
        <w:spacing w:after="0" w:line="468" w:lineRule="auto"/>
        <w:rPr>
          <w:sz w:val="20"/>
          <w:szCs w:val="20"/>
          <w:color w:val="auto"/>
        </w:rPr>
      </w:pPr>
      <w:r>
        <w:rPr>
          <w:rFonts w:ascii="Arial" w:cs="Arial" w:eastAsia="Arial" w:hAnsi="Arial"/>
          <w:sz w:val="16"/>
          <w:szCs w:val="16"/>
          <w:color w:val="auto"/>
        </w:rPr>
        <w:t xml:space="preserve">On November 3, 2021, LivaNova PLC (the “Company”) issued a press release announcing financial results for the quarter ended September 30, 2021. The Company will host a business update conference call and webcast today, November 3, 2021, at 12 p.m. London time (8 a.m. Eastern Daylight Time), during which the Company will discuss the financial results. The conference call will be available to interested parties through a live audio webcast and accessible through the Investors section of the LivaNova corporate website at </w:t>
      </w:r>
      <w:r>
        <w:rPr>
          <w:rFonts w:ascii="Arial" w:cs="Arial" w:eastAsia="Arial" w:hAnsi="Arial"/>
          <w:sz w:val="16"/>
          <w:szCs w:val="16"/>
          <w:u w:val="single" w:color="auto"/>
          <w:color w:val="0E32E1"/>
        </w:rPr>
        <w:t>www.livanova.com</w:t>
      </w:r>
      <w:r>
        <w:rPr>
          <w:rFonts w:ascii="Arial" w:cs="Arial" w:eastAsia="Arial" w:hAnsi="Arial"/>
          <w:sz w:val="16"/>
          <w:szCs w:val="16"/>
          <w:color w:val="auto"/>
        </w:rPr>
        <w:t>.</w:t>
      </w:r>
    </w:p>
    <w:p>
      <w:pPr>
        <w:spacing w:after="0" w:line="156" w:lineRule="exact"/>
        <w:rPr>
          <w:sz w:val="20"/>
          <w:szCs w:val="20"/>
          <w:color w:val="auto"/>
        </w:rPr>
      </w:pPr>
    </w:p>
    <w:p>
      <w:pPr>
        <w:spacing w:after="0" w:line="468" w:lineRule="auto"/>
        <w:rPr>
          <w:sz w:val="20"/>
          <w:szCs w:val="20"/>
          <w:color w:val="auto"/>
        </w:rPr>
      </w:pPr>
      <w:r>
        <w:rPr>
          <w:rFonts w:ascii="Arial" w:cs="Arial" w:eastAsia="Arial" w:hAnsi="Arial"/>
          <w:sz w:val="16"/>
          <w:szCs w:val="16"/>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56"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8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0"/>
          <w:szCs w:val="20"/>
          <w:b w:val="1"/>
          <w:bCs w:val="1"/>
          <w:u w:val="single" w:color="auto"/>
          <w:color w:val="auto"/>
        </w:rPr>
        <w:t>Exhibit</w:t>
      </w:r>
      <w:r>
        <w:rPr>
          <w:sz w:val="20"/>
          <w:szCs w:val="20"/>
          <w:color w:val="auto"/>
        </w:rPr>
        <w:tab/>
      </w:r>
      <w:r>
        <w:rPr>
          <w:rFonts w:ascii="Arial" w:cs="Arial" w:eastAsia="Arial" w:hAnsi="Arial"/>
          <w:sz w:val="20"/>
          <w:szCs w:val="20"/>
          <w:b w:val="1"/>
          <w:bCs w:val="1"/>
          <w:u w:val="single" w:color="auto"/>
          <w:color w:val="auto"/>
        </w:rPr>
        <w:t>Description</w:t>
      </w:r>
    </w:p>
    <w:p>
      <w:pPr>
        <w:spacing w:after="0" w:line="275" w:lineRule="exact"/>
        <w:rPr>
          <w:sz w:val="20"/>
          <w:szCs w:val="20"/>
          <w:color w:val="auto"/>
        </w:rPr>
      </w:pPr>
    </w:p>
    <w:p>
      <w:pPr>
        <w:ind w:left="20"/>
        <w:spacing w:after="0"/>
        <w:tabs>
          <w:tab w:leader="none" w:pos="1520" w:val="left"/>
        </w:tabs>
        <w:rPr>
          <w:rFonts w:ascii="Arial" w:cs="Arial" w:eastAsia="Arial" w:hAnsi="Arial"/>
          <w:sz w:val="16"/>
          <w:szCs w:val="16"/>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6"/>
            <w:szCs w:val="16"/>
            <w:u w:val="single" w:color="auto"/>
            <w:color w:val="0000FF"/>
          </w:rPr>
          <w:t>LivaNova PLC Press Release dated November 3, 2021</w:t>
        </w:r>
      </w:hyperlink>
    </w:p>
    <w:p>
      <w:pPr>
        <w:spacing w:after="0" w:line="20" w:lineRule="exact"/>
        <w:rPr>
          <w:sz w:val="20"/>
          <w:szCs w:val="20"/>
          <w:color w:val="auto"/>
        </w:rPr>
      </w:pPr>
    </w:p>
    <w:p>
      <w:pPr>
        <w:ind w:left="1540" w:hanging="1514"/>
        <w:spacing w:after="0"/>
        <w:tabs>
          <w:tab w:leader="none" w:pos="15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65"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07"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0"/>
          <w:szCs w:val="20"/>
          <w:b w:val="1"/>
          <w:bCs w:val="1"/>
          <w:color w:val="auto"/>
        </w:rPr>
        <w:t>SIGNATURE</w:t>
      </w:r>
    </w:p>
    <w:p>
      <w:pPr>
        <w:spacing w:after="0" w:line="302" w:lineRule="exact"/>
        <w:rPr>
          <w:sz w:val="20"/>
          <w:szCs w:val="20"/>
          <w:color w:val="auto"/>
        </w:rPr>
      </w:pPr>
    </w:p>
    <w:p>
      <w:pPr>
        <w:ind w:firstLine="647"/>
        <w:spacing w:after="0" w:line="372"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LivaNova PLC</w:t>
      </w:r>
    </w:p>
    <w:p>
      <w:pPr>
        <w:spacing w:after="0" w:line="200" w:lineRule="exact"/>
        <w:rPr>
          <w:sz w:val="20"/>
          <w:szCs w:val="20"/>
          <w:color w:val="auto"/>
        </w:rPr>
      </w:pPr>
    </w:p>
    <w:p>
      <w:pPr>
        <w:spacing w:after="0" w:line="325" w:lineRule="exact"/>
        <w:rPr>
          <w:sz w:val="20"/>
          <w:szCs w:val="20"/>
          <w:color w:val="auto"/>
        </w:rPr>
      </w:pPr>
    </w:p>
    <w:p>
      <w:pPr>
        <w:jc w:val="right"/>
        <w:ind w:right="3220"/>
        <w:spacing w:after="0"/>
        <w:tabs>
          <w:tab w:leader="none" w:pos="5220" w:val="left"/>
        </w:tabs>
        <w:rPr>
          <w:sz w:val="20"/>
          <w:szCs w:val="20"/>
          <w:color w:val="auto"/>
        </w:rPr>
      </w:pPr>
      <w:r>
        <w:rPr>
          <w:rFonts w:ascii="Arial" w:cs="Arial" w:eastAsia="Arial" w:hAnsi="Arial"/>
          <w:sz w:val="20"/>
          <w:szCs w:val="20"/>
          <w:color w:val="auto"/>
        </w:rPr>
        <w:t>Date: November 3,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u w:val="single" w:color="auto"/>
          <w:color w:val="auto"/>
        </w:rPr>
        <w:t>/s/ Keyna Skeffington</w:t>
      </w:r>
    </w:p>
    <w:p>
      <w:pPr>
        <w:spacing w:after="0" w:line="53" w:lineRule="exact"/>
        <w:rPr>
          <w:sz w:val="20"/>
          <w:szCs w:val="20"/>
          <w:color w:val="auto"/>
        </w:rPr>
      </w:pPr>
    </w:p>
    <w:p>
      <w:pPr>
        <w:jc w:val="right"/>
        <w:ind w:right="3180"/>
        <w:spacing w:after="0"/>
        <w:rPr>
          <w:sz w:val="20"/>
          <w:szCs w:val="20"/>
          <w:color w:val="auto"/>
        </w:rPr>
      </w:pPr>
      <w:r>
        <w:rPr>
          <w:rFonts w:ascii="Arial" w:cs="Arial" w:eastAsia="Arial" w:hAnsi="Arial"/>
          <w:sz w:val="20"/>
          <w:szCs w:val="20"/>
          <w:color w:val="auto"/>
        </w:rPr>
        <w:t>Name: Keyna Skeffington</w:t>
      </w:r>
    </w:p>
    <w:p>
      <w:pPr>
        <w:spacing w:after="0" w:line="20"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1007" w:right="659" w:bottom="1440" w:gutter="0" w:footer="0" w:header="0"/>
        </w:sectPr>
      </w:pPr>
    </w:p>
    <w:bookmarkStart w:id="3" w:name="page4"/>
    <w:bookmarkEnd w:id="3"/>
    <w:p>
      <w:pPr>
        <w:spacing w:after="0" w:line="210" w:lineRule="exact"/>
        <w:rPr>
          <w:sz w:val="20"/>
          <w:szCs w:val="20"/>
          <w:color w:val="auto"/>
        </w:rPr>
      </w:pPr>
    </w:p>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78305" cy="479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830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20"/>
          <w:szCs w:val="20"/>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9"/>
          <w:szCs w:val="29"/>
          <w:color w:val="6D2077"/>
        </w:rPr>
        <w:t>LivaNova Reports Third Quarter 2021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384" w:lineRule="auto"/>
        <w:rPr>
          <w:sz w:val="20"/>
          <w:szCs w:val="20"/>
          <w:color w:val="auto"/>
        </w:rPr>
      </w:pPr>
      <w:r>
        <w:rPr>
          <w:rFonts w:ascii="Arial" w:cs="Arial" w:eastAsia="Arial" w:hAnsi="Arial"/>
          <w:sz w:val="20"/>
          <w:szCs w:val="20"/>
          <w:b w:val="1"/>
          <w:bCs w:val="1"/>
          <w:color w:val="auto"/>
        </w:rPr>
        <w:t xml:space="preserve">London, November 3, 2021 – </w:t>
      </w:r>
      <w:r>
        <w:rPr>
          <w:rFonts w:ascii="Arial" w:cs="Arial" w:eastAsia="Arial" w:hAnsi="Arial"/>
          <w:sz w:val="20"/>
          <w:szCs w:val="20"/>
          <w:color w:val="auto"/>
        </w:rPr>
        <w:t>LivaNova PLC (NASDAQ: LIVN), a market-leading medical technology and innovation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today reported results for the quarter ended September 30, 2021.</w:t>
      </w:r>
    </w:p>
    <w:p>
      <w:pPr>
        <w:spacing w:after="0" w:line="178" w:lineRule="exact"/>
        <w:rPr>
          <w:sz w:val="20"/>
          <w:szCs w:val="20"/>
          <w:color w:val="auto"/>
        </w:rPr>
      </w:pPr>
    </w:p>
    <w:p>
      <w:pPr>
        <w:jc w:val="both"/>
        <w:spacing w:after="0" w:line="325" w:lineRule="auto"/>
        <w:rPr>
          <w:sz w:val="20"/>
          <w:szCs w:val="20"/>
          <w:color w:val="auto"/>
        </w:rPr>
      </w:pPr>
      <w:r>
        <w:rPr>
          <w:rFonts w:ascii="Arial" w:cs="Arial" w:eastAsia="Arial" w:hAnsi="Arial"/>
          <w:sz w:val="20"/>
          <w:szCs w:val="20"/>
          <w:color w:val="auto"/>
        </w:rPr>
        <w:t>For the third quarter of 2021, worldwide sales from continuing operations were $253.2 million, an increase of 5.5 percent on a reported basis and 5.0 percent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compared to the same quarter of the previous year. Excluding sales from the Heart Valves business, which was divested effective June 1, 2021, worldwide sales from continuing operations increased by 15.7 percent on a reported basis and 15.2 percent on a constant-currency</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for the third quarter of 2021 compared to the third quarter of 2020. On the basis of U.S. Generally Accepted Accounting Principles (GAAP), third quarter 2021 diluted loss per share from continuing operations was $0.82. Third quarter 2021 adjusted diluted earnings per share from continuing operations was $0.68.</w:t>
      </w:r>
    </w:p>
    <w:p>
      <w:pPr>
        <w:spacing w:after="0" w:line="240"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“Our third-quarter performance demonstrates continued focus on execution across all regions in our key product lines amidst lingering COVID-19-related headwinds,” said Damien McDonald, Chief Executive Officer of LivaNova. “We are encouraged by our sales growth year over year and compared to 2019, excluding the impact of Heart Valves. In addition, we saw improvements in margins and cash flow generation. We also strengthened our financial flexibility with the completion of an equity offering during the quarter, which allowed us to retire the $450 million term loan and enter into a new $125 million revolver.”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vertAlign w:val="superscript"/>
        </w:rPr>
        <w:t>1</w:t>
      </w:r>
      <w:r>
        <w:rPr>
          <w:rFonts w:ascii="Arial" w:cs="Arial" w:eastAsia="Arial" w:hAnsi="Arial"/>
          <w:sz w:val="11"/>
          <w:szCs w:val="11"/>
          <w:color w:val="auto"/>
        </w:rPr>
        <w:t>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 Quarter 2021 Results</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worldwide sales for the third quarter of 2021 by business: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9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 in millions</w:t>
            </w:r>
          </w:p>
        </w:tc>
        <w:tc>
          <w:tcPr>
            <w:tcW w:w="3820" w:type="dxa"/>
            <w:vAlign w:val="bottom"/>
            <w:tcBorders>
              <w:top w:val="single" w:sz="8" w:color="auto"/>
              <w:right w:val="single" w:sz="8" w:color="auto"/>
            </w:tcBorders>
            <w:gridSpan w:val="2"/>
            <w:vMerge w:val="restart"/>
          </w:tcPr>
          <w:p>
            <w:pPr>
              <w:jc w:val="right"/>
              <w:ind w:right="330"/>
              <w:spacing w:after="0"/>
              <w:rPr>
                <w:sz w:val="20"/>
                <w:szCs w:val="20"/>
                <w:color w:val="auto"/>
              </w:rPr>
            </w:pPr>
            <w:r>
              <w:rPr>
                <w:rFonts w:ascii="Arial" w:cs="Arial" w:eastAsia="Arial" w:hAnsi="Arial"/>
                <w:sz w:val="18"/>
                <w:szCs w:val="18"/>
                <w:b w:val="1"/>
                <w:bCs w:val="1"/>
                <w:color w:val="auto"/>
              </w:rPr>
              <w:t>Three Months Ended September 30,</w:t>
            </w:r>
          </w:p>
        </w:tc>
        <w:tc>
          <w:tcPr>
            <w:tcW w:w="1760" w:type="dxa"/>
            <w:vAlign w:val="bottom"/>
            <w:tcBorders>
              <w:top w:val="single" w:sz="8" w:color="auto"/>
              <w:right w:val="single" w:sz="8" w:color="auto"/>
            </w:tcBorders>
            <w:vMerge w:val="restart"/>
          </w:tcPr>
          <w:p>
            <w:pPr>
              <w:jc w:val="center"/>
              <w:ind w:right="31"/>
              <w:spacing w:after="0"/>
              <w:rPr>
                <w:sz w:val="20"/>
                <w:szCs w:val="20"/>
                <w:color w:val="auto"/>
              </w:rPr>
            </w:pPr>
            <w:r>
              <w:rPr>
                <w:rFonts w:ascii="Arial" w:cs="Arial" w:eastAsia="Arial" w:hAnsi="Arial"/>
                <w:sz w:val="18"/>
                <w:szCs w:val="18"/>
                <w:b w:val="1"/>
                <w:bCs w:val="1"/>
                <w:color w:val="auto"/>
                <w:w w:val="99"/>
              </w:rPr>
              <w:t>% Change at</w:t>
            </w:r>
          </w:p>
        </w:tc>
        <w:tc>
          <w:tcPr>
            <w:tcW w:w="1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46"/>
        </w:trPr>
        <w:tc>
          <w:tcPr>
            <w:tcW w:w="3920" w:type="dxa"/>
            <w:vAlign w:val="bottom"/>
            <w:tcBorders>
              <w:left w:val="single" w:sz="8" w:color="auto"/>
              <w:right w:val="single" w:sz="8" w:color="auto"/>
            </w:tcBorders>
          </w:tcPr>
          <w:p>
            <w:pPr>
              <w:spacing w:after="0"/>
              <w:rPr>
                <w:sz w:val="3"/>
                <w:szCs w:val="3"/>
                <w:color w:val="auto"/>
              </w:rPr>
            </w:pPr>
          </w:p>
        </w:tc>
        <w:tc>
          <w:tcPr>
            <w:tcW w:w="3820" w:type="dxa"/>
            <w:vAlign w:val="bottom"/>
            <w:tcBorders>
              <w:right w:val="single" w:sz="8" w:color="auto"/>
            </w:tcBorders>
            <w:gridSpan w:val="2"/>
            <w:vMerge w:val="continue"/>
          </w:tcPr>
          <w:p>
            <w:pPr>
              <w:spacing w:after="0"/>
              <w:rPr>
                <w:sz w:val="3"/>
                <w:szCs w:val="3"/>
                <w:color w:val="auto"/>
              </w:rPr>
            </w:pPr>
          </w:p>
        </w:tc>
        <w:tc>
          <w:tcPr>
            <w:tcW w:w="1760" w:type="dxa"/>
            <w:vAlign w:val="bottom"/>
            <w:tcBorders>
              <w:right w:val="single" w:sz="8" w:color="auto"/>
            </w:tcBorders>
            <w:vMerge w:val="continue"/>
          </w:tcPr>
          <w:p>
            <w:pPr>
              <w:spacing w:after="0"/>
              <w:rPr>
                <w:sz w:val="3"/>
                <w:szCs w:val="3"/>
                <w:color w:val="auto"/>
              </w:rPr>
            </w:pPr>
          </w:p>
        </w:tc>
        <w:tc>
          <w:tcPr>
            <w:tcW w:w="17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92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Business / Product Line:</w:t>
            </w:r>
          </w:p>
        </w:tc>
        <w:tc>
          <w:tcPr>
            <w:tcW w:w="3820" w:type="dxa"/>
            <w:vAlign w:val="bottom"/>
            <w:tcBorders>
              <w:bottom w:val="single" w:sz="8" w:color="auto"/>
              <w:right w:val="single" w:sz="8" w:color="auto"/>
            </w:tcBorders>
            <w:gridSpan w:val="2"/>
            <w:vMerge w:val="continue"/>
          </w:tcPr>
          <w:p>
            <w:pPr>
              <w:spacing w:after="0"/>
              <w:rPr>
                <w:sz w:val="12"/>
                <w:szCs w:val="12"/>
                <w:color w:val="auto"/>
              </w:rPr>
            </w:pPr>
          </w:p>
        </w:tc>
        <w:tc>
          <w:tcPr>
            <w:tcW w:w="1760" w:type="dxa"/>
            <w:vAlign w:val="bottom"/>
            <w:tcBorders>
              <w:right w:val="single" w:sz="8" w:color="auto"/>
            </w:tcBorders>
          </w:tcPr>
          <w:p>
            <w:pPr>
              <w:jc w:val="center"/>
              <w:ind w:right="11"/>
              <w:spacing w:after="0" w:line="142" w:lineRule="exact"/>
              <w:rPr>
                <w:sz w:val="20"/>
                <w:szCs w:val="20"/>
                <w:color w:val="auto"/>
              </w:rPr>
            </w:pPr>
            <w:r>
              <w:rPr>
                <w:rFonts w:ascii="Arial" w:cs="Arial" w:eastAsia="Arial" w:hAnsi="Arial"/>
                <w:sz w:val="16"/>
                <w:szCs w:val="16"/>
                <w:b w:val="1"/>
                <w:bCs w:val="1"/>
                <w:color w:val="auto"/>
              </w:rPr>
              <w:t>Actual</w:t>
            </w:r>
          </w:p>
        </w:tc>
        <w:tc>
          <w:tcPr>
            <w:tcW w:w="17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rPr>
              <w:t>Constant-Currency</w:t>
            </w:r>
          </w:p>
        </w:tc>
        <w:tc>
          <w:tcPr>
            <w:tcW w:w="0" w:type="dxa"/>
            <w:vAlign w:val="bottom"/>
          </w:tcPr>
          <w:p>
            <w:pPr>
              <w:spacing w:after="0"/>
              <w:rPr>
                <w:sz w:val="1"/>
                <w:szCs w:val="1"/>
                <w:color w:val="auto"/>
              </w:rPr>
            </w:pPr>
          </w:p>
        </w:tc>
      </w:tr>
      <w:tr>
        <w:trPr>
          <w:trHeight w:val="250"/>
        </w:trPr>
        <w:tc>
          <w:tcPr>
            <w:tcW w:w="392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1900" w:type="dxa"/>
            <w:vAlign w:val="bottom"/>
            <w:tcBorders>
              <w:bottom w:val="single" w:sz="8" w:color="auto"/>
              <w:right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92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Currency Rates</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Rates</w:t>
            </w:r>
          </w:p>
        </w:tc>
        <w:tc>
          <w:tcPr>
            <w:tcW w:w="0" w:type="dxa"/>
            <w:vAlign w:val="bottom"/>
          </w:tcPr>
          <w:p>
            <w:pPr>
              <w:spacing w:after="0"/>
              <w:rPr>
                <w:sz w:val="1"/>
                <w:szCs w:val="1"/>
                <w:color w:val="auto"/>
              </w:rPr>
            </w:pPr>
          </w:p>
        </w:tc>
      </w:tr>
      <w:tr>
        <w:trPr>
          <w:trHeight w:val="229"/>
        </w:trPr>
        <w:tc>
          <w:tcPr>
            <w:tcW w:w="3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Cardiopulmonary</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$123.2</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$107.2</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Heart Valves</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21.1</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i w:val="1"/>
                <w:iCs w:val="1"/>
                <w:color w:val="auto"/>
              </w:rPr>
              <w:t>Advanced Circulatory Support</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15.4</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i w:val="1"/>
                <w:iCs w:val="1"/>
                <w:color w:val="auto"/>
              </w:rPr>
              <w:t>12.5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22.8 %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138.6</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140.9</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Neuromodulation</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113.3</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98.4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w:t>
            </w:r>
          </w:p>
        </w:tc>
        <w:tc>
          <w:tcPr>
            <w:tcW w:w="19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9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62.4 %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Cardiovascular, Excluding Heart Valves</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
        </w:trPr>
        <w:tc>
          <w:tcPr>
            <w:tcW w:w="3920" w:type="dxa"/>
            <w:vAlign w:val="bottom"/>
            <w:tcBorders>
              <w:left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Net Sales, Excluding Heart Valves</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39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260" w:right="20" w:hanging="252"/>
        <w:spacing w:after="0" w:line="252" w:lineRule="auto"/>
        <w:tabs>
          <w:tab w:leader="none" w:pos="209" w:val="left"/>
        </w:tabs>
        <w:numPr>
          <w:ilvl w:val="0"/>
          <w:numId w:val="3"/>
        </w:numPr>
        <w:rPr>
          <w:rFonts w:ascii="Arial" w:cs="Arial" w:eastAsia="Arial" w:hAnsi="Arial"/>
          <w:sz w:val="16"/>
          <w:szCs w:val="16"/>
          <w:color w:val="auto"/>
        </w:rPr>
      </w:pPr>
      <w:r>
        <w:rPr>
          <w:rFonts w:ascii="Arial" w:cs="Arial" w:eastAsia="Arial" w:hAnsi="Arial"/>
          <w:sz w:val="16"/>
          <w:szCs w:val="16"/>
          <w:color w:val="auto"/>
        </w:rPr>
        <w:t>Note: Numbers may not add precisely due to rounding. Constant-currency percent change, Cardiovascular, Excluding Heart Valves and Total Net Sales, Excluding Heart Valves are non-GAAP metrics. For an explanation of these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375"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Cardiovascular</w:t>
      </w:r>
    </w:p>
    <w:p>
      <w:pPr>
        <w:spacing w:after="0" w:line="347" w:lineRule="exact"/>
        <w:rPr>
          <w:sz w:val="20"/>
          <w:szCs w:val="20"/>
          <w:color w:val="auto"/>
        </w:rPr>
      </w:pPr>
    </w:p>
    <w:p>
      <w:pPr>
        <w:jc w:val="both"/>
        <w:ind w:right="20"/>
        <w:spacing w:after="0" w:line="355" w:lineRule="auto"/>
        <w:rPr>
          <w:sz w:val="20"/>
          <w:szCs w:val="20"/>
          <w:color w:val="auto"/>
        </w:rPr>
      </w:pPr>
      <w:r>
        <w:rPr>
          <w:rFonts w:ascii="Arial" w:cs="Arial" w:eastAsia="Arial" w:hAnsi="Arial"/>
          <w:sz w:val="20"/>
          <w:szCs w:val="20"/>
          <w:color w:val="auto"/>
        </w:rPr>
        <w:t>Cardiovascular sales for the third quarter of 2021 were $138.6 million, representing a 15.4 percent increase versus the third quarter of 2020 after excluding the impact of the Heart Values divestiture. Heart Valves sales in the third quarter of 2020 were $21.1 million.</w:t>
      </w:r>
    </w:p>
    <w:p>
      <w:pPr>
        <w:spacing w:after="0" w:line="207" w:lineRule="exact"/>
        <w:rPr>
          <w:sz w:val="20"/>
          <w:szCs w:val="20"/>
          <w:color w:val="auto"/>
        </w:rPr>
      </w:pPr>
    </w:p>
    <w:p>
      <w:pPr>
        <w:jc w:val="both"/>
        <w:ind w:right="40"/>
        <w:spacing w:after="0" w:line="359" w:lineRule="auto"/>
        <w:rPr>
          <w:sz w:val="20"/>
          <w:szCs w:val="20"/>
          <w:color w:val="auto"/>
        </w:rPr>
      </w:pPr>
      <w:r>
        <w:rPr>
          <w:rFonts w:ascii="Arial" w:cs="Arial" w:eastAsia="Arial" w:hAnsi="Arial"/>
          <w:sz w:val="20"/>
          <w:szCs w:val="20"/>
          <w:color w:val="auto"/>
        </w:rPr>
        <w:t>Sales in Cardiopulmonary products were $123.2 million, representing a 14.5 percent increase versus the third quarter of 2020 primarily related to growth in oxygenator and heart-lung machine sales across all regions.</w:t>
      </w:r>
    </w:p>
    <w:p>
      <w:pPr>
        <w:spacing w:after="0" w:line="202"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ACS sales were $15.4 million in the quarter, an increase of 22.7 percent compared to the third quarter of 2020, due to the continued adoption of LifeSPARC</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 the U.S. and an increase in procedure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60"/>
          </w:cols>
          <w:pgMar w:left="320" w:top="1440" w:right="319" w:bottom="1440" w:gutter="0" w:footer="0" w:header="0"/>
        </w:sectPr>
      </w:pPr>
    </w:p>
    <w:bookmarkStart w:id="5" w:name="page6"/>
    <w:bookmarkEnd w:id="5"/>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Neuromodulation</w:t>
      </w:r>
    </w:p>
    <w:p>
      <w:pPr>
        <w:spacing w:after="0" w:line="347"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Neuromodulation sales were $113.3 million in the third quarter, representing a 14.6 percent increase versus the third quarter of 2020, reflecting improved market dynamics across all regions.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Financial Performance</w:t>
      </w:r>
    </w:p>
    <w:p>
      <w:pPr>
        <w:spacing w:after="0" w:line="347"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On a U.S. GAAP basis, third quarter 2021 operating income from continuing operations was $17.9 million. Adjusted operating income from continuing operations for the third quarter of 2021 was $47.9 million, an increase of 49.1 percent as compared to the third quarter of 2020. This increase was primarily driven by favorable sales results and gross margin improvements.</w:t>
      </w:r>
    </w:p>
    <w:p>
      <w:pPr>
        <w:spacing w:after="0" w:line="207"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On a U.S. GAAP basis, the third quarter 2021 effective tax rate was a negative 5.2 percent, as compared to 21.3 percent in the third quarter of 2020. The adjusted effective tax rate in the quarter was 10.5 percent, as compared to 4.5 percent in the third quarter of 2020, related to changes in the geographic income mix.</w:t>
      </w:r>
    </w:p>
    <w:p>
      <w:pPr>
        <w:spacing w:after="0" w:line="207"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On a U.S. GAAP basis, third quarter 2021 diluted loss per share from continuing operations was $0.82. Third quarter 2021 adjusted diluted earnings per share from continuing operations was $0.68, as compared to $0.38 per share in the third quarter of 2020. Adjusted diluted weighted average shares outstanding for the third quarter of 2021 were 52.4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2021 Updated Guidance</w:t>
      </w:r>
    </w:p>
    <w:p>
      <w:pPr>
        <w:spacing w:after="0" w:line="347" w:lineRule="exact"/>
        <w:rPr>
          <w:sz w:val="20"/>
          <w:szCs w:val="20"/>
          <w:color w:val="auto"/>
        </w:rPr>
      </w:pPr>
    </w:p>
    <w:p>
      <w:pPr>
        <w:jc w:val="both"/>
        <w:spacing w:after="0" w:line="375" w:lineRule="auto"/>
        <w:rPr>
          <w:sz w:val="20"/>
          <w:szCs w:val="20"/>
          <w:color w:val="auto"/>
        </w:rPr>
      </w:pPr>
      <w:r>
        <w:rPr>
          <w:rFonts w:ascii="Arial" w:cs="Arial" w:eastAsia="Arial" w:hAnsi="Arial"/>
          <w:sz w:val="19"/>
          <w:szCs w:val="19"/>
          <w:color w:val="auto"/>
        </w:rPr>
        <w:t>LivaNova is raising its full-year guidance based upon performance in the first nine months of 2021. Worldwide net sales from continuing operations for full-year 2021 are now expected to grow between 8 and 11 percent on a constant-currency basis, and between 15 and 18 percent after excluding the impact of the Heart Valves divestiture. Adjusted diluted earnings per share from continuing operations for 2021 are now expected to be in the range of $2.00 to $2.10 assuming a share count of 51.5 million for the full-year 2021. In 2021, the Company now estimates that adjusted free cash flow will be in the range of $55 to $75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Webcast and Conference Call Instructions</w:t>
      </w:r>
    </w:p>
    <w:p>
      <w:pPr>
        <w:spacing w:after="0" w:line="347"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 xml:space="preserve">The Company will host a live audiocast for interested parties commencing at 12 p.m. London time (8 a.m. Eastern Daylight Time) on Wednesday, November 3, 2021 that will be accessible through the Investors section of the LivaNova website at </w:t>
      </w:r>
      <w:r>
        <w:rPr>
          <w:rFonts w:ascii="Arial" w:cs="Arial" w:eastAsia="Arial" w:hAnsi="Arial"/>
          <w:sz w:val="20"/>
          <w:szCs w:val="20"/>
          <w:u w:val="single" w:color="auto"/>
          <w:color w:val="0E32E1"/>
        </w:rPr>
        <w:t>www.livanova.com</w:t>
      </w:r>
      <w:r>
        <w:rPr>
          <w:rFonts w:ascii="Arial" w:cs="Arial" w:eastAsia="Arial" w:hAnsi="Arial"/>
          <w:sz w:val="20"/>
          <w:szCs w:val="20"/>
          <w:color w:val="0E32E1"/>
        </w:rPr>
        <w:t xml:space="preserve">. </w:t>
      </w:r>
      <w:r>
        <w:rPr>
          <w:rFonts w:ascii="Arial" w:cs="Arial" w:eastAsia="Arial" w:hAnsi="Arial"/>
          <w:sz w:val="20"/>
          <w:szCs w:val="20"/>
          <w:color w:val="000000"/>
        </w:rPr>
        <w:t>Listeners should log on approximately 10 minutes in advance to ensure proper setup to receive the</w:t>
      </w:r>
      <w:r>
        <w:rPr>
          <w:rFonts w:ascii="Arial" w:cs="Arial" w:eastAsia="Arial" w:hAnsi="Arial"/>
          <w:sz w:val="20"/>
          <w:szCs w:val="20"/>
          <w:color w:val="0E32E1"/>
        </w:rPr>
        <w:t xml:space="preserve"> </w:t>
      </w:r>
      <w:r>
        <w:rPr>
          <w:rFonts w:ascii="Arial" w:cs="Arial" w:eastAsia="Arial" w:hAnsi="Arial"/>
          <w:sz w:val="20"/>
          <w:szCs w:val="20"/>
          <w:color w:val="000000"/>
        </w:rPr>
        <w:t>audiocast. To listen to the conference call by telephone, dial +1 844 200 6205 (if dialing from within the U.S.) or +44 208 0682 558 (if dialing from outside the U.S.). The conference ID is 386626. Within 24 hours of the audiocast, a replay will be available under the "News / Events &amp; Presentations" section of the Investors portion of the LivaNova website, where it will be archived and accessible for approximately 90 days.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6D2077"/>
        </w:rPr>
        <w:t>About LivaNova</w:t>
      </w:r>
    </w:p>
    <w:p>
      <w:pPr>
        <w:spacing w:after="0" w:line="323"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6D2077"/>
        </w:rPr>
        <w:t>Use of Non-GAAP Financial Measures</w:t>
      </w:r>
    </w:p>
    <w:p>
      <w:pPr>
        <w:spacing w:after="0" w:line="323"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09"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13"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segment operating income,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153" w:lineRule="exact"/>
        <w:rPr>
          <w:sz w:val="20"/>
          <w:szCs w:val="20"/>
          <w:color w:val="auto"/>
        </w:rPr>
      </w:pPr>
    </w:p>
    <w:p>
      <w:pPr>
        <w:spacing w:after="0"/>
        <w:rPr>
          <w:sz w:val="20"/>
          <w:szCs w:val="20"/>
          <w:color w:val="auto"/>
        </w:rPr>
      </w:pPr>
      <w:r>
        <w:rPr>
          <w:rFonts w:ascii="Arial" w:cs="Arial" w:eastAsia="Arial" w:hAnsi="Arial"/>
          <w:sz w:val="20"/>
          <w:szCs w:val="20"/>
          <w:color w:val="6D2077"/>
        </w:rPr>
        <w:t>Safe Harbor Statement</w:t>
      </w:r>
    </w:p>
    <w:p>
      <w:pPr>
        <w:spacing w:after="0" w:line="323" w:lineRule="exact"/>
        <w:rPr>
          <w:sz w:val="20"/>
          <w:szCs w:val="20"/>
          <w:color w:val="auto"/>
        </w:rPr>
      </w:pPr>
    </w:p>
    <w:p>
      <w:pPr>
        <w:jc w:val="both"/>
        <w:spacing w:after="0" w:line="351" w:lineRule="auto"/>
        <w:rPr>
          <w:sz w:val="20"/>
          <w:szCs w:val="20"/>
          <w:color w:val="auto"/>
        </w:rPr>
      </w:pPr>
      <w:r>
        <w:rPr>
          <w:rFonts w:ascii="Arial" w:cs="Arial" w:eastAsia="Arial" w:hAnsi="Arial"/>
          <w:sz w:val="20"/>
          <w:szCs w:val="20"/>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appointments,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2021,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 (i) the severity and duration of the COVID-19 pandemic, its variants and the related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w:t>
      </w:r>
    </w:p>
    <w:p>
      <w:pPr>
        <w:spacing w:after="0" w:line="16" w:lineRule="exact"/>
        <w:rPr>
          <w:sz w:val="20"/>
          <w:szCs w:val="20"/>
          <w:color w:val="auto"/>
        </w:rPr>
      </w:pPr>
    </w:p>
    <w:p>
      <w:pPr>
        <w:jc w:val="both"/>
        <w:ind w:firstLine="8"/>
        <w:spacing w:after="0" w:line="352" w:lineRule="auto"/>
        <w:tabs>
          <w:tab w:leader="none" w:pos="359"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jc w:val="both"/>
        <w:spacing w:after="0" w:line="352" w:lineRule="auto"/>
        <w:rPr>
          <w:sz w:val="20"/>
          <w:szCs w:val="20"/>
          <w:color w:val="auto"/>
        </w:rPr>
      </w:pPr>
      <w:r>
        <w:rPr>
          <w:rFonts w:ascii="Arial" w:cs="Arial" w:eastAsia="Arial" w:hAnsi="Arial"/>
          <w:sz w:val="20"/>
          <w:szCs w:val="20"/>
          <w:color w:val="auto"/>
        </w:rPr>
        <w:t>assessments, tax adjustments, anticipated tax rates, labor shortages, supplier disruptions, raw material costs or availability, benefit or retirement plan costs, or other regulatory compliance costs; (xiii) the inability of LivaNova to meet expectations regarding the timing, completion and accounting of tax treatments; and (xiv) organizational and governance structure.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214"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Lindsey Little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20"/>
          <w:szCs w:val="20"/>
          <w:color w:val="auto"/>
        </w:rPr>
        <w:t>Senior Director, Investor Relations</w:t>
      </w:r>
    </w:p>
    <w:p>
      <w:pPr>
        <w:ind w:left="60"/>
        <w:spacing w:after="0"/>
        <w:rPr>
          <w:sz w:val="20"/>
          <w:szCs w:val="20"/>
          <w:color w:val="auto"/>
        </w:rPr>
      </w:pPr>
      <w:r>
        <w:rPr>
          <w:rFonts w:ascii="Arial" w:cs="Arial" w:eastAsia="Arial" w:hAnsi="Arial"/>
          <w:sz w:val="20"/>
          <w:szCs w:val="20"/>
          <w:color w:val="auto"/>
        </w:rPr>
        <w:t>Phone: +1 281-895-2382</w:t>
      </w:r>
    </w:p>
    <w:p>
      <w:pPr>
        <w:ind w:left="60"/>
        <w:spacing w:after="0"/>
        <w:rPr>
          <w:sz w:val="20"/>
          <w:szCs w:val="20"/>
          <w:color w:val="auto"/>
        </w:rPr>
      </w:pPr>
      <w:r>
        <w:rPr>
          <w:rFonts w:ascii="Arial" w:cs="Arial" w:eastAsia="Arial" w:hAnsi="Arial"/>
          <w:sz w:val="20"/>
          <w:szCs w:val="20"/>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8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vMerge w:val="continue"/>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9"/>
              </w:rPr>
              <w:t>% Change at Actual</w:t>
            </w:r>
          </w:p>
        </w:tc>
        <w:tc>
          <w:tcPr>
            <w:tcW w:w="17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175"/>
        </w:trPr>
        <w:tc>
          <w:tcPr>
            <w:tcW w:w="4480" w:type="dxa"/>
            <w:vAlign w:val="bottom"/>
          </w:tcPr>
          <w:p>
            <w:pPr>
              <w:spacing w:after="0"/>
              <w:rPr>
                <w:sz w:val="15"/>
                <w:szCs w:val="15"/>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Constant-Currency</w:t>
            </w:r>
          </w:p>
        </w:tc>
        <w:tc>
          <w:tcPr>
            <w:tcW w:w="0" w:type="dxa"/>
            <w:vAlign w:val="bottom"/>
          </w:tcPr>
          <w:p>
            <w:pPr>
              <w:spacing w:after="0"/>
              <w:rPr>
                <w:sz w:val="1"/>
                <w:szCs w:val="1"/>
                <w:color w:val="auto"/>
              </w:rPr>
            </w:pPr>
          </w:p>
        </w:tc>
      </w:tr>
      <w:tr>
        <w:trPr>
          <w:trHeight w:val="229"/>
        </w:trPr>
        <w:tc>
          <w:tcPr>
            <w:tcW w:w="44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Currency Rates</w:t>
            </w:r>
          </w:p>
        </w:tc>
        <w:tc>
          <w:tcPr>
            <w:tcW w:w="178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3"/>
              </w:rPr>
              <w:t xml:space="preserve">Rates </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19.7 %</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3"/>
        </w:trPr>
        <w:tc>
          <w:tcPr>
            <w:tcW w:w="448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9"/>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Heart Valves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20"/>
              <w:spacing w:after="0"/>
              <w:rPr>
                <w:sz w:val="20"/>
                <w:szCs w:val="20"/>
                <w:color w:val="auto"/>
              </w:rPr>
            </w:pPr>
            <w:r>
              <w:rPr>
                <w:rFonts w:ascii="Arial" w:cs="Arial" w:eastAsia="Arial" w:hAnsi="Arial"/>
                <w:sz w:val="18"/>
                <w:szCs w:val="18"/>
                <w:color w:val="auto"/>
              </w:rPr>
              <w:t>US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80" w:type="dxa"/>
            <w:vAlign w:val="bottom"/>
          </w:tcPr>
          <w:p>
            <w:pPr>
              <w:ind w:left="320"/>
              <w:spacing w:after="0"/>
              <w:rPr>
                <w:sz w:val="20"/>
                <w:szCs w:val="20"/>
                <w:color w:val="auto"/>
              </w:rPr>
            </w:pPr>
            <w:r>
              <w:rPr>
                <w:rFonts w:ascii="Arial" w:cs="Arial" w:eastAsia="Arial" w:hAnsi="Arial"/>
                <w:sz w:val="18"/>
                <w:szCs w:val="18"/>
                <w:color w:val="auto"/>
              </w:rPr>
              <w:t>Total</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9"/>
        </w:trPr>
        <w:tc>
          <w:tcPr>
            <w:tcW w:w="4480" w:type="dxa"/>
            <w:vAlign w:val="bottom"/>
          </w:tcPr>
          <w:p>
            <w:pPr>
              <w:ind w:left="100"/>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17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NM</w:t>
            </w:r>
          </w:p>
        </w:tc>
        <w:tc>
          <w:tcPr>
            <w:tcW w:w="17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48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19"/>
        </w:trPr>
        <w:tc>
          <w:tcPr>
            <w:tcW w:w="4480" w:type="dxa"/>
            <w:vAlign w:val="bottom"/>
          </w:tcPr>
          <w:p>
            <w:pPr>
              <w:spacing w:after="0"/>
              <w:rPr>
                <w:sz w:val="20"/>
                <w:szCs w:val="20"/>
                <w:color w:val="auto"/>
              </w:rPr>
            </w:pPr>
            <w:r>
              <w:rPr>
                <w:rFonts w:ascii="Arial" w:cs="Arial" w:eastAsia="Arial" w:hAnsi="Arial"/>
                <w:sz w:val="18"/>
                <w:szCs w:val="18"/>
                <w:b w:val="1"/>
                <w:bCs w:val="1"/>
                <w:color w:val="auto"/>
              </w:rPr>
              <w:t>Cardiovascular</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9"/>
        </w:trPr>
        <w:tc>
          <w:tcPr>
            <w:tcW w:w="448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19"/>
        </w:trPr>
        <w:tc>
          <w:tcPr>
            <w:tcW w:w="448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N/A</w:t>
            </w: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62.4 %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62.4 %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61.2 %</w:t>
            </w:r>
          </w:p>
        </w:tc>
        <w:tc>
          <w:tcPr>
            <w:tcW w:w="0" w:type="dxa"/>
            <w:vAlign w:val="bottom"/>
          </w:tcPr>
          <w:p>
            <w:pPr>
              <w:spacing w:after="0"/>
              <w:rPr>
                <w:sz w:val="1"/>
                <w:szCs w:val="1"/>
                <w:color w:val="auto"/>
              </w:rPr>
            </w:pPr>
          </w:p>
        </w:tc>
      </w:tr>
      <w:tr>
        <w:trPr>
          <w:trHeight w:val="219"/>
        </w:trPr>
        <w:tc>
          <w:tcPr>
            <w:tcW w:w="44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80" w:type="dxa"/>
            <w:vAlign w:val="bottom"/>
          </w:tcPr>
          <w:p>
            <w:pPr>
              <w:ind w:left="10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480" w:type="dxa"/>
            <w:vAlign w:val="bottom"/>
          </w:tcPr>
          <w:p>
            <w:pPr>
              <w:ind w:left="10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448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40" w:right="40" w:hanging="421"/>
        <w:spacing w:after="0" w:line="232"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40" w:hanging="421"/>
        <w:spacing w:after="0"/>
        <w:tabs>
          <w:tab w:leader="none" w:pos="4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spacing w:after="0"/>
              <w:rPr>
                <w:sz w:val="20"/>
                <w:szCs w:val="20"/>
                <w:color w:val="auto"/>
              </w:rPr>
            </w:pPr>
            <w:r>
              <w:rPr>
                <w:rFonts w:ascii="Arial" w:cs="Arial" w:eastAsia="Arial" w:hAnsi="Arial"/>
                <w:sz w:val="18"/>
                <w:szCs w:val="18"/>
                <w:b w:val="1"/>
                <w:bCs w:val="1"/>
                <w:color w:val="auto"/>
              </w:rPr>
              <w:t>LIVANOVA PLC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00" w:type="dxa"/>
            <w:vAlign w:val="bottom"/>
          </w:tcPr>
          <w:p>
            <w:pPr>
              <w:spacing w:after="0"/>
              <w:rPr>
                <w:sz w:val="20"/>
                <w:szCs w:val="20"/>
                <w:color w:val="auto"/>
              </w:rPr>
            </w:pPr>
            <w:r>
              <w:rPr>
                <w:rFonts w:ascii="Arial" w:cs="Arial" w:eastAsia="Arial" w:hAnsi="Arial"/>
                <w:sz w:val="18"/>
                <w:szCs w:val="18"/>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5"/>
            <w:vMerge w:val="restart"/>
          </w:tcPr>
          <w:p>
            <w:pPr>
              <w:ind w:left="460"/>
              <w:spacing w:after="0"/>
              <w:rPr>
                <w:sz w:val="20"/>
                <w:szCs w:val="20"/>
                <w:color w:val="auto"/>
              </w:rPr>
            </w:pPr>
            <w:r>
              <w:rPr>
                <w:rFonts w:ascii="Arial" w:cs="Arial" w:eastAsia="Arial" w:hAnsi="Arial"/>
                <w:sz w:val="18"/>
                <w:szCs w:val="18"/>
                <w:b w:val="1"/>
                <w:bCs w:val="1"/>
                <w:color w:val="auto"/>
              </w:rPr>
              <w:t>Nine Months Ended September 30,</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5"/>
            <w:vMerge w:val="continue"/>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9"/>
              </w:rPr>
              <w:t>% Change at Actual</w:t>
            </w:r>
          </w:p>
        </w:tc>
        <w:tc>
          <w:tcPr>
            <w:tcW w:w="1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8"/>
              </w:rPr>
              <w:t>% Change at</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3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132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Constant-Currency</w:t>
            </w:r>
          </w:p>
        </w:tc>
        <w:tc>
          <w:tcPr>
            <w:tcW w:w="0" w:type="dxa"/>
            <w:vAlign w:val="bottom"/>
          </w:tcPr>
          <w:p>
            <w:pPr>
              <w:spacing w:after="0"/>
              <w:rPr>
                <w:sz w:val="1"/>
                <w:szCs w:val="1"/>
                <w:color w:val="auto"/>
              </w:rPr>
            </w:pPr>
          </w:p>
        </w:tc>
      </w:tr>
      <w:tr>
        <w:trPr>
          <w:trHeight w:val="229"/>
        </w:trPr>
        <w:tc>
          <w:tcPr>
            <w:tcW w:w="45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Cardiopulmonary</w:t>
            </w: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Currency Rates</w:t>
            </w:r>
          </w:p>
        </w:tc>
        <w:tc>
          <w:tcPr>
            <w:tcW w:w="182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Rates </w:t>
            </w:r>
            <w:r>
              <w:rPr>
                <w:rFonts w:ascii="Arial" w:cs="Arial" w:eastAsia="Arial" w:hAnsi="Arial"/>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09"/>
        </w:trPr>
        <w:tc>
          <w:tcPr>
            <w:tcW w:w="4500" w:type="dxa"/>
            <w:vAlign w:val="bottom"/>
            <w:vMerge w:val="continue"/>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$96.2</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Heart Valves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3"/>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9"/>
        </w:trPr>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Advanced Circulatory Support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2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2040" w:type="dxa"/>
            <w:vAlign w:val="bottom"/>
            <w:gridSpan w:val="3"/>
          </w:tcPr>
          <w:p>
            <w:pPr>
              <w:ind w:left="1560"/>
              <w:spacing w:after="0"/>
              <w:rPr>
                <w:sz w:val="20"/>
                <w:szCs w:val="20"/>
                <w:color w:val="auto"/>
              </w:rPr>
            </w:pPr>
            <w:r>
              <w:rPr>
                <w:rFonts w:ascii="Arial" w:cs="Arial" w:eastAsia="Arial" w:hAnsi="Arial"/>
                <w:sz w:val="18"/>
                <w:szCs w:val="18"/>
                <w:color w:val="auto"/>
              </w:rPr>
              <w:t>NM</w:t>
            </w: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2040" w:type="dxa"/>
            <w:vAlign w:val="bottom"/>
            <w:gridSpan w:val="3"/>
          </w:tcPr>
          <w:p>
            <w:pPr>
              <w:ind w:left="1560"/>
              <w:spacing w:after="0"/>
              <w:rPr>
                <w:sz w:val="20"/>
                <w:szCs w:val="20"/>
                <w:color w:val="auto"/>
              </w:rPr>
            </w:pPr>
            <w:r>
              <w:rPr>
                <w:rFonts w:ascii="Arial" w:cs="Arial" w:eastAsia="Arial" w:hAnsi="Arial"/>
                <w:sz w:val="18"/>
                <w:szCs w:val="18"/>
                <w:color w:val="auto"/>
              </w:rPr>
              <w:t>NM</w:t>
            </w:r>
          </w:p>
        </w:tc>
        <w:tc>
          <w:tcPr>
            <w:tcW w:w="18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500" w:type="dxa"/>
            <w:vAlign w:val="bottom"/>
          </w:tcPr>
          <w:p>
            <w:pPr>
              <w:ind w:left="3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43.4 %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43.2 %</w:t>
            </w:r>
          </w:p>
        </w:tc>
        <w:tc>
          <w:tcPr>
            <w:tcW w:w="0" w:type="dxa"/>
            <w:vAlign w:val="bottom"/>
          </w:tcPr>
          <w:p>
            <w:pPr>
              <w:spacing w:after="0"/>
              <w:rPr>
                <w:sz w:val="1"/>
                <w:szCs w:val="1"/>
                <w:color w:val="auto"/>
              </w:rPr>
            </w:pP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Cardiovascular</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ectPr>
          <w:pgSz w:w="11900" w:h="16900" w:orient="portrait"/>
          <w:cols w:equalWidth="0" w:num="1">
            <w:col w:w="11220"/>
          </w:cols>
          <w:pgMar w:left="340" w:top="157" w:right="3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417.5</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2.4 %</w:t>
            </w:r>
          </w:p>
        </w:tc>
        <w:tc>
          <w:tcPr>
            <w:tcW w:w="12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Neuromodulation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197.3</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33.2 %</w:t>
            </w:r>
          </w:p>
        </w:tc>
        <w:tc>
          <w:tcPr>
            <w:tcW w:w="1280" w:type="dxa"/>
            <w:vAlign w:val="bottom"/>
          </w:tcPr>
          <w:p>
            <w:pPr>
              <w:jc w:val="right"/>
              <w:spacing w:after="0"/>
              <w:rPr>
                <w:sz w:val="20"/>
                <w:szCs w:val="20"/>
                <w:color w:val="auto"/>
              </w:rPr>
            </w:pPr>
            <w:r>
              <w:rPr>
                <w:rFonts w:ascii="Arial" w:cs="Arial" w:eastAsia="Arial" w:hAnsi="Arial"/>
                <w:sz w:val="18"/>
                <w:szCs w:val="18"/>
                <w:color w:val="auto"/>
              </w:rPr>
              <w:t>33.2 %</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41.2 %</w:t>
            </w:r>
          </w:p>
        </w:tc>
        <w:tc>
          <w:tcPr>
            <w:tcW w:w="1280" w:type="dxa"/>
            <w:vAlign w:val="bottom"/>
          </w:tcPr>
          <w:p>
            <w:pPr>
              <w:jc w:val="right"/>
              <w:spacing w:after="0"/>
              <w:rPr>
                <w:sz w:val="20"/>
                <w:szCs w:val="20"/>
                <w:color w:val="auto"/>
              </w:rPr>
            </w:pPr>
            <w:r>
              <w:rPr>
                <w:rFonts w:ascii="Arial" w:cs="Arial" w:eastAsia="Arial" w:hAnsi="Arial"/>
                <w:sz w:val="18"/>
                <w:szCs w:val="18"/>
                <w:color w:val="auto"/>
              </w:rPr>
              <w:t>31.1 %</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61.4 %</w:t>
            </w:r>
          </w:p>
        </w:tc>
        <w:tc>
          <w:tcPr>
            <w:tcW w:w="1280" w:type="dxa"/>
            <w:vAlign w:val="bottom"/>
          </w:tcPr>
          <w:p>
            <w:pPr>
              <w:jc w:val="right"/>
              <w:spacing w:after="0"/>
              <w:rPr>
                <w:sz w:val="20"/>
                <w:szCs w:val="20"/>
                <w:color w:val="auto"/>
              </w:rPr>
            </w:pPr>
            <w:r>
              <w:rPr>
                <w:rFonts w:ascii="Arial" w:cs="Arial" w:eastAsia="Arial" w:hAnsi="Arial"/>
                <w:sz w:val="18"/>
                <w:szCs w:val="18"/>
                <w:color w:val="auto"/>
              </w:rPr>
              <w:t>59.0 %</w:t>
            </w: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36.4 %</w:t>
            </w:r>
          </w:p>
        </w:tc>
        <w:tc>
          <w:tcPr>
            <w:tcW w:w="1280" w:type="dxa"/>
            <w:vAlign w:val="bottom"/>
          </w:tcPr>
          <w:p>
            <w:pPr>
              <w:jc w:val="right"/>
              <w:spacing w:after="0"/>
              <w:rPr>
                <w:sz w:val="20"/>
                <w:szCs w:val="20"/>
                <w:color w:val="auto"/>
              </w:rPr>
            </w:pPr>
            <w:r>
              <w:rPr>
                <w:rFonts w:ascii="Arial" w:cs="Arial" w:eastAsia="Arial" w:hAnsi="Arial"/>
                <w:sz w:val="18"/>
                <w:szCs w:val="18"/>
                <w:color w:val="auto"/>
              </w:rPr>
              <w:t>35.1 %</w:t>
            </w: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N/A</w:t>
            </w:r>
          </w:p>
        </w:tc>
        <w:tc>
          <w:tcPr>
            <w:tcW w:w="12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55.9 %</w:t>
            </w:r>
          </w:p>
        </w:tc>
        <w:tc>
          <w:tcPr>
            <w:tcW w:w="128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55.9 %</w:t>
            </w:r>
          </w:p>
        </w:tc>
        <w:tc>
          <w:tcPr>
            <w:tcW w:w="1280" w:type="dxa"/>
            <w:vAlign w:val="bottom"/>
          </w:tcPr>
          <w:p>
            <w:pPr>
              <w:jc w:val="right"/>
              <w:spacing w:after="0"/>
              <w:rPr>
                <w:sz w:val="20"/>
                <w:szCs w:val="20"/>
                <w:color w:val="auto"/>
              </w:rPr>
            </w:pPr>
            <w:r>
              <w:rPr>
                <w:rFonts w:ascii="Arial" w:cs="Arial" w:eastAsia="Arial" w:hAnsi="Arial"/>
                <w:sz w:val="18"/>
                <w:szCs w:val="18"/>
                <w:color w:val="auto"/>
              </w:rPr>
              <w:t>48.2 %</w:t>
            </w:r>
          </w:p>
        </w:tc>
      </w:tr>
      <w:tr>
        <w:trPr>
          <w:trHeight w:val="219"/>
        </w:trPr>
        <w:tc>
          <w:tcPr>
            <w:tcW w:w="45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4500" w:type="dxa"/>
            <w:vAlign w:val="bottom"/>
          </w:tcPr>
          <w:p>
            <w:pPr>
              <w:ind w:left="120"/>
              <w:spacing w:after="0"/>
              <w:rPr>
                <w:sz w:val="20"/>
                <w:szCs w:val="20"/>
                <w:color w:val="auto"/>
              </w:rPr>
            </w:pPr>
            <w:r>
              <w:rPr>
                <w:rFonts w:ascii="Arial" w:cs="Arial" w:eastAsia="Arial" w:hAnsi="Arial"/>
                <w:sz w:val="18"/>
                <w:szCs w:val="18"/>
                <w:color w:val="auto"/>
              </w:rPr>
              <w:t>US</w:t>
            </w:r>
          </w:p>
        </w:tc>
        <w:tc>
          <w:tcPr>
            <w:tcW w:w="1320" w:type="dxa"/>
            <w:vAlign w:val="bottom"/>
          </w:tcPr>
          <w:p>
            <w:pPr>
              <w:jc w:val="right"/>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330.6</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27.5 %</w:t>
            </w: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Europe</w:t>
            </w:r>
          </w:p>
        </w:tc>
        <w:tc>
          <w:tcPr>
            <w:tcW w:w="1320" w:type="dxa"/>
            <w:vAlign w:val="bottom"/>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138.6</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10.1 %</w:t>
            </w:r>
          </w:p>
        </w:tc>
        <w:tc>
          <w:tcPr>
            <w:tcW w:w="128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4500" w:type="dxa"/>
            <w:vAlign w:val="bottom"/>
          </w:tcPr>
          <w:p>
            <w:pPr>
              <w:ind w:left="120"/>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(2.1)%</w:t>
            </w: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50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w:t>
            </w:r>
          </w:p>
        </w:tc>
        <w:tc>
          <w:tcPr>
            <w:tcW w:w="2680" w:type="dxa"/>
            <w:vAlign w:val="bottom"/>
          </w:tcPr>
          <w:p>
            <w:pPr>
              <w:jc w:val="right"/>
              <w:ind w:right="630"/>
              <w:spacing w:after="0"/>
              <w:rPr>
                <w:sz w:val="20"/>
                <w:szCs w:val="20"/>
                <w:color w:val="auto"/>
              </w:rPr>
            </w:pPr>
            <w:r>
              <w:rPr>
                <w:rFonts w:ascii="Arial" w:cs="Arial" w:eastAsia="Arial" w:hAnsi="Arial"/>
                <w:sz w:val="18"/>
                <w:szCs w:val="18"/>
                <w:color w:val="auto"/>
              </w:rPr>
              <w:t>15.1 %</w:t>
            </w:r>
          </w:p>
        </w:tc>
        <w:tc>
          <w:tcPr>
            <w:tcW w:w="1280" w:type="dxa"/>
            <w:vAlign w:val="bottom"/>
          </w:tcPr>
          <w:p>
            <w:pPr>
              <w:jc w:val="right"/>
              <w:spacing w:after="0"/>
              <w:rPr>
                <w:sz w:val="20"/>
                <w:szCs w:val="20"/>
                <w:color w:val="auto"/>
              </w:rPr>
            </w:pPr>
            <w:r>
              <w:rPr>
                <w:rFonts w:ascii="Arial" w:cs="Arial" w:eastAsia="Arial" w:hAnsi="Arial"/>
                <w:sz w:val="18"/>
                <w:szCs w:val="18"/>
                <w:color w:val="auto"/>
              </w:rPr>
              <w:t>12.9 %</w:t>
            </w:r>
          </w:p>
        </w:tc>
      </w:tr>
      <w:tr>
        <w:trPr>
          <w:trHeight w:val="20"/>
        </w:trPr>
        <w:tc>
          <w:tcPr>
            <w:tcW w:w="45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45" w:lineRule="exact"/>
        <w:rPr>
          <w:sz w:val="20"/>
          <w:szCs w:val="20"/>
          <w:color w:val="auto"/>
        </w:rPr>
      </w:pPr>
    </w:p>
    <w:p>
      <w:pPr>
        <w:ind w:left="420" w:hanging="414"/>
        <w:spacing w:after="0" w:line="232"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20" w:hanging="414"/>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sales results presented are unaudited. Numbers may not add precisely due to rounding.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00"/>
          </w:cols>
          <w:pgMar w:left="340" w:top="120" w:right="359" w:bottom="1440" w:gutter="0" w:footer="0" w:header="0"/>
        </w:sectPr>
      </w:pPr>
    </w:p>
    <w:bookmarkStart w:id="13" w:name="page14"/>
    <w:bookmarkEnd w:id="13"/>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2" w:lineRule="exact"/>
        <w:rPr>
          <w:sz w:val="20"/>
          <w:szCs w:val="20"/>
          <w:color w:val="auto"/>
        </w:rPr>
      </w:pPr>
    </w:p>
    <w:p>
      <w:pPr>
        <w:ind w:right="5060"/>
        <w:spacing w:after="0" w:line="291"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38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86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86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147.6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income (loss) from 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(7.5)</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1860" w:type="dxa"/>
            <w:vAlign w:val="bottom"/>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and other gains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from continuing operations before tax</w:t>
            </w:r>
          </w:p>
        </w:tc>
        <w:tc>
          <w:tcPr>
            <w:tcW w:w="18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(18.7)</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114.3 %</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 (benefit)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8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185.9 %</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185.9 %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Basic loss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loss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Basic</w:t>
            </w:r>
          </w:p>
        </w:tc>
        <w:tc>
          <w:tcPr>
            <w:tcW w:w="18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 Numbers may not add precisely due to rounding.</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340" w:top="1440" w:right="339" w:bottom="1440" w:gutter="0" w:footer="0" w:header="0"/>
        </w:sectPr>
      </w:pPr>
    </w:p>
    <w:bookmarkStart w:id="14" w:name="page15"/>
    <w:bookmarkEnd w:id="14"/>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45"/>
        </w:trPr>
        <w:tc>
          <w:tcPr>
            <w:tcW w:w="6020" w:type="dxa"/>
            <w:vAlign w:val="bottom"/>
          </w:tcPr>
          <w:p>
            <w:pPr>
              <w:spacing w:after="0"/>
              <w:rPr>
                <w:sz w:val="24"/>
                <w:szCs w:val="24"/>
                <w:color w:val="auto"/>
              </w:rPr>
            </w:pPr>
          </w:p>
        </w:tc>
        <w:tc>
          <w:tcPr>
            <w:tcW w:w="36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158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5"/>
        </w:trPr>
        <w:tc>
          <w:tcPr>
            <w:tcW w:w="7120" w:type="dxa"/>
            <w:vAlign w:val="bottom"/>
            <w:gridSpan w:val="2"/>
          </w:tcPr>
          <w:p>
            <w:pPr>
              <w:spacing w:after="0" w:line="225"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7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7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operating income from continuing operations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49.1 %</w:t>
            </w:r>
          </w:p>
        </w:tc>
      </w:tr>
      <w:tr>
        <w:trPr>
          <w:trHeight w:val="229"/>
        </w:trPr>
        <w:tc>
          <w:tcPr>
            <w:tcW w:w="7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net income from continuing operations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93.9 %</w:t>
            </w:r>
          </w:p>
        </w:tc>
      </w:tr>
      <w:tr>
        <w:trPr>
          <w:trHeight w:val="298"/>
        </w:trPr>
        <w:tc>
          <w:tcPr>
            <w:tcW w:w="712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from continuing operations </w:t>
            </w:r>
            <w:r>
              <w:rPr>
                <w:rFonts w:ascii="Arial" w:cs="Arial" w:eastAsia="Arial" w:hAnsi="Arial"/>
                <w:sz w:val="23"/>
                <w:szCs w:val="23"/>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80.6 %</w:t>
            </w:r>
          </w:p>
        </w:tc>
      </w:tr>
    </w:tbl>
    <w:p>
      <w:pPr>
        <w:spacing w:after="0" w:line="52" w:lineRule="exact"/>
        <w:rPr>
          <w:sz w:val="20"/>
          <w:szCs w:val="20"/>
          <w:color w:val="auto"/>
        </w:rPr>
      </w:pPr>
    </w:p>
    <w:p>
      <w:pPr>
        <w:ind w:left="480" w:right="20" w:hanging="355"/>
        <w:spacing w:after="0" w:line="232"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4340" w:type="dxa"/>
            <w:vAlign w:val="bottom"/>
            <w:gridSpan w:val="5"/>
          </w:tcPr>
          <w:p>
            <w:pPr>
              <w:ind w:left="320"/>
              <w:spacing w:after="0"/>
              <w:rPr>
                <w:sz w:val="20"/>
                <w:szCs w:val="20"/>
                <w:color w:val="auto"/>
              </w:rPr>
            </w:pPr>
            <w:r>
              <w:rPr>
                <w:rFonts w:ascii="Arial" w:cs="Arial" w:eastAsia="Arial" w:hAnsi="Arial"/>
                <w:sz w:val="18"/>
                <w:szCs w:val="18"/>
                <w:b w:val="1"/>
                <w:bCs w:val="1"/>
                <w:color w:val="auto"/>
              </w:rPr>
              <w:t>GAAP Three Months Ended September 30,</w:t>
            </w:r>
          </w:p>
        </w:tc>
        <w:tc>
          <w:tcPr>
            <w:tcW w:w="47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Three Months Ended September 30,</w:t>
            </w:r>
          </w:p>
        </w:tc>
      </w:tr>
      <w:tr>
        <w:trPr>
          <w:trHeight w:val="223"/>
        </w:trPr>
        <w:tc>
          <w:tcPr>
            <w:tcW w:w="2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67.2 %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61.5 %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70.7 %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66.5 %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43.3 %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36.6 %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38.2 %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14.9 %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75"/>
        </w:trPr>
        <w:tc>
          <w:tcPr>
            <w:tcW w:w="3500" w:type="dxa"/>
            <w:vAlign w:val="bottom"/>
            <w:gridSpan w:val="2"/>
          </w:tcPr>
          <w:p>
            <w:pPr>
              <w:spacing w:after="0" w:line="176" w:lineRule="exact"/>
              <w:rPr>
                <w:sz w:val="20"/>
                <w:szCs w:val="20"/>
                <w:color w:val="auto"/>
              </w:rPr>
            </w:pPr>
            <w:r>
              <w:rPr>
                <w:rFonts w:ascii="Arial" w:cs="Arial" w:eastAsia="Arial" w:hAnsi="Arial"/>
                <w:sz w:val="18"/>
                <w:szCs w:val="18"/>
                <w:color w:val="auto"/>
              </w:rPr>
              <w:t>from continuing</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7.1 %</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Net (loss) income from</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21.3 %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4.5 %</w:t>
            </w:r>
          </w:p>
        </w:tc>
      </w:tr>
    </w:tbl>
    <w:p>
      <w:pPr>
        <w:spacing w:after="0" w:line="123" w:lineRule="exact"/>
        <w:rPr>
          <w:sz w:val="20"/>
          <w:szCs w:val="20"/>
          <w:color w:val="auto"/>
        </w:rPr>
      </w:pPr>
    </w:p>
    <w:p>
      <w:pPr>
        <w:ind w:left="460" w:right="40" w:hanging="348"/>
        <w:spacing w:after="0" w:line="2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2" w:lineRule="exact"/>
        <w:rPr>
          <w:sz w:val="20"/>
          <w:szCs w:val="20"/>
          <w:color w:val="auto"/>
        </w:rPr>
      </w:pPr>
    </w:p>
    <w:p>
      <w:pPr>
        <w:ind w:right="5060"/>
        <w:spacing w:after="0" w:line="291" w:lineRule="auto"/>
        <w:rPr>
          <w:sz w:val="20"/>
          <w:szCs w:val="20"/>
          <w:color w:val="auto"/>
        </w:rPr>
      </w:pPr>
      <w:r>
        <w:rPr>
          <w:rFonts w:ascii="Arial" w:cs="Arial" w:eastAsia="Arial" w:hAnsi="Arial"/>
          <w:sz w:val="18"/>
          <w:szCs w:val="18"/>
          <w:b w:val="1"/>
          <w:bCs w:val="1"/>
          <w:color w:val="auto"/>
        </w:rPr>
        <w:t>CONDENSED CONSOLIDATED STATEMENTS OF INCOME - UNAUDITED (U.S. 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p>
        </w:tc>
        <w:tc>
          <w:tcPr>
            <w:tcW w:w="382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sales</w:t>
            </w:r>
          </w:p>
        </w:tc>
        <w:tc>
          <w:tcPr>
            <w:tcW w:w="1860" w:type="dxa"/>
            <w:vAlign w:val="bottom"/>
          </w:tcPr>
          <w:p>
            <w:pPr>
              <w:jc w:val="right"/>
              <w:spacing w:after="0"/>
              <w:rPr>
                <w:sz w:val="20"/>
                <w:szCs w:val="20"/>
                <w:color w:val="auto"/>
              </w:rPr>
            </w:pPr>
            <w:r>
              <w:rPr>
                <w:rFonts w:ascii="Arial" w:cs="Arial" w:eastAsia="Arial" w:hAnsi="Arial"/>
                <w:sz w:val="18"/>
                <w:szCs w:val="18"/>
                <w:color w:val="auto"/>
              </w:rPr>
              <w:t>$765.3</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860" w:type="dxa"/>
            <w:vAlign w:val="bottom"/>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430.6</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860" w:type="dxa"/>
            <w:vAlign w:val="bottom"/>
          </w:tcPr>
          <w:p>
            <w:pPr>
              <w:jc w:val="right"/>
              <w:spacing w:after="0"/>
              <w:rPr>
                <w:sz w:val="20"/>
                <w:szCs w:val="20"/>
                <w:color w:val="auto"/>
              </w:rPr>
            </w:pPr>
            <w:r>
              <w:rPr>
                <w:rFonts w:ascii="Arial" w:cs="Arial" w:eastAsia="Arial" w:hAnsi="Arial"/>
                <w:sz w:val="18"/>
                <w:szCs w:val="18"/>
                <w:color w:val="auto"/>
              </w:rPr>
              <w:t>347.5</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Other operating expenses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Operating loss from 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Loss on debt extinguishment</w:t>
            </w:r>
          </w:p>
        </w:tc>
        <w:tc>
          <w:tcPr>
            <w:tcW w:w="186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Foreign exchange and other losses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Loss from continuing operations before tax</w:t>
            </w:r>
          </w:p>
        </w:tc>
        <w:tc>
          <w:tcPr>
            <w:tcW w:w="186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(46.4)</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154.5 %</w:t>
            </w:r>
          </w:p>
        </w:tc>
        <w:tc>
          <w:tcPr>
            <w:tcW w:w="0" w:type="dxa"/>
            <w:vAlign w:val="bottom"/>
          </w:tcPr>
          <w:p>
            <w:pPr>
              <w:spacing w:after="0"/>
              <w:rPr>
                <w:sz w:val="1"/>
                <w:szCs w:val="1"/>
                <w:color w:val="auto"/>
              </w:rPr>
            </w:pPr>
          </w:p>
        </w:tc>
      </w:tr>
      <w:tr>
        <w:trPr>
          <w:trHeight w:val="223"/>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Losses from equity method investments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98.3 %</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 from discontinued operations, net of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95.2 %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Basic loss per share:</w:t>
            </w: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Diluted loss per share:</w:t>
            </w: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1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Basic</w:t>
            </w:r>
          </w:p>
        </w:tc>
        <w:tc>
          <w:tcPr>
            <w:tcW w:w="18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20"/>
              <w:spacing w:after="0"/>
              <w:rPr>
                <w:sz w:val="20"/>
                <w:szCs w:val="20"/>
                <w:color w:val="auto"/>
              </w:rPr>
            </w:pPr>
            <w:r>
              <w:rPr>
                <w:rFonts w:ascii="Arial" w:cs="Arial" w:eastAsia="Arial" w:hAnsi="Arial"/>
                <w:sz w:val="18"/>
                <w:szCs w:val="18"/>
                <w:color w:val="auto"/>
              </w:rPr>
              <w:t>Diluted</w:t>
            </w:r>
          </w:p>
        </w:tc>
        <w:tc>
          <w:tcPr>
            <w:tcW w:w="18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1">
            <w:col w:w="11220"/>
          </w:cols>
          <w:pgMar w:left="340" w:top="1440" w:right="339" w:bottom="0" w:gutter="0" w:footer="0" w:header="0"/>
        </w:sectPr>
      </w:pPr>
    </w:p>
    <w:p>
      <w:pPr>
        <w:spacing w:after="0"/>
        <w:rPr>
          <w:sz w:val="20"/>
          <w:szCs w:val="20"/>
          <w:color w:val="auto"/>
        </w:rPr>
      </w:pPr>
      <w:r>
        <w:rPr>
          <w:rFonts w:ascii="Arial" w:cs="Arial" w:eastAsia="Arial" w:hAnsi="Arial"/>
          <w:sz w:val="16"/>
          <w:szCs w:val="16"/>
          <w:color w:val="auto"/>
        </w:rPr>
        <w:t>* Numbers may not add precisely due to rounding.</w:t>
      </w:r>
    </w:p>
    <w:p>
      <w:pPr>
        <w:sectPr>
          <w:pgSz w:w="11900" w:h="16838" w:orient="portrait"/>
          <w:cols w:equalWidth="0" w:num="1">
            <w:col w:w="11220"/>
          </w:cols>
          <w:pgMar w:left="340" w:top="1440" w:right="33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9019"/>
          </w:cols>
          <w:pgMar w:left="1440" w:top="443" w:right="1440" w:bottom="1440" w:gutter="0" w:footer="0" w:header="0"/>
        </w:sectPr>
      </w:pPr>
    </w:p>
    <w:bookmarkStart w:id="16" w:name="page17"/>
    <w:bookmarkEnd w:id="16"/>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Adjusted Financial Measures (U.S. dollars in millions, except per share amounts)</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5"/>
        </w:trPr>
        <w:tc>
          <w:tcPr>
            <w:tcW w:w="6020" w:type="dxa"/>
            <w:vAlign w:val="bottom"/>
          </w:tcPr>
          <w:p>
            <w:pPr>
              <w:spacing w:after="0"/>
              <w:rPr>
                <w:sz w:val="24"/>
                <w:szCs w:val="24"/>
                <w:color w:val="auto"/>
              </w:rPr>
            </w:pPr>
          </w:p>
        </w:tc>
        <w:tc>
          <w:tcPr>
            <w:tcW w:w="3640" w:type="dxa"/>
            <w:vAlign w:val="bottom"/>
            <w:gridSpan w:val="5"/>
          </w:tcPr>
          <w:p>
            <w:pPr>
              <w:ind w:left="280"/>
              <w:spacing w:after="0"/>
              <w:rPr>
                <w:sz w:val="20"/>
                <w:szCs w:val="20"/>
                <w:color w:val="auto"/>
              </w:rPr>
            </w:pPr>
            <w:r>
              <w:rPr>
                <w:rFonts w:ascii="Arial" w:cs="Arial" w:eastAsia="Arial" w:hAnsi="Arial"/>
                <w:sz w:val="18"/>
                <w:szCs w:val="18"/>
                <w:b w:val="1"/>
                <w:bCs w:val="1"/>
                <w:color w:val="auto"/>
              </w:rPr>
              <w:t>Nine Months Ended September 30,</w:t>
            </w:r>
          </w:p>
        </w:tc>
        <w:tc>
          <w:tcPr>
            <w:tcW w:w="1560" w:type="dxa"/>
            <w:vAlign w:val="bottom"/>
          </w:tcPr>
          <w:p>
            <w:pPr>
              <w:spacing w:after="0"/>
              <w:rPr>
                <w:sz w:val="24"/>
                <w:szCs w:val="24"/>
                <w:color w:val="auto"/>
              </w:rPr>
            </w:pPr>
          </w:p>
        </w:tc>
      </w:tr>
      <w:tr>
        <w:trPr>
          <w:trHeight w:val="223"/>
        </w:trPr>
        <w:tc>
          <w:tcPr>
            <w:tcW w:w="60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 xml:space="preserve">% Change </w:t>
            </w:r>
            <w:r>
              <w:rPr>
                <w:rFonts w:ascii="Arial" w:cs="Arial" w:eastAsia="Arial" w:hAnsi="Arial"/>
                <w:sz w:val="23"/>
                <w:szCs w:val="23"/>
                <w:b w:val="1"/>
                <w:bCs w:val="1"/>
                <w:color w:val="auto"/>
                <w:vertAlign w:val="superscript"/>
              </w:rPr>
              <w:t>(1)</w:t>
            </w:r>
          </w:p>
        </w:tc>
      </w:tr>
      <w:tr>
        <w:trPr>
          <w:trHeight w:val="225"/>
        </w:trPr>
        <w:tc>
          <w:tcPr>
            <w:tcW w:w="7080" w:type="dxa"/>
            <w:vAlign w:val="bottom"/>
            <w:gridSpan w:val="2"/>
          </w:tcPr>
          <w:p>
            <w:pPr>
              <w:spacing w:after="0" w:line="225" w:lineRule="exact"/>
              <w:rPr>
                <w:sz w:val="20"/>
                <w:szCs w:val="20"/>
                <w:color w:val="auto"/>
              </w:rPr>
            </w:pPr>
            <w:r>
              <w:rPr>
                <w:rFonts w:ascii="Arial" w:cs="Arial" w:eastAsia="Arial" w:hAnsi="Arial"/>
                <w:sz w:val="18"/>
                <w:szCs w:val="18"/>
                <w:color w:val="auto"/>
              </w:rPr>
              <w:t xml:space="preserve">Adjusted SG&amp;A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70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R&amp;D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70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operating income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142.7 %</w:t>
            </w:r>
          </w:p>
        </w:tc>
      </w:tr>
      <w:tr>
        <w:trPr>
          <w:trHeight w:val="229"/>
        </w:trPr>
        <w:tc>
          <w:tcPr>
            <w:tcW w:w="708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Adjusted net income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193.5 %</w:t>
            </w:r>
          </w:p>
        </w:tc>
      </w:tr>
      <w:tr>
        <w:trPr>
          <w:trHeight w:val="298"/>
        </w:trPr>
        <w:tc>
          <w:tcPr>
            <w:tcW w:w="7080" w:type="dxa"/>
            <w:vAlign w:val="bottom"/>
            <w:gridSpan w:val="2"/>
          </w:tcPr>
          <w:p>
            <w:pPr>
              <w:spacing w:after="0"/>
              <w:rPr>
                <w:sz w:val="20"/>
                <w:szCs w:val="20"/>
                <w:color w:val="auto"/>
              </w:rPr>
            </w:pPr>
            <w:r>
              <w:rPr>
                <w:rFonts w:ascii="Arial" w:cs="Arial" w:eastAsia="Arial" w:hAnsi="Arial"/>
                <w:sz w:val="18"/>
                <w:szCs w:val="18"/>
                <w:color w:val="auto"/>
              </w:rPr>
              <w:t xml:space="preserve">Adjusted diluted earnings per share from continuing operations </w:t>
            </w:r>
            <w:r>
              <w:rPr>
                <w:rFonts w:ascii="Arial" w:cs="Arial" w:eastAsia="Arial" w:hAnsi="Arial"/>
                <w:sz w:val="23"/>
                <w:szCs w:val="23"/>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182.9 %</w:t>
            </w:r>
          </w:p>
        </w:tc>
      </w:tr>
    </w:tbl>
    <w:p>
      <w:pPr>
        <w:spacing w:after="0" w:line="52" w:lineRule="exact"/>
        <w:rPr>
          <w:sz w:val="20"/>
          <w:szCs w:val="20"/>
          <w:color w:val="auto"/>
        </w:rPr>
      </w:pPr>
    </w:p>
    <w:p>
      <w:pPr>
        <w:ind w:left="480" w:right="20" w:hanging="355"/>
        <w:spacing w:after="0" w:line="232" w:lineRule="auto"/>
        <w:tabs>
          <w:tab w:leader="none" w:pos="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Statistics (as a % of net sales, except for income tax rate)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180" w:type="dxa"/>
            <w:vAlign w:val="bottom"/>
          </w:tcPr>
          <w:p>
            <w:pPr>
              <w:spacing w:after="0"/>
              <w:rPr>
                <w:sz w:val="22"/>
                <w:szCs w:val="22"/>
                <w:color w:val="auto"/>
              </w:rPr>
            </w:pPr>
          </w:p>
        </w:tc>
        <w:tc>
          <w:tcPr>
            <w:tcW w:w="4340" w:type="dxa"/>
            <w:vAlign w:val="bottom"/>
            <w:gridSpan w:val="5"/>
          </w:tcPr>
          <w:p>
            <w:pPr>
              <w:ind w:left="360"/>
              <w:spacing w:after="0"/>
              <w:rPr>
                <w:sz w:val="20"/>
                <w:szCs w:val="20"/>
                <w:color w:val="auto"/>
              </w:rPr>
            </w:pPr>
            <w:r>
              <w:rPr>
                <w:rFonts w:ascii="Arial" w:cs="Arial" w:eastAsia="Arial" w:hAnsi="Arial"/>
                <w:sz w:val="18"/>
                <w:szCs w:val="18"/>
                <w:b w:val="1"/>
                <w:bCs w:val="1"/>
                <w:color w:val="auto"/>
              </w:rPr>
              <w:t>GAAP Nine Months Ended September 30,</w:t>
            </w:r>
          </w:p>
        </w:tc>
        <w:tc>
          <w:tcPr>
            <w:tcW w:w="470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Nine Months Ended September 30,</w:t>
            </w:r>
          </w:p>
        </w:tc>
      </w:tr>
      <w:tr>
        <w:trPr>
          <w:trHeight w:val="223"/>
        </w:trPr>
        <w:tc>
          <w:tcPr>
            <w:tcW w:w="21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3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740" w:type="dxa"/>
            <w:vAlign w:val="bottom"/>
          </w:tcPr>
          <w:p>
            <w:pPr>
              <w:jc w:val="right"/>
              <w:spacing w:after="0"/>
              <w:rPr>
                <w:sz w:val="20"/>
                <w:szCs w:val="20"/>
                <w:color w:val="auto"/>
              </w:rPr>
            </w:pPr>
            <w:r>
              <w:rPr>
                <w:rFonts w:ascii="Arial" w:cs="Arial" w:eastAsia="Arial" w:hAnsi="Arial"/>
                <w:sz w:val="18"/>
                <w:szCs w:val="18"/>
                <w:color w:val="auto"/>
              </w:rPr>
              <w:t>66.4 %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64.8 %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69.7 %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65.6 %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740" w:type="dxa"/>
            <w:vAlign w:val="bottom"/>
          </w:tcPr>
          <w:p>
            <w:pPr>
              <w:jc w:val="right"/>
              <w:spacing w:after="0"/>
              <w:rPr>
                <w:sz w:val="20"/>
                <w:szCs w:val="20"/>
                <w:color w:val="auto"/>
              </w:rPr>
            </w:pPr>
            <w:r>
              <w:rPr>
                <w:rFonts w:ascii="Arial" w:cs="Arial" w:eastAsia="Arial" w:hAnsi="Arial"/>
                <w:sz w:val="18"/>
                <w:szCs w:val="18"/>
                <w:color w:val="auto"/>
              </w:rPr>
              <w:t>45.4 %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49.9 %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41.4 %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R&amp;D</w:t>
            </w:r>
          </w:p>
        </w:tc>
        <w:tc>
          <w:tcPr>
            <w:tcW w:w="740" w:type="dxa"/>
            <w:vAlign w:val="bottom"/>
          </w:tcPr>
          <w:p>
            <w:pPr>
              <w:jc w:val="right"/>
              <w:spacing w:after="0"/>
              <w:rPr>
                <w:sz w:val="20"/>
                <w:szCs w:val="20"/>
                <w:color w:val="auto"/>
              </w:rPr>
            </w:pPr>
            <w:r>
              <w:rPr>
                <w:rFonts w:ascii="Arial" w:cs="Arial" w:eastAsia="Arial" w:hAnsi="Arial"/>
                <w:sz w:val="18"/>
                <w:szCs w:val="18"/>
                <w:color w:val="auto"/>
              </w:rPr>
              <w:t>18.2 %</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16.3 %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16.8 %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Operating (loss) income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175"/>
        </w:trPr>
        <w:tc>
          <w:tcPr>
            <w:tcW w:w="3500" w:type="dxa"/>
            <w:vAlign w:val="bottom"/>
            <w:gridSpan w:val="2"/>
          </w:tcPr>
          <w:p>
            <w:pPr>
              <w:spacing w:after="0" w:line="176" w:lineRule="exact"/>
              <w:rPr>
                <w:sz w:val="20"/>
                <w:szCs w:val="20"/>
                <w:color w:val="auto"/>
              </w:rPr>
            </w:pPr>
            <w:r>
              <w:rPr>
                <w:rFonts w:ascii="Arial" w:cs="Arial" w:eastAsia="Arial" w:hAnsi="Arial"/>
                <w:sz w:val="18"/>
                <w:szCs w:val="18"/>
                <w:color w:val="auto"/>
              </w:rPr>
              <w:t>from continuing</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188"/>
        </w:trPr>
        <w:tc>
          <w:tcPr>
            <w:tcW w:w="3500" w:type="dxa"/>
            <w:vAlign w:val="bottom"/>
            <w:gridSpan w:val="2"/>
          </w:tcPr>
          <w:p>
            <w:pPr>
              <w:spacing w:after="0" w:line="188" w:lineRule="exact"/>
              <w:rPr>
                <w:sz w:val="20"/>
                <w:szCs w:val="20"/>
                <w:color w:val="auto"/>
              </w:rPr>
            </w:pPr>
            <w:r>
              <w:rPr>
                <w:rFonts w:ascii="Arial" w:cs="Arial" w:eastAsia="Arial" w:hAnsi="Arial"/>
                <w:sz w:val="18"/>
                <w:szCs w:val="18"/>
                <w:color w:val="auto"/>
              </w:rPr>
              <w:t>Net (loss) income from</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217"/>
        </w:trPr>
        <w:tc>
          <w:tcPr>
            <w:tcW w:w="350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Income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7.2 %</w:t>
            </w:r>
          </w:p>
        </w:tc>
      </w:tr>
    </w:tbl>
    <w:p>
      <w:pPr>
        <w:spacing w:after="0" w:line="123" w:lineRule="exact"/>
        <w:rPr>
          <w:sz w:val="20"/>
          <w:szCs w:val="20"/>
          <w:color w:val="auto"/>
        </w:rPr>
      </w:pPr>
    </w:p>
    <w:p>
      <w:pPr>
        <w:ind w:left="460" w:right="40" w:hanging="348"/>
        <w:spacing w:after="0" w:line="2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financial measures are non-GAAP measures and exclude specified items as described and reconciled in the “Reconciliation of GAAP to non-GAAP Financial Measures” contained in the press release.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40" w:top="1440" w:right="339" w:bottom="1440" w:gutter="0" w:footer="0" w:header="0"/>
        </w:sectPr>
      </w:pPr>
    </w:p>
    <w:bookmarkStart w:id="17" w:name="page18"/>
    <w:bookmarkEnd w:id="17"/>
    <w:p>
      <w:pPr>
        <w:spacing w:after="0" w:line="22" w:lineRule="exact"/>
        <w:rPr>
          <w:sz w:val="20"/>
          <w:szCs w:val="20"/>
          <w:color w:val="auto"/>
        </w:rPr>
      </w:pPr>
    </w:p>
    <w:p>
      <w:pPr>
        <w:ind w:left="20" w:right="5600"/>
        <w:spacing w:after="0" w:line="244"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4"/>
          <w:szCs w:val="14"/>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31"/>
              <w:spacing w:after="0" w:line="115" w:lineRule="exact"/>
              <w:rPr>
                <w:sz w:val="20"/>
                <w:szCs w:val="20"/>
                <w:color w:val="auto"/>
              </w:rPr>
            </w:pPr>
            <w:r>
              <w:rPr>
                <w:rFonts w:ascii="Arial" w:cs="Arial" w:eastAsia="Arial" w:hAnsi="Arial"/>
                <w:sz w:val="13"/>
                <w:szCs w:val="13"/>
                <w:b w:val="1"/>
                <w:bCs w:val="1"/>
                <w:color w:val="auto"/>
                <w:w w:val="96"/>
              </w:rPr>
              <w:t>Depreciation</w:t>
            </w:r>
          </w:p>
        </w:tc>
        <w:tc>
          <w:tcPr>
            <w:tcW w:w="6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Certain Legal,</w:t>
            </w: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GAAP</w:t>
            </w: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Restructuring</w:t>
            </w:r>
          </w:p>
        </w:tc>
        <w:tc>
          <w:tcPr>
            <w:tcW w:w="980" w:type="dxa"/>
            <w:vAlign w:val="bottom"/>
          </w:tcPr>
          <w:p>
            <w:pPr>
              <w:jc w:val="center"/>
              <w:ind w:right="11"/>
              <w:spacing w:after="0" w:line="121" w:lineRule="exact"/>
              <w:rPr>
                <w:sz w:val="20"/>
                <w:szCs w:val="20"/>
                <w:color w:val="auto"/>
              </w:rPr>
            </w:pPr>
            <w:r>
              <w:rPr>
                <w:rFonts w:ascii="Arial" w:cs="Arial" w:eastAsia="Arial" w:hAnsi="Arial"/>
                <w:sz w:val="13"/>
                <w:szCs w:val="13"/>
                <w:b w:val="1"/>
                <w:bCs w:val="1"/>
                <w:color w:val="auto"/>
                <w:w w:val="94"/>
              </w:rPr>
              <w:t>and</w:t>
            </w:r>
          </w:p>
        </w:tc>
        <w:tc>
          <w:tcPr>
            <w:tcW w:w="64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Heart</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Contingent</w:t>
            </w:r>
          </w:p>
        </w:tc>
        <w:tc>
          <w:tcPr>
            <w:tcW w:w="104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900" w:type="dxa"/>
            <w:vAlign w:val="bottom"/>
            <w:vMerge w:val="continue"/>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2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80" w:type="dxa"/>
            <w:vAlign w:val="bottom"/>
          </w:tcPr>
          <w:p>
            <w:pPr>
              <w:jc w:val="center"/>
              <w:ind w:right="31"/>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6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Expenses</w:t>
            </w:r>
          </w:p>
        </w:tc>
        <w:tc>
          <w:tcPr>
            <w:tcW w:w="980" w:type="dxa"/>
            <w:vAlign w:val="bottom"/>
          </w:tcPr>
          <w:p>
            <w:pPr>
              <w:jc w:val="center"/>
              <w:ind w:right="51"/>
              <w:spacing w:after="0" w:line="121" w:lineRule="exact"/>
              <w:rPr>
                <w:sz w:val="20"/>
                <w:szCs w:val="20"/>
                <w:color w:val="auto"/>
              </w:rPr>
            </w:pPr>
            <w:r>
              <w:rPr>
                <w:rFonts w:ascii="Arial" w:cs="Arial" w:eastAsia="Arial" w:hAnsi="Arial"/>
                <w:sz w:val="13"/>
                <w:szCs w:val="13"/>
                <w:b w:val="1"/>
                <w:bCs w:val="1"/>
                <w:color w:val="auto"/>
                <w:w w:val="95"/>
              </w:rPr>
              <w:t>Expenses</w:t>
            </w:r>
          </w:p>
        </w:tc>
        <w:tc>
          <w:tcPr>
            <w:tcW w:w="64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2"/>
              </w:rPr>
              <w:t>Valves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and Other</w:t>
            </w:r>
          </w:p>
        </w:tc>
        <w:tc>
          <w:tcPr>
            <w:tcW w:w="104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4"/>
              </w:rPr>
              <w:t>Costs</w:t>
            </w:r>
          </w:p>
        </w:tc>
        <w:tc>
          <w:tcPr>
            <w:tcW w:w="94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6"/>
              </w:rPr>
              <w:t>Adjustments</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September 30, 2021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8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9"/>
              </w:rPr>
              <w:t>(B)</w:t>
            </w: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(C)</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6"/>
              </w:rPr>
              <w:t>(F)</w:t>
            </w: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5"/>
              </w:rPr>
              <w:t>(G)</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23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$83.1</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($4.0)</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($4.7)</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($0.2)</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67.2 %</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1.6 %</w:t>
            </w:r>
          </w:p>
        </w:tc>
        <w:tc>
          <w:tcPr>
            <w:tcW w:w="640" w:type="dxa"/>
            <w:vAlign w:val="bottom"/>
          </w:tcPr>
          <w:p>
            <w:pPr>
              <w:jc w:val="right"/>
              <w:spacing w:after="0"/>
              <w:rPr>
                <w:sz w:val="20"/>
                <w:szCs w:val="20"/>
                <w:color w:val="auto"/>
              </w:rPr>
            </w:pPr>
            <w:r>
              <w:rPr>
                <w:rFonts w:ascii="Arial" w:cs="Arial" w:eastAsia="Arial" w:hAnsi="Arial"/>
                <w:sz w:val="14"/>
                <w:szCs w:val="14"/>
                <w:color w:val="auto"/>
              </w:rPr>
              <w:t>—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1020" w:type="dxa"/>
            <w:vAlign w:val="bottom"/>
          </w:tcPr>
          <w:p>
            <w:pPr>
              <w:jc w:val="right"/>
              <w:spacing w:after="0"/>
              <w:rPr>
                <w:sz w:val="20"/>
                <w:szCs w:val="20"/>
                <w:color w:val="auto"/>
              </w:rPr>
            </w:pPr>
            <w:r>
              <w:rPr>
                <w:rFonts w:ascii="Arial" w:cs="Arial" w:eastAsia="Arial" w:hAnsi="Arial"/>
                <w:sz w:val="14"/>
                <w:szCs w:val="14"/>
                <w:color w:val="auto"/>
              </w:rPr>
              <w:t>1.8 %</w:t>
            </w:r>
          </w:p>
        </w:tc>
        <w:tc>
          <w:tcPr>
            <w:tcW w:w="1040" w:type="dxa"/>
            <w:vAlign w:val="bottom"/>
          </w:tcPr>
          <w:p>
            <w:pPr>
              <w:jc w:val="right"/>
              <w:spacing w:after="0"/>
              <w:rPr>
                <w:sz w:val="20"/>
                <w:szCs w:val="20"/>
                <w:color w:val="auto"/>
              </w:rPr>
            </w:pPr>
            <w:r>
              <w:rPr>
                <w:rFonts w:ascii="Arial" w:cs="Arial" w:eastAsia="Arial" w:hAnsi="Arial"/>
                <w:sz w:val="14"/>
                <w:szCs w:val="14"/>
                <w:color w:val="auto"/>
              </w:rPr>
              <w:t>0.1 %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70.7 %</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109.0</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(3.0)</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(4.4)</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(8.9)</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152"/>
        </w:trPr>
        <w:tc>
          <w:tcPr>
            <w:tcW w:w="232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 administrative</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43.1 %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auto"/>
              </w:rPr>
              <w:t>(1.2)%</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36.6 %</w:t>
            </w: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Arial" w:cs="Arial" w:eastAsia="Arial" w:hAnsi="Arial"/>
                <w:sz w:val="14"/>
                <w:szCs w:val="14"/>
                <w:color w:val="auto"/>
              </w:rPr>
              <w:t>as a percent of net sales</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42.1</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(2.8)</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52"/>
        </w:trPr>
        <w:tc>
          <w:tcPr>
            <w:tcW w:w="2320" w:type="dxa"/>
            <w:vAlign w:val="bottom"/>
          </w:tcPr>
          <w:p>
            <w:pPr>
              <w:ind w:left="20"/>
              <w:spacing w:after="0" w:line="151" w:lineRule="exact"/>
              <w:rPr>
                <w:sz w:val="20"/>
                <w:szCs w:val="20"/>
                <w:color w:val="auto"/>
              </w:rPr>
            </w:pPr>
            <w:r>
              <w:rPr>
                <w:rFonts w:ascii="Arial" w:cs="Arial" w:eastAsia="Arial" w:hAnsi="Arial"/>
                <w:sz w:val="14"/>
                <w:szCs w:val="14"/>
                <w:color w:val="auto"/>
              </w:rPr>
              <w:t>Research and development as a</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16.6 %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14.8 %</w:t>
            </w: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Other operating expenses</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9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0.2</w:t>
            </w:r>
          </w:p>
        </w:tc>
        <w:tc>
          <w:tcPr>
            <w:tcW w:w="10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2"/>
        </w:trPr>
        <w:tc>
          <w:tcPr>
            <w:tcW w:w="2320" w:type="dxa"/>
            <w:vAlign w:val="bottom"/>
          </w:tcPr>
          <w:p>
            <w:pPr>
              <w:ind w:left="20"/>
              <w:spacing w:after="0" w:line="151" w:lineRule="exact"/>
              <w:rPr>
                <w:sz w:val="20"/>
                <w:szCs w:val="20"/>
                <w:color w:val="auto"/>
              </w:rPr>
            </w:pPr>
            <w:r>
              <w:rPr>
                <w:rFonts w:ascii="Arial" w:cs="Arial" w:eastAsia="Arial" w:hAnsi="Arial"/>
                <w:sz w:val="14"/>
                <w:szCs w:val="14"/>
                <w:color w:val="auto"/>
              </w:rPr>
              <w:t>Operating income from continuing</w:t>
            </w:r>
          </w:p>
        </w:tc>
        <w:tc>
          <w:tcPr>
            <w:tcW w:w="700" w:type="dxa"/>
            <w:vAlign w:val="bottom"/>
            <w:vMerge w:val="restart"/>
          </w:tcPr>
          <w:p>
            <w:pPr>
              <w:jc w:val="right"/>
              <w:ind w:right="110"/>
              <w:spacing w:after="0"/>
              <w:rPr>
                <w:sz w:val="20"/>
                <w:szCs w:val="20"/>
                <w:color w:val="auto"/>
              </w:rPr>
            </w:pPr>
            <w:r>
              <w:rPr>
                <w:rFonts w:ascii="Arial" w:cs="Arial" w:eastAsia="Arial" w:hAnsi="Arial"/>
                <w:sz w:val="14"/>
                <w:szCs w:val="14"/>
                <w:color w:val="auto"/>
              </w:rPr>
              <w:t>17.9</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color w:val="auto"/>
              </w:rPr>
              <w:t>7.0</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11.8</w:t>
            </w: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11.1</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Operating margin percent</w:t>
            </w:r>
          </w:p>
        </w:tc>
        <w:tc>
          <w:tcPr>
            <w:tcW w:w="700" w:type="dxa"/>
            <w:vAlign w:val="bottom"/>
          </w:tcPr>
          <w:p>
            <w:pPr>
              <w:jc w:val="right"/>
              <w:spacing w:after="0"/>
              <w:rPr>
                <w:sz w:val="20"/>
                <w:szCs w:val="20"/>
                <w:color w:val="auto"/>
              </w:rPr>
            </w:pPr>
            <w:r>
              <w:rPr>
                <w:rFonts w:ascii="Arial" w:cs="Arial" w:eastAsia="Arial" w:hAnsi="Arial"/>
                <w:sz w:val="14"/>
                <w:szCs w:val="14"/>
                <w:color w:val="auto"/>
              </w:rPr>
              <w:t>7.1 %</w:t>
            </w:r>
          </w:p>
        </w:tc>
        <w:tc>
          <w:tcPr>
            <w:tcW w:w="102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ind w:right="11"/>
              <w:spacing w:after="0"/>
              <w:rPr>
                <w:sz w:val="20"/>
                <w:szCs w:val="20"/>
                <w:color w:val="auto"/>
              </w:rPr>
            </w:pPr>
            <w:r>
              <w:rPr>
                <w:rFonts w:ascii="Arial" w:cs="Arial" w:eastAsia="Arial" w:hAnsi="Arial"/>
                <w:sz w:val="14"/>
                <w:szCs w:val="14"/>
                <w:color w:val="auto"/>
              </w:rPr>
              <w:t>2.8 %</w:t>
            </w:r>
          </w:p>
        </w:tc>
        <w:tc>
          <w:tcPr>
            <w:tcW w:w="640" w:type="dxa"/>
            <w:vAlign w:val="bottom"/>
          </w:tcPr>
          <w:p>
            <w:pPr>
              <w:jc w:val="right"/>
              <w:spacing w:after="0"/>
              <w:rPr>
                <w:sz w:val="20"/>
                <w:szCs w:val="20"/>
                <w:color w:val="auto"/>
              </w:rPr>
            </w:pPr>
            <w:r>
              <w:rPr>
                <w:rFonts w:ascii="Arial" w:cs="Arial" w:eastAsia="Arial" w:hAnsi="Arial"/>
                <w:sz w:val="14"/>
                <w:szCs w:val="14"/>
                <w:color w:val="auto"/>
              </w:rPr>
              <w:t>0.1 %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1020" w:type="dxa"/>
            <w:vAlign w:val="bottom"/>
          </w:tcPr>
          <w:p>
            <w:pPr>
              <w:jc w:val="right"/>
              <w:spacing w:after="0"/>
              <w:rPr>
                <w:sz w:val="20"/>
                <w:szCs w:val="20"/>
                <w:color w:val="auto"/>
              </w:rPr>
            </w:pPr>
            <w:r>
              <w:rPr>
                <w:rFonts w:ascii="Arial" w:cs="Arial" w:eastAsia="Arial" w:hAnsi="Arial"/>
                <w:sz w:val="14"/>
                <w:szCs w:val="14"/>
                <w:color w:val="auto"/>
              </w:rPr>
              <w:t>4.6 %</w:t>
            </w:r>
          </w:p>
        </w:tc>
        <w:tc>
          <w:tcPr>
            <w:tcW w:w="1040" w:type="dxa"/>
            <w:vAlign w:val="bottom"/>
          </w:tcPr>
          <w:p>
            <w:pPr>
              <w:jc w:val="right"/>
              <w:spacing w:after="0"/>
              <w:rPr>
                <w:sz w:val="20"/>
                <w:szCs w:val="20"/>
                <w:color w:val="auto"/>
              </w:rPr>
            </w:pPr>
            <w:r>
              <w:rPr>
                <w:rFonts w:ascii="Arial" w:cs="Arial" w:eastAsia="Arial" w:hAnsi="Arial"/>
                <w:sz w:val="14"/>
                <w:szCs w:val="14"/>
                <w:color w:val="auto"/>
              </w:rPr>
              <w:t>4.4 %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18.9 %</w:t>
            </w:r>
          </w:p>
        </w:tc>
        <w:tc>
          <w:tcPr>
            <w:tcW w:w="0" w:type="dxa"/>
            <w:vAlign w:val="bottom"/>
          </w:tcPr>
          <w:p>
            <w:pPr>
              <w:spacing w:after="0"/>
              <w:rPr>
                <w:sz w:val="1"/>
                <w:szCs w:val="1"/>
                <w:color w:val="auto"/>
              </w:rPr>
            </w:pP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2.1</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91"/>
              <w:spacing w:after="0"/>
              <w:rPr>
                <w:sz w:val="20"/>
                <w:szCs w:val="20"/>
                <w:color w:val="auto"/>
              </w:rPr>
            </w:pPr>
            <w:r>
              <w:rPr>
                <w:rFonts w:ascii="Arial" w:cs="Arial" w:eastAsia="Arial" w:hAnsi="Arial"/>
                <w:sz w:val="14"/>
                <w:szCs w:val="14"/>
                <w:color w:val="auto"/>
              </w:rPr>
              <w:t>0.5</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(0.7)</w:t>
            </w:r>
          </w:p>
        </w:tc>
        <w:tc>
          <w:tcPr>
            <w:tcW w:w="940" w:type="dxa"/>
            <w:vAlign w:val="bottom"/>
          </w:tcPr>
          <w:p>
            <w:pPr>
              <w:ind w:left="5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1.0</w:t>
            </w:r>
          </w:p>
        </w:tc>
        <w:tc>
          <w:tcPr>
            <w:tcW w:w="1040" w:type="dxa"/>
            <w:vAlign w:val="bottom"/>
          </w:tcPr>
          <w:p>
            <w:pPr>
              <w:jc w:val="right"/>
              <w:ind w:right="150"/>
              <w:spacing w:after="0"/>
              <w:rPr>
                <w:sz w:val="20"/>
                <w:szCs w:val="20"/>
                <w:color w:val="auto"/>
              </w:rPr>
            </w:pPr>
            <w:r>
              <w:rPr>
                <w:rFonts w:ascii="Arial" w:cs="Arial" w:eastAsia="Arial" w:hAnsi="Arial"/>
                <w:sz w:val="14"/>
                <w:szCs w:val="14"/>
                <w:color w:val="auto"/>
              </w:rPr>
              <w:t>0.2</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1.0</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2"/>
        </w:trPr>
        <w:tc>
          <w:tcPr>
            <w:tcW w:w="2320" w:type="dxa"/>
            <w:vAlign w:val="bottom"/>
          </w:tcPr>
          <w:p>
            <w:pPr>
              <w:ind w:left="20"/>
              <w:spacing w:after="0" w:line="151" w:lineRule="exact"/>
              <w:rPr>
                <w:sz w:val="20"/>
                <w:szCs w:val="20"/>
                <w:color w:val="auto"/>
              </w:rPr>
            </w:pPr>
            <w:r>
              <w:rPr>
                <w:rFonts w:ascii="Arial" w:cs="Arial" w:eastAsia="Arial" w:hAnsi="Arial"/>
                <w:sz w:val="14"/>
                <w:szCs w:val="14"/>
                <w:color w:val="auto"/>
              </w:rPr>
              <w:t>Net (loss) income from continuing</w:t>
            </w: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color w:val="auto"/>
              </w:rPr>
              <w:t>(42.2)</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color w:val="auto"/>
              </w:rPr>
              <w:t>6.4</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46.3</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10.4</w:t>
            </w: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10.9</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(1.0)</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4.1</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20" w:type="dxa"/>
            <w:vAlign w:val="bottom"/>
          </w:tcPr>
          <w:p>
            <w:pPr>
              <w:ind w:left="20"/>
              <w:spacing w:after="0" w:line="151" w:lineRule="exact"/>
              <w:rPr>
                <w:sz w:val="20"/>
                <w:szCs w:val="20"/>
                <w:color w:val="auto"/>
              </w:rPr>
            </w:pPr>
            <w:r>
              <w:rPr>
                <w:rFonts w:ascii="Arial" w:cs="Arial" w:eastAsia="Arial" w:hAnsi="Arial"/>
                <w:sz w:val="14"/>
                <w:szCs w:val="14"/>
                <w:color w:val="auto"/>
              </w:rPr>
              <w:t>Diluted EPS - Continuing</w:t>
            </w:r>
          </w:p>
        </w:tc>
        <w:tc>
          <w:tcPr>
            <w:tcW w:w="700" w:type="dxa"/>
            <w:vAlign w:val="bottom"/>
            <w:vMerge w:val="restart"/>
          </w:tcPr>
          <w:p>
            <w:pPr>
              <w:jc w:val="right"/>
              <w:ind w:right="70"/>
              <w:spacing w:after="0"/>
              <w:rPr>
                <w:sz w:val="20"/>
                <w:szCs w:val="20"/>
                <w:color w:val="auto"/>
              </w:rPr>
            </w:pPr>
            <w:r>
              <w:rPr>
                <w:rFonts w:ascii="Arial" w:cs="Arial" w:eastAsia="Arial" w:hAnsi="Arial"/>
                <w:sz w:val="14"/>
                <w:szCs w:val="14"/>
                <w:color w:val="auto"/>
              </w:rPr>
              <w:t>($0.82)</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91"/>
              <w:spacing w:after="0"/>
              <w:rPr>
                <w:sz w:val="20"/>
                <w:szCs w:val="20"/>
                <w:color w:val="auto"/>
              </w:rPr>
            </w:pPr>
            <w:r>
              <w:rPr>
                <w:rFonts w:ascii="Arial" w:cs="Arial" w:eastAsia="Arial" w:hAnsi="Arial"/>
                <w:sz w:val="14"/>
                <w:szCs w:val="14"/>
                <w:color w:val="auto"/>
              </w:rPr>
              <w:t>$0.12</w:t>
            </w:r>
          </w:p>
        </w:tc>
        <w:tc>
          <w:tcPr>
            <w:tcW w:w="640" w:type="dxa"/>
            <w:vAlign w:val="bottom"/>
            <w:vMerge w:val="restart"/>
          </w:tcPr>
          <w:p>
            <w:pPr>
              <w:jc w:val="right"/>
              <w:ind w:right="150"/>
              <w:spacing w:after="0"/>
              <w:rPr>
                <w:sz w:val="20"/>
                <w:szCs w:val="20"/>
                <w:color w:val="auto"/>
              </w:rPr>
            </w:pPr>
            <w:r>
              <w:rPr>
                <w:rFonts w:ascii="Arial" w:cs="Arial" w:eastAsia="Arial" w:hAnsi="Arial"/>
                <w:sz w:val="14"/>
                <w:szCs w:val="14"/>
                <w:color w:val="auto"/>
              </w:rPr>
              <w:t>$0.02</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$0.88</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$0.20</w:t>
            </w:r>
          </w:p>
        </w:tc>
        <w:tc>
          <w:tcPr>
            <w:tcW w:w="1040" w:type="dxa"/>
            <w:vAlign w:val="bottom"/>
            <w:vMerge w:val="restart"/>
          </w:tcPr>
          <w:p>
            <w:pPr>
              <w:jc w:val="right"/>
              <w:ind w:right="150"/>
              <w:spacing w:after="0"/>
              <w:rPr>
                <w:sz w:val="20"/>
                <w:szCs w:val="20"/>
                <w:color w:val="auto"/>
              </w:rPr>
            </w:pPr>
            <w:r>
              <w:rPr>
                <w:rFonts w:ascii="Arial" w:cs="Arial" w:eastAsia="Arial" w:hAnsi="Arial"/>
                <w:sz w:val="14"/>
                <w:szCs w:val="14"/>
                <w:color w:val="auto"/>
              </w:rPr>
              <w:t>$0.21</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($0.02)</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$0.08</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72"/>
        </w:trPr>
        <w:tc>
          <w:tcPr>
            <w:tcW w:w="2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7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September 30, 2021 include:</w:t>
      </w:r>
    </w:p>
    <w:p>
      <w:pPr>
        <w:spacing w:after="0" w:line="46" w:lineRule="exact"/>
        <w:rPr>
          <w:sz w:val="20"/>
          <w:szCs w:val="20"/>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Loss associated with the sale of Heart Valves</w:t>
      </w:r>
    </w:p>
    <w:p>
      <w:pPr>
        <w:spacing w:after="0" w:line="27" w:lineRule="exact"/>
        <w:rPr>
          <w:rFonts w:ascii="Arial" w:cs="Arial" w:eastAsia="Arial" w:hAnsi="Arial"/>
          <w:sz w:val="14"/>
          <w:szCs w:val="14"/>
          <w:color w:val="auto"/>
        </w:rPr>
      </w:pPr>
    </w:p>
    <w:p>
      <w:pPr>
        <w:ind w:left="340" w:right="40" w:hanging="314"/>
        <w:spacing w:after="0" w:line="22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associated with the June 2020 financing transactions, including loss on debt extinguishment, the mark-to-market adjustment for the exchangeable option feature and capped call derivatives</w:t>
      </w:r>
    </w:p>
    <w:p>
      <w:pPr>
        <w:spacing w:after="0" w:line="17" w:lineRule="exact"/>
        <w:rPr>
          <w:rFonts w:ascii="Arial" w:cs="Arial" w:eastAsia="Arial" w:hAnsi="Arial"/>
          <w:sz w:val="14"/>
          <w:szCs w:val="14"/>
          <w:color w:val="auto"/>
        </w:rPr>
      </w:pPr>
    </w:p>
    <w:p>
      <w:pPr>
        <w:ind w:left="340" w:right="700" w:hanging="314"/>
        <w:spacing w:after="0" w:line="228"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and remeasurement of contingent consideration related to acquisitions</w:t>
      </w:r>
    </w:p>
    <w:p>
      <w:pPr>
        <w:spacing w:after="0" w:line="17" w:lineRule="exact"/>
        <w:rPr>
          <w:rFonts w:ascii="Arial" w:cs="Arial" w:eastAsia="Arial" w:hAnsi="Arial"/>
          <w:sz w:val="14"/>
          <w:szCs w:val="14"/>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discrete tax items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Primarily relates to non-cash interest expense on the Senior Secured Term Loan and Cash Exchangeable Senior Notes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2" w:lineRule="exact"/>
        <w:rPr>
          <w:sz w:val="20"/>
          <w:szCs w:val="20"/>
          <w:color w:val="auto"/>
        </w:rPr>
      </w:pPr>
    </w:p>
    <w:p>
      <w:pPr>
        <w:ind w:left="20" w:right="5600"/>
        <w:spacing w:after="0" w:line="244"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4"/>
          <w:szCs w:val="14"/>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66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Depreciation</w:t>
            </w:r>
          </w:p>
        </w:tc>
        <w:tc>
          <w:tcPr>
            <w:tcW w:w="9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3"/>
                <w:szCs w:val="13"/>
                <w:b w:val="1"/>
                <w:bCs w:val="1"/>
                <w:color w:val="auto"/>
                <w:w w:val="93"/>
              </w:rPr>
              <w:t>Product</w:t>
            </w:r>
          </w:p>
        </w:tc>
        <w:tc>
          <w:tcPr>
            <w:tcW w:w="9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ind w:right="11"/>
              <w:spacing w:after="0" w:line="115" w:lineRule="exact"/>
              <w:rPr>
                <w:sz w:val="20"/>
                <w:szCs w:val="20"/>
                <w:color w:val="auto"/>
              </w:rPr>
            </w:pPr>
            <w:r>
              <w:rPr>
                <w:rFonts w:ascii="Arial" w:cs="Arial" w:eastAsia="Arial" w:hAnsi="Arial"/>
                <w:sz w:val="13"/>
                <w:szCs w:val="13"/>
                <w:b w:val="1"/>
                <w:bCs w:val="1"/>
                <w:color w:val="auto"/>
                <w:w w:val="95"/>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Stock-based</w:t>
            </w:r>
          </w:p>
        </w:tc>
        <w:tc>
          <w:tcPr>
            <w:tcW w:w="9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32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Restructuring</w:t>
            </w:r>
          </w:p>
        </w:tc>
        <w:tc>
          <w:tcPr>
            <w:tcW w:w="940" w:type="dxa"/>
            <w:vAlign w:val="bottom"/>
          </w:tcPr>
          <w:p>
            <w:pPr>
              <w:jc w:val="center"/>
              <w:ind w:right="11"/>
              <w:spacing w:after="0" w:line="121" w:lineRule="exact"/>
              <w:rPr>
                <w:sz w:val="20"/>
                <w:szCs w:val="20"/>
                <w:color w:val="auto"/>
              </w:rPr>
            </w:pPr>
            <w:r>
              <w:rPr>
                <w:rFonts w:ascii="Arial" w:cs="Arial" w:eastAsia="Arial" w:hAnsi="Arial"/>
                <w:sz w:val="13"/>
                <w:szCs w:val="13"/>
                <w:b w:val="1"/>
                <w:bCs w:val="1"/>
                <w:color w:val="auto"/>
                <w:w w:val="94"/>
              </w:rPr>
              <w:t>and</w:t>
            </w:r>
          </w:p>
        </w:tc>
        <w:tc>
          <w:tcPr>
            <w:tcW w:w="94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20" w:type="dxa"/>
            <w:vAlign w:val="bottom"/>
          </w:tcPr>
          <w:p>
            <w:pPr>
              <w:jc w:val="center"/>
              <w:ind w:right="11"/>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Certain Tax</w:t>
            </w:r>
          </w:p>
        </w:tc>
        <w:tc>
          <w:tcPr>
            <w:tcW w:w="900" w:type="dxa"/>
            <w:vAlign w:val="bottom"/>
            <w:vMerge w:val="continue"/>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1320" w:type="dxa"/>
            <w:vAlign w:val="bottom"/>
          </w:tcPr>
          <w:p>
            <w:pPr>
              <w:ind w:left="20"/>
              <w:spacing w:after="0" w:line="121" w:lineRule="exact"/>
              <w:rPr>
                <w:sz w:val="20"/>
                <w:szCs w:val="20"/>
                <w:color w:val="auto"/>
              </w:rPr>
            </w:pPr>
            <w:r>
              <w:rPr>
                <w:rFonts w:ascii="Arial" w:cs="Arial" w:eastAsia="Arial" w:hAnsi="Arial"/>
                <w:sz w:val="14"/>
                <w:szCs w:val="14"/>
                <w:b w:val="1"/>
                <w:bCs w:val="1"/>
                <w:color w:val="auto"/>
              </w:rPr>
              <w:t>Ended</w:t>
            </w:r>
          </w:p>
        </w:tc>
        <w:tc>
          <w:tcPr>
            <w:tcW w:w="66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9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4"/>
              </w:rPr>
              <w:t>Remediation</w:t>
            </w:r>
          </w:p>
        </w:tc>
        <w:tc>
          <w:tcPr>
            <w:tcW w:w="940" w:type="dxa"/>
            <w:vAlign w:val="bottom"/>
            <w:vMerge w:val="continue"/>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tcPr>
          <w:p>
            <w:pPr>
              <w:ind w:left="20"/>
              <w:spacing w:after="0" w:line="121" w:lineRule="exact"/>
              <w:rPr>
                <w:sz w:val="20"/>
                <w:szCs w:val="20"/>
                <w:color w:val="auto"/>
              </w:rPr>
            </w:pPr>
            <w:r>
              <w:rPr>
                <w:rFonts w:ascii="Arial" w:cs="Arial" w:eastAsia="Arial" w:hAnsi="Arial"/>
                <w:sz w:val="14"/>
                <w:szCs w:val="14"/>
                <w:b w:val="1"/>
                <w:bCs w:val="1"/>
                <w:color w:val="auto"/>
              </w:rPr>
              <w:t>September 30,</w:t>
            </w:r>
          </w:p>
        </w:tc>
        <w:tc>
          <w:tcPr>
            <w:tcW w:w="6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8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8"/>
              </w:rPr>
              <w:t>Expenses</w:t>
            </w:r>
          </w:p>
        </w:tc>
        <w:tc>
          <w:tcPr>
            <w:tcW w:w="98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8"/>
              </w:rPr>
              <w:t>Expenses</w:t>
            </w:r>
          </w:p>
        </w:tc>
        <w:tc>
          <w:tcPr>
            <w:tcW w:w="940" w:type="dxa"/>
            <w:vAlign w:val="bottom"/>
          </w:tcPr>
          <w:p>
            <w:pPr>
              <w:jc w:val="center"/>
              <w:ind w:right="31"/>
              <w:spacing w:after="0" w:line="121" w:lineRule="exact"/>
              <w:rPr>
                <w:sz w:val="20"/>
                <w:szCs w:val="20"/>
                <w:color w:val="auto"/>
              </w:rPr>
            </w:pPr>
            <w:r>
              <w:rPr>
                <w:rFonts w:ascii="Arial" w:cs="Arial" w:eastAsia="Arial" w:hAnsi="Arial"/>
                <w:sz w:val="13"/>
                <w:szCs w:val="13"/>
                <w:b w:val="1"/>
                <w:bCs w:val="1"/>
                <w:color w:val="auto"/>
                <w:w w:val="98"/>
              </w:rPr>
              <w:t>Expenses</w:t>
            </w:r>
          </w:p>
        </w:tc>
        <w:tc>
          <w:tcPr>
            <w:tcW w:w="94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and Other</w:t>
            </w:r>
          </w:p>
        </w:tc>
        <w:tc>
          <w:tcPr>
            <w:tcW w:w="102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9"/>
              </w:rPr>
              <w:t>Costs</w:t>
            </w:r>
          </w:p>
        </w:tc>
        <w:tc>
          <w:tcPr>
            <w:tcW w:w="94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6"/>
              </w:rPr>
              <w:t>Adjustments</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740" w:type="dxa"/>
            <w:vAlign w:val="bottom"/>
          </w:tcPr>
          <w:p>
            <w:pPr>
              <w:ind w:left="100"/>
              <w:spacing w:after="0" w:line="121"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(B)</w:t>
            </w:r>
          </w:p>
        </w:tc>
        <w:tc>
          <w:tcPr>
            <w:tcW w:w="94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9"/>
              </w:rPr>
              <w:t>(C)</w:t>
            </w: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5"/>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Measures</w:t>
            </w:r>
          </w:p>
        </w:tc>
        <w:tc>
          <w:tcPr>
            <w:tcW w:w="0" w:type="dxa"/>
            <w:vAlign w:val="bottom"/>
          </w:tcPr>
          <w:p>
            <w:pPr>
              <w:spacing w:after="0"/>
              <w:rPr>
                <w:sz w:val="1"/>
                <w:szCs w:val="1"/>
                <w:color w:val="auto"/>
              </w:rPr>
            </w:pPr>
          </w:p>
        </w:tc>
      </w:tr>
      <w:tr>
        <w:trPr>
          <w:trHeight w:val="184"/>
        </w:trPr>
        <w:tc>
          <w:tcPr>
            <w:tcW w:w="132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60" w:type="dxa"/>
            <w:vAlign w:val="bottom"/>
          </w:tcPr>
          <w:p>
            <w:pPr>
              <w:jc w:val="right"/>
              <w:ind w:right="130"/>
              <w:spacing w:after="0"/>
              <w:rPr>
                <w:sz w:val="20"/>
                <w:szCs w:val="20"/>
                <w:color w:val="auto"/>
              </w:rPr>
            </w:pPr>
            <w:r>
              <w:rPr>
                <w:rFonts w:ascii="Arial" w:cs="Arial" w:eastAsia="Arial" w:hAnsi="Arial"/>
                <w:sz w:val="14"/>
                <w:szCs w:val="14"/>
                <w:color w:val="auto"/>
              </w:rPr>
              <w:t>$92.4</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11"/>
              <w:spacing w:after="0"/>
              <w:rPr>
                <w:sz w:val="20"/>
                <w:szCs w:val="20"/>
                <w:color w:val="auto"/>
              </w:rPr>
            </w:pPr>
            <w:r>
              <w:rPr>
                <w:rFonts w:ascii="Arial" w:cs="Arial" w:eastAsia="Arial" w:hAnsi="Arial"/>
                <w:sz w:val="14"/>
                <w:szCs w:val="14"/>
                <w:color w:val="auto"/>
              </w:rPr>
              <w:t>($5.2)</w:t>
            </w:r>
          </w:p>
        </w:tc>
        <w:tc>
          <w:tcPr>
            <w:tcW w:w="94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($5.4)</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60" w:type="dxa"/>
            <w:vAlign w:val="bottom"/>
          </w:tcPr>
          <w:p>
            <w:pPr>
              <w:jc w:val="right"/>
              <w:spacing w:after="0"/>
              <w:rPr>
                <w:sz w:val="20"/>
                <w:szCs w:val="20"/>
                <w:color w:val="auto"/>
              </w:rPr>
            </w:pPr>
            <w:r>
              <w:rPr>
                <w:rFonts w:ascii="Arial" w:cs="Arial" w:eastAsia="Arial" w:hAnsi="Arial"/>
                <w:sz w:val="14"/>
                <w:szCs w:val="14"/>
                <w:color w:val="auto"/>
              </w:rPr>
              <w:t>61.5 %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ind w:left="620"/>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2.2 %</w:t>
            </w:r>
          </w:p>
        </w:tc>
        <w:tc>
          <w:tcPr>
            <w:tcW w:w="940" w:type="dxa"/>
            <w:vAlign w:val="bottom"/>
          </w:tcPr>
          <w:p>
            <w:pPr>
              <w:jc w:val="right"/>
              <w:spacing w:after="0"/>
              <w:rPr>
                <w:sz w:val="20"/>
                <w:szCs w:val="20"/>
                <w:color w:val="auto"/>
              </w:rPr>
            </w:pPr>
            <w:r>
              <w:rPr>
                <w:rFonts w:ascii="Arial" w:cs="Arial" w:eastAsia="Arial" w:hAnsi="Arial"/>
                <w:sz w:val="14"/>
                <w:szCs w:val="14"/>
                <w:color w:val="auto"/>
              </w:rPr>
              <w:t>0.5 %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1020" w:type="dxa"/>
            <w:vAlign w:val="bottom"/>
          </w:tcPr>
          <w:p>
            <w:pPr>
              <w:jc w:val="right"/>
              <w:spacing w:after="0"/>
              <w:rPr>
                <w:sz w:val="20"/>
                <w:szCs w:val="20"/>
                <w:color w:val="auto"/>
              </w:rPr>
            </w:pPr>
            <w:r>
              <w:rPr>
                <w:rFonts w:ascii="Arial" w:cs="Arial" w:eastAsia="Arial" w:hAnsi="Arial"/>
                <w:sz w:val="14"/>
                <w:szCs w:val="14"/>
                <w:color w:val="auto"/>
              </w:rPr>
              <w:t>2.2 %</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66.5 %</w:t>
            </w: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660" w:type="dxa"/>
            <w:vAlign w:val="bottom"/>
            <w:vMerge w:val="restart"/>
          </w:tcPr>
          <w:p>
            <w:pPr>
              <w:jc w:val="right"/>
              <w:ind w:right="130"/>
              <w:spacing w:after="0"/>
              <w:rPr>
                <w:sz w:val="20"/>
                <w:szCs w:val="20"/>
                <w:color w:val="auto"/>
              </w:rPr>
            </w:pPr>
            <w:r>
              <w:rPr>
                <w:rFonts w:ascii="Arial" w:cs="Arial" w:eastAsia="Arial" w:hAnsi="Arial"/>
                <w:sz w:val="14"/>
                <w:szCs w:val="14"/>
                <w:color w:val="auto"/>
              </w:rPr>
              <w:t>104.0</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11"/>
              <w:spacing w:after="0"/>
              <w:rPr>
                <w:sz w:val="20"/>
                <w:szCs w:val="20"/>
                <w:color w:val="auto"/>
              </w:rPr>
            </w:pPr>
            <w:r>
              <w:rPr>
                <w:rFonts w:ascii="Arial" w:cs="Arial" w:eastAsia="Arial" w:hAnsi="Arial"/>
                <w:sz w:val="14"/>
                <w:szCs w:val="14"/>
                <w:color w:val="auto"/>
              </w:rPr>
              <w:t>(6.1)</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1020" w:type="dxa"/>
            <w:vAlign w:val="bottom"/>
            <w:vMerge w:val="restart"/>
          </w:tcPr>
          <w:p>
            <w:pPr>
              <w:jc w:val="right"/>
              <w:ind w:right="110"/>
              <w:spacing w:after="0"/>
              <w:rPr>
                <w:sz w:val="20"/>
                <w:szCs w:val="20"/>
                <w:color w:val="auto"/>
              </w:rPr>
            </w:pPr>
            <w:r>
              <w:rPr>
                <w:rFonts w:ascii="Arial" w:cs="Arial" w:eastAsia="Arial" w:hAnsi="Arial"/>
                <w:sz w:val="14"/>
                <w:szCs w:val="14"/>
                <w:color w:val="auto"/>
              </w:rPr>
              <w:t>(6.6)</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43.3 %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38.2 %</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60" w:type="dxa"/>
            <w:vAlign w:val="bottom"/>
            <w:vMerge w:val="restart"/>
          </w:tcPr>
          <w:p>
            <w:pPr>
              <w:jc w:val="right"/>
              <w:ind w:right="130"/>
              <w:spacing w:after="0"/>
              <w:rPr>
                <w:sz w:val="20"/>
                <w:szCs w:val="20"/>
                <w:color w:val="auto"/>
              </w:rPr>
            </w:pPr>
            <w:r>
              <w:rPr>
                <w:rFonts w:ascii="Arial" w:cs="Arial" w:eastAsia="Arial" w:hAnsi="Arial"/>
                <w:sz w:val="14"/>
                <w:szCs w:val="14"/>
                <w:color w:val="auto"/>
              </w:rPr>
              <w:t>47.4</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(10.7)</w:t>
            </w:r>
          </w:p>
        </w:tc>
        <w:tc>
          <w:tcPr>
            <w:tcW w:w="1020" w:type="dxa"/>
            <w:vAlign w:val="bottom"/>
            <w:vMerge w:val="restart"/>
          </w:tcPr>
          <w:p>
            <w:pPr>
              <w:jc w:val="right"/>
              <w:ind w:right="110"/>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development as a</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19.7 %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Other operating</w:t>
            </w:r>
          </w:p>
        </w:tc>
        <w:tc>
          <w:tcPr>
            <w:tcW w:w="660" w:type="dxa"/>
            <w:vAlign w:val="bottom"/>
            <w:vMerge w:val="restart"/>
          </w:tcPr>
          <w:p>
            <w:pPr>
              <w:jc w:val="right"/>
              <w:ind w:right="130"/>
              <w:spacing w:after="0"/>
              <w:rPr>
                <w:sz w:val="20"/>
                <w:szCs w:val="20"/>
                <w:color w:val="auto"/>
              </w:rPr>
            </w:pPr>
            <w:r>
              <w:rPr>
                <w:rFonts w:ascii="Arial" w:cs="Arial" w:eastAsia="Arial" w:hAnsi="Arial"/>
                <w:sz w:val="14"/>
                <w:szCs w:val="14"/>
                <w:color w:val="auto"/>
              </w:rPr>
              <w:t>3.7</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(3.0)</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Operating (loss)</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income from</w:t>
            </w: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color w:val="auto"/>
              </w:rPr>
              <w:t>(7.5)</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11.3</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1.1</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(0.1)</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18.7</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7.8</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Operating margin</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4.7 %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0.5 %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7.8 %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13.4 %</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percent</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Income tax (benefit)</w:t>
            </w: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color w:val="auto"/>
              </w:rPr>
              <w:t>(4.0)</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1.5</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0.3</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0.4</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2.5</w:t>
            </w:r>
          </w:p>
        </w:tc>
        <w:tc>
          <w:tcPr>
            <w:tcW w:w="900" w:type="dxa"/>
            <w:vAlign w:val="bottom"/>
            <w:vMerge w:val="restart"/>
          </w:tcPr>
          <w:p>
            <w:pPr>
              <w:ind w:left="460"/>
              <w:spacing w:after="0"/>
              <w:rPr>
                <w:sz w:val="20"/>
                <w:szCs w:val="20"/>
                <w:color w:val="auto"/>
              </w:rPr>
            </w:pPr>
            <w:r>
              <w:rPr>
                <w:rFonts w:ascii="Arial" w:cs="Arial" w:eastAsia="Arial" w:hAnsi="Arial"/>
                <w:sz w:val="14"/>
                <w:szCs w:val="14"/>
                <w:color w:val="auto"/>
              </w:rPr>
              <w:t>(0.3)</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expense</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Net (loss) income</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from continuing</w:t>
            </w: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color w:val="auto"/>
              </w:rPr>
              <w:t>(14.8)</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(0.4)</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9.8</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(4.8)</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18.4</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7.4</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(2.5)</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3.5</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20" w:type="dxa"/>
            <w:vAlign w:val="bottom"/>
          </w:tcPr>
          <w:p>
            <w:pPr>
              <w:ind w:left="20"/>
              <w:spacing w:after="0" w:line="151" w:lineRule="exact"/>
              <w:rPr>
                <w:sz w:val="20"/>
                <w:szCs w:val="20"/>
                <w:color w:val="auto"/>
              </w:rPr>
            </w:pPr>
            <w:r>
              <w:rPr>
                <w:rFonts w:ascii="Arial" w:cs="Arial" w:eastAsia="Arial" w:hAnsi="Arial"/>
                <w:sz w:val="14"/>
                <w:szCs w:val="14"/>
                <w:color w:val="auto"/>
              </w:rPr>
              <w:t>Diluted EPS -</w:t>
            </w: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60" w:type="dxa"/>
            <w:vAlign w:val="bottom"/>
            <w:vMerge w:val="restart"/>
          </w:tcPr>
          <w:p>
            <w:pPr>
              <w:jc w:val="right"/>
              <w:ind w:right="90"/>
              <w:spacing w:after="0"/>
              <w:rPr>
                <w:sz w:val="20"/>
                <w:szCs w:val="20"/>
                <w:color w:val="auto"/>
              </w:rPr>
            </w:pPr>
            <w:r>
              <w:rPr>
                <w:rFonts w:ascii="Arial" w:cs="Arial" w:eastAsia="Arial" w:hAnsi="Arial"/>
                <w:sz w:val="14"/>
                <w:szCs w:val="14"/>
                <w:color w:val="auto"/>
              </w:rPr>
              <w:t>($0.30)</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$0.02</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($0.01)</w:t>
            </w:r>
          </w:p>
        </w:tc>
        <w:tc>
          <w:tcPr>
            <w:tcW w:w="940" w:type="dxa"/>
            <w:vAlign w:val="bottom"/>
            <w:vMerge w:val="restart"/>
          </w:tcPr>
          <w:p>
            <w:pPr>
              <w:jc w:val="right"/>
              <w:ind w:right="151"/>
              <w:spacing w:after="0"/>
              <w:rPr>
                <w:sz w:val="20"/>
                <w:szCs w:val="20"/>
                <w:color w:val="auto"/>
              </w:rPr>
            </w:pPr>
            <w:r>
              <w:rPr>
                <w:rFonts w:ascii="Arial" w:cs="Arial" w:eastAsia="Arial" w:hAnsi="Arial"/>
                <w:sz w:val="14"/>
                <w:szCs w:val="14"/>
                <w:color w:val="auto"/>
              </w:rPr>
              <w:t>$0.20</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$0.02</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($0.10)</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$0.38</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$0.15</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($0.05)</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$0.07</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72"/>
        </w:trPr>
        <w:tc>
          <w:tcPr>
            <w:tcW w:w="13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September 30, 2020 include:</w:t>
      </w:r>
    </w:p>
    <w:p>
      <w:pPr>
        <w:spacing w:after="0" w:line="46" w:lineRule="exact"/>
        <w:rPr>
          <w:sz w:val="20"/>
          <w:szCs w:val="20"/>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the June 2020 financing transactions, including the mark-to-market adjustment for the exchangeable option feature and capped call derivatives</w:t>
      </w:r>
    </w:p>
    <w:p>
      <w:pPr>
        <w:spacing w:after="0" w:line="27" w:lineRule="exact"/>
        <w:rPr>
          <w:rFonts w:ascii="Arial" w:cs="Arial" w:eastAsia="Arial" w:hAnsi="Arial"/>
          <w:sz w:val="14"/>
          <w:szCs w:val="14"/>
          <w:color w:val="auto"/>
        </w:rPr>
      </w:pPr>
    </w:p>
    <w:p>
      <w:pPr>
        <w:ind w:left="340" w:right="460" w:hanging="314"/>
        <w:spacing w:after="0" w:line="22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and remeasurement of contingent consideration related to acquisitions</w:t>
      </w:r>
    </w:p>
    <w:p>
      <w:pPr>
        <w:spacing w:after="0" w:line="1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7" w:lineRule="exact"/>
        <w:rPr>
          <w:rFonts w:ascii="Arial" w:cs="Arial" w:eastAsia="Arial" w:hAnsi="Arial"/>
          <w:sz w:val="14"/>
          <w:szCs w:val="14"/>
          <w:color w:val="auto"/>
        </w:rPr>
      </w:pPr>
    </w:p>
    <w:p>
      <w:pPr>
        <w:ind w:left="340" w:right="560" w:hanging="314"/>
        <w:spacing w:after="0" w:line="228"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non-cash interest expense on the Senior Secured Term Loan and Cash Exchangeable Senior Notes, intellectual property migration and interest reversed upon the settlement of a tax litigation matter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95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5820" cy="825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w:t>
            </w:r>
          </w:p>
        </w:tc>
        <w:tc>
          <w:tcPr>
            <w:tcW w:w="64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Depreciation</w:t>
            </w:r>
          </w:p>
        </w:tc>
        <w:tc>
          <w:tcPr>
            <w:tcW w:w="6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Product</w:t>
            </w:r>
          </w:p>
        </w:tc>
        <w:tc>
          <w:tcPr>
            <w:tcW w:w="9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Stock-based</w:t>
            </w:r>
          </w:p>
        </w:tc>
        <w:tc>
          <w:tcPr>
            <w:tcW w:w="9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3"/>
              </w:rPr>
              <w:t>Certain</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Restructuring</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Heart</w:t>
            </w:r>
          </w:p>
        </w:tc>
        <w:tc>
          <w:tcPr>
            <w:tcW w:w="9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20" w:type="dxa"/>
            <w:vAlign w:val="bottom"/>
          </w:tcPr>
          <w:p>
            <w:pPr>
              <w:jc w:val="center"/>
              <w:ind w:right="11"/>
              <w:spacing w:after="0" w:line="121" w:lineRule="exact"/>
              <w:rPr>
                <w:sz w:val="20"/>
                <w:szCs w:val="20"/>
                <w:color w:val="auto"/>
              </w:rPr>
            </w:pPr>
            <w:r>
              <w:rPr>
                <w:rFonts w:ascii="Arial" w:cs="Arial" w:eastAsia="Arial" w:hAnsi="Arial"/>
                <w:sz w:val="13"/>
                <w:szCs w:val="13"/>
                <w:b w:val="1"/>
                <w:bCs w:val="1"/>
                <w:color w:val="auto"/>
                <w:w w:val="96"/>
              </w:rPr>
              <w:t>Contingent</w:t>
            </w:r>
          </w:p>
        </w:tc>
        <w:tc>
          <w:tcPr>
            <w:tcW w:w="10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920" w:type="dxa"/>
            <w:vAlign w:val="bottom"/>
            <w:vMerge w:val="continue"/>
          </w:tcPr>
          <w:p>
            <w:pPr>
              <w:spacing w:after="0"/>
              <w:rPr>
                <w:sz w:val="10"/>
                <w:szCs w:val="10"/>
                <w:color w:val="auto"/>
              </w:rPr>
            </w:pPr>
          </w:p>
        </w:tc>
        <w:tc>
          <w:tcPr>
            <w:tcW w:w="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940" w:type="dxa"/>
            <w:vAlign w:val="bottom"/>
          </w:tcPr>
          <w:p>
            <w:pPr>
              <w:ind w:left="20"/>
              <w:spacing w:after="0" w:line="121" w:lineRule="exact"/>
              <w:rPr>
                <w:sz w:val="20"/>
                <w:szCs w:val="20"/>
                <w:color w:val="auto"/>
              </w:rPr>
            </w:pPr>
            <w:r>
              <w:rPr>
                <w:rFonts w:ascii="Arial" w:cs="Arial" w:eastAsia="Arial" w:hAnsi="Arial"/>
                <w:sz w:val="14"/>
                <w:szCs w:val="14"/>
                <w:b w:val="1"/>
                <w:bCs w:val="1"/>
                <w:color w:val="auto"/>
              </w:rPr>
              <w:t>Ended</w:t>
            </w:r>
          </w:p>
        </w:tc>
        <w:tc>
          <w:tcPr>
            <w:tcW w:w="64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Amortization</w:t>
            </w:r>
          </w:p>
        </w:tc>
        <w:tc>
          <w:tcPr>
            <w:tcW w:w="66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Remediation</w:t>
            </w:r>
          </w:p>
        </w:tc>
        <w:tc>
          <w:tcPr>
            <w:tcW w:w="940" w:type="dxa"/>
            <w:vAlign w:val="bottom"/>
            <w:vMerge w:val="continue"/>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Interest</w:t>
            </w: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40" w:type="dxa"/>
            <w:vAlign w:val="bottom"/>
          </w:tcPr>
          <w:p>
            <w:pPr>
              <w:ind w:left="20"/>
              <w:spacing w:after="0" w:line="121" w:lineRule="exact"/>
              <w:rPr>
                <w:sz w:val="20"/>
                <w:szCs w:val="20"/>
                <w:color w:val="auto"/>
              </w:rPr>
            </w:pPr>
            <w:r>
              <w:rPr>
                <w:rFonts w:ascii="Arial" w:cs="Arial" w:eastAsia="Arial" w:hAnsi="Arial"/>
                <w:sz w:val="14"/>
                <w:szCs w:val="14"/>
                <w:b w:val="1"/>
                <w:bCs w:val="1"/>
                <w:color w:val="auto"/>
              </w:rPr>
              <w:t>September</w:t>
            </w:r>
          </w:p>
        </w:tc>
        <w:tc>
          <w:tcPr>
            <w:tcW w:w="6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Financial</w:t>
            </w:r>
          </w:p>
        </w:tc>
        <w:tc>
          <w:tcPr>
            <w:tcW w:w="8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8"/>
              </w:rPr>
              <w:t>Expenses</w:t>
            </w:r>
          </w:p>
        </w:tc>
        <w:tc>
          <w:tcPr>
            <w:tcW w:w="98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95"/>
              </w:rPr>
              <w:t>Expenses</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Expenses</w:t>
            </w:r>
          </w:p>
        </w:tc>
        <w:tc>
          <w:tcPr>
            <w:tcW w:w="6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Valves</w:t>
            </w:r>
          </w:p>
        </w:tc>
        <w:tc>
          <w:tcPr>
            <w:tcW w:w="92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3"/>
              </w:rPr>
              <w:t>Transactions</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and Other</w:t>
            </w:r>
          </w:p>
        </w:tc>
        <w:tc>
          <w:tcPr>
            <w:tcW w:w="102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9"/>
              </w:rPr>
              <w:t>Costs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620" w:type="dxa"/>
            <w:vAlign w:val="bottom"/>
          </w:tcPr>
          <w:p>
            <w:pPr>
              <w:ind w:left="40"/>
              <w:spacing w:after="0" w:line="121" w:lineRule="exact"/>
              <w:rPr>
                <w:sz w:val="20"/>
                <w:szCs w:val="20"/>
                <w:color w:val="auto"/>
              </w:rPr>
            </w:pPr>
            <w:r>
              <w:rPr>
                <w:rFonts w:ascii="Arial" w:cs="Arial" w:eastAsia="Arial" w:hAnsi="Arial"/>
                <w:sz w:val="13"/>
                <w:szCs w:val="13"/>
                <w:b w:val="1"/>
                <w:bCs w:val="1"/>
                <w:color w:val="auto"/>
                <w:w w:val="99"/>
              </w:rPr>
              <w:t>Financial</w:t>
            </w:r>
          </w:p>
        </w:tc>
        <w:tc>
          <w:tcPr>
            <w:tcW w:w="0" w:type="dxa"/>
            <w:vAlign w:val="bottom"/>
          </w:tcPr>
          <w:p>
            <w:pPr>
              <w:spacing w:after="0"/>
              <w:rPr>
                <w:sz w:val="1"/>
                <w:szCs w:val="1"/>
                <w:color w:val="auto"/>
              </w:rPr>
            </w:pPr>
          </w:p>
        </w:tc>
      </w:tr>
      <w:tr>
        <w:trPr>
          <w:trHeight w:val="175"/>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30, 2021</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(D)</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95"/>
              </w:rPr>
              <w:t>(G)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(H)</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(J)</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Measures</w:t>
            </w:r>
          </w:p>
        </w:tc>
        <w:tc>
          <w:tcPr>
            <w:tcW w:w="0" w:type="dxa"/>
            <w:vAlign w:val="bottom"/>
          </w:tcPr>
          <w:p>
            <w:pPr>
              <w:spacing w:after="0"/>
              <w:rPr>
                <w:sz w:val="1"/>
                <w:szCs w:val="1"/>
                <w:color w:val="auto"/>
              </w:rPr>
            </w:pPr>
          </w:p>
        </w:tc>
      </w:tr>
      <w:tr>
        <w:trPr>
          <w:trHeight w:val="184"/>
        </w:trPr>
        <w:tc>
          <w:tcPr>
            <w:tcW w:w="94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40" w:type="dxa"/>
            <w:vAlign w:val="bottom"/>
          </w:tcPr>
          <w:p>
            <w:pPr>
              <w:jc w:val="right"/>
              <w:ind w:right="110"/>
              <w:spacing w:after="0"/>
              <w:rPr>
                <w:sz w:val="20"/>
                <w:szCs w:val="20"/>
                <w:color w:val="auto"/>
              </w:rPr>
            </w:pPr>
            <w:r>
              <w:rPr>
                <w:rFonts w:ascii="Arial" w:cs="Arial" w:eastAsia="Arial" w:hAnsi="Arial"/>
                <w:sz w:val="14"/>
                <w:szCs w:val="14"/>
                <w:color w:val="auto"/>
              </w:rPr>
              <w:t>$256.8</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1"/>
              <w:spacing w:after="0"/>
              <w:rPr>
                <w:sz w:val="20"/>
                <w:szCs w:val="20"/>
                <w:color w:val="auto"/>
              </w:rPr>
            </w:pPr>
            <w:r>
              <w:rPr>
                <w:rFonts w:ascii="Arial" w:cs="Arial" w:eastAsia="Arial" w:hAnsi="Arial"/>
                <w:sz w:val="14"/>
                <w:szCs w:val="14"/>
                <w:color w:val="auto"/>
              </w:rPr>
              <w:t>($11.9)</w:t>
            </w:r>
          </w:p>
        </w:tc>
        <w:tc>
          <w:tcPr>
            <w:tcW w:w="6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($10.3)</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($2.0)</w:t>
            </w: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0"/>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Gross profit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66.4 %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69.7 %</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347.5</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71"/>
              <w:spacing w:after="0"/>
              <w:rPr>
                <w:sz w:val="20"/>
                <w:szCs w:val="20"/>
                <w:color w:val="auto"/>
              </w:rPr>
            </w:pPr>
            <w:r>
              <w:rPr>
                <w:rFonts w:ascii="Arial" w:cs="Arial" w:eastAsia="Arial" w:hAnsi="Arial"/>
                <w:sz w:val="14"/>
                <w:szCs w:val="14"/>
                <w:color w:val="auto"/>
              </w:rPr>
              <w:t>(9.2)</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(25.5)</w:t>
            </w:r>
          </w:p>
        </w:tc>
        <w:tc>
          <w:tcPr>
            <w:tcW w:w="1020" w:type="dxa"/>
            <w:vAlign w:val="bottom"/>
            <w:vMerge w:val="restart"/>
          </w:tcPr>
          <w:p>
            <w:pPr>
              <w:jc w:val="right"/>
              <w:ind w:right="90"/>
              <w:spacing w:after="0"/>
              <w:rPr>
                <w:sz w:val="20"/>
                <w:szCs w:val="20"/>
                <w:color w:val="auto"/>
              </w:rPr>
            </w:pPr>
            <w:r>
              <w:rPr>
                <w:rFonts w:ascii="Arial" w:cs="Arial" w:eastAsia="Arial" w:hAnsi="Arial"/>
                <w:sz w:val="14"/>
                <w:szCs w:val="14"/>
                <w:color w:val="auto"/>
              </w:rPr>
              <w:t>(22.3)</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Selling,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general and</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administrative</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45.4 %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38.0 %</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139.3</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0.1</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(10.3)</w:t>
            </w:r>
          </w:p>
        </w:tc>
        <w:tc>
          <w:tcPr>
            <w:tcW w:w="1020" w:type="dxa"/>
            <w:vAlign w:val="bottom"/>
            <w:vMerge w:val="restart"/>
          </w:tcPr>
          <w:p>
            <w:pPr>
              <w:jc w:val="right"/>
              <w:ind w:right="90"/>
              <w:spacing w:after="0"/>
              <w:rPr>
                <w:sz w:val="20"/>
                <w:szCs w:val="20"/>
                <w:color w:val="auto"/>
              </w:rPr>
            </w:pPr>
            <w:r>
              <w:rPr>
                <w:rFonts w:ascii="Arial" w:cs="Arial" w:eastAsia="Arial" w:hAnsi="Arial"/>
                <w:sz w:val="14"/>
                <w:szCs w:val="14"/>
                <w:color w:val="auto"/>
              </w:rPr>
              <w:t>(6.3)</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development</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as a percent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18.2 %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of net sales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operating</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43.1</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auto"/>
              </w:rPr>
              <w:t>(0.8)</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(9.8)</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(32.3)</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(loss) income</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from</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0"/>
              <w:spacing w:after="0"/>
              <w:rPr>
                <w:sz w:val="20"/>
                <w:szCs w:val="20"/>
                <w:color w:val="auto"/>
              </w:rPr>
            </w:pPr>
            <w:r>
              <w:rPr>
                <w:rFonts w:ascii="Arial" w:cs="Arial" w:eastAsia="Arial" w:hAnsi="Arial"/>
                <w:sz w:val="14"/>
                <w:szCs w:val="14"/>
                <w:color w:val="auto"/>
              </w:rPr>
              <w:t>(21.4)</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9.8</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21.0</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(0.7)</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0.4</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78.4</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30.6</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Operating</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margin</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10.2 %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940" w:type="dxa"/>
            <w:vAlign w:val="bottom"/>
            <w:vMerge w:val="restart"/>
          </w:tcPr>
          <w:p>
            <w:pPr>
              <w:ind w:left="600"/>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15.5 %</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Income tax</w:t>
            </w:r>
          </w:p>
        </w:tc>
        <w:tc>
          <w:tcPr>
            <w:tcW w:w="640" w:type="dxa"/>
            <w:vAlign w:val="bottom"/>
            <w:vMerge w:val="restart"/>
          </w:tcPr>
          <w:p>
            <w:pPr>
              <w:jc w:val="right"/>
              <w:ind w:right="130"/>
              <w:spacing w:after="0"/>
              <w:rPr>
                <w:sz w:val="20"/>
                <w:szCs w:val="20"/>
                <w:color w:val="auto"/>
              </w:rPr>
            </w:pPr>
            <w:r>
              <w:rPr>
                <w:rFonts w:ascii="Arial" w:cs="Arial" w:eastAsia="Arial" w:hAnsi="Arial"/>
                <w:sz w:val="14"/>
                <w:szCs w:val="14"/>
                <w:color w:val="auto"/>
              </w:rPr>
              <w:t>9.1</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0.3</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1.6</w:t>
            </w:r>
          </w:p>
        </w:tc>
        <w:tc>
          <w:tcPr>
            <w:tcW w:w="660" w:type="dxa"/>
            <w:vAlign w:val="bottom"/>
            <w:vMerge w:val="restart"/>
          </w:tcPr>
          <w:p>
            <w:pPr>
              <w:jc w:val="right"/>
              <w:ind w:right="150"/>
              <w:spacing w:after="0"/>
              <w:rPr>
                <w:sz w:val="20"/>
                <w:szCs w:val="20"/>
                <w:color w:val="auto"/>
              </w:rPr>
            </w:pPr>
            <w:r>
              <w:rPr>
                <w:rFonts w:ascii="Arial" w:cs="Arial" w:eastAsia="Arial" w:hAnsi="Arial"/>
                <w:sz w:val="14"/>
                <w:szCs w:val="14"/>
                <w:color w:val="auto"/>
              </w:rPr>
              <w:t>3.0</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0.1</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1.0</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ind w:left="480"/>
              <w:spacing w:after="0"/>
              <w:rPr>
                <w:sz w:val="20"/>
                <w:szCs w:val="20"/>
                <w:color w:val="auto"/>
              </w:rPr>
            </w:pPr>
            <w:r>
              <w:rPr>
                <w:rFonts w:ascii="Arial" w:cs="Arial" w:eastAsia="Arial" w:hAnsi="Arial"/>
                <w:sz w:val="14"/>
                <w:szCs w:val="14"/>
                <w:color w:val="auto"/>
              </w:rPr>
              <w:t>(5.2)</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expense</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0"/>
              <w:spacing w:after="0"/>
              <w:rPr>
                <w:sz w:val="20"/>
                <w:szCs w:val="20"/>
                <w:color w:val="auto"/>
              </w:rPr>
            </w:pPr>
            <w:r>
              <w:rPr>
                <w:rFonts w:ascii="Arial" w:cs="Arial" w:eastAsia="Arial" w:hAnsi="Arial"/>
                <w:sz w:val="14"/>
                <w:szCs w:val="14"/>
                <w:color w:val="auto"/>
              </w:rPr>
              <w:t>(127.3)</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0.8</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9.5</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19.3</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(3.7)</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62.7</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69.3</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29.8</w:t>
            </w: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color w:val="auto"/>
              </w:rPr>
              <w:t>5.2</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13.2</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40" w:type="dxa"/>
            <w:vAlign w:val="bottom"/>
          </w:tcPr>
          <w:p>
            <w:pPr>
              <w:ind w:left="20"/>
              <w:spacing w:after="0" w:line="151" w:lineRule="exact"/>
              <w:rPr>
                <w:sz w:val="20"/>
                <w:szCs w:val="20"/>
                <w:color w:val="auto"/>
              </w:rPr>
            </w:pPr>
            <w:r>
              <w:rPr>
                <w:rFonts w:ascii="Arial" w:cs="Arial" w:eastAsia="Arial" w:hAnsi="Arial"/>
                <w:sz w:val="14"/>
                <w:szCs w:val="14"/>
                <w:color w:val="auto"/>
              </w:rPr>
              <w:t>Diluted EPS -</w:t>
            </w: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90"/>
              <w:spacing w:after="0"/>
              <w:rPr>
                <w:sz w:val="20"/>
                <w:szCs w:val="20"/>
                <w:color w:val="auto"/>
              </w:rPr>
            </w:pPr>
            <w:r>
              <w:rPr>
                <w:rFonts w:ascii="Arial" w:cs="Arial" w:eastAsia="Arial" w:hAnsi="Arial"/>
                <w:sz w:val="14"/>
                <w:szCs w:val="14"/>
                <w:color w:val="auto"/>
              </w:rPr>
              <w:t>($2.56)</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$0.01</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$0.19</w:t>
            </w:r>
          </w:p>
        </w:tc>
        <w:tc>
          <w:tcPr>
            <w:tcW w:w="900" w:type="dxa"/>
            <w:vAlign w:val="bottom"/>
            <w:vMerge w:val="restart"/>
          </w:tcPr>
          <w:p>
            <w:pPr>
              <w:jc w:val="right"/>
              <w:ind w:right="111"/>
              <w:spacing w:after="0"/>
              <w:rPr>
                <w:sz w:val="20"/>
                <w:szCs w:val="20"/>
                <w:color w:val="auto"/>
              </w:rPr>
            </w:pPr>
            <w:r>
              <w:rPr>
                <w:rFonts w:ascii="Arial" w:cs="Arial" w:eastAsia="Arial" w:hAnsi="Arial"/>
                <w:sz w:val="14"/>
                <w:szCs w:val="14"/>
                <w:color w:val="auto"/>
              </w:rPr>
              <w:t>$0.38</w:t>
            </w:r>
          </w:p>
        </w:tc>
        <w:tc>
          <w:tcPr>
            <w:tcW w:w="660" w:type="dxa"/>
            <w:vAlign w:val="bottom"/>
            <w:vMerge w:val="restart"/>
          </w:tcPr>
          <w:p>
            <w:pPr>
              <w:jc w:val="right"/>
              <w:ind w:right="110"/>
              <w:spacing w:after="0"/>
              <w:rPr>
                <w:sz w:val="20"/>
                <w:szCs w:val="20"/>
                <w:color w:val="auto"/>
              </w:rPr>
            </w:pPr>
            <w:r>
              <w:rPr>
                <w:rFonts w:ascii="Arial" w:cs="Arial" w:eastAsia="Arial" w:hAnsi="Arial"/>
                <w:sz w:val="14"/>
                <w:szCs w:val="14"/>
                <w:color w:val="auto"/>
              </w:rPr>
              <w:t>($0.07)</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$0.01</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$1.24</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$1.37</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$0.59</w:t>
            </w:r>
          </w:p>
        </w:tc>
        <w:tc>
          <w:tcPr>
            <w:tcW w:w="940" w:type="dxa"/>
            <w:vAlign w:val="bottom"/>
            <w:vMerge w:val="restart"/>
          </w:tcPr>
          <w:p>
            <w:pPr>
              <w:jc w:val="right"/>
              <w:ind w:right="130"/>
              <w:spacing w:after="0"/>
              <w:rPr>
                <w:sz w:val="20"/>
                <w:szCs w:val="20"/>
                <w:color w:val="auto"/>
              </w:rPr>
            </w:pPr>
            <w:r>
              <w:rPr>
                <w:rFonts w:ascii="Arial" w:cs="Arial" w:eastAsia="Arial" w:hAnsi="Arial"/>
                <w:sz w:val="14"/>
                <w:szCs w:val="14"/>
                <w:color w:val="auto"/>
              </w:rPr>
              <w:t>$0.10</w:t>
            </w:r>
          </w:p>
        </w:tc>
        <w:tc>
          <w:tcPr>
            <w:tcW w:w="920" w:type="dxa"/>
            <w:vAlign w:val="bottom"/>
            <w:vMerge w:val="restart"/>
          </w:tcPr>
          <w:p>
            <w:pPr>
              <w:jc w:val="right"/>
              <w:ind w:right="130"/>
              <w:spacing w:after="0"/>
              <w:rPr>
                <w:sz w:val="20"/>
                <w:szCs w:val="20"/>
                <w:color w:val="auto"/>
              </w:rPr>
            </w:pPr>
            <w:r>
              <w:rPr>
                <w:rFonts w:ascii="Arial" w:cs="Arial" w:eastAsia="Arial" w:hAnsi="Arial"/>
                <w:sz w:val="14"/>
                <w:szCs w:val="14"/>
                <w:color w:val="auto"/>
              </w:rPr>
              <w:t>$0.26</w:t>
            </w:r>
          </w:p>
        </w:tc>
        <w:tc>
          <w:tcPr>
            <w:tcW w:w="620" w:type="dxa"/>
            <w:vAlign w:val="bottom"/>
            <w:vMerge w:val="restart"/>
          </w:tcPr>
          <w:p>
            <w:pPr>
              <w:jc w:val="right"/>
              <w:ind w:right="11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72"/>
        </w:trPr>
        <w:tc>
          <w:tcPr>
            <w:tcW w:w="94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nine months ended September 30, 2021 include:</w:t>
      </w:r>
    </w:p>
    <w:p>
      <w:pPr>
        <w:spacing w:after="0" w:line="46" w:lineRule="exact"/>
        <w:rPr>
          <w:sz w:val="20"/>
          <w:szCs w:val="20"/>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Gain associated with the sale of Heart Valves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27" w:lineRule="exact"/>
        <w:rPr>
          <w:rFonts w:ascii="Arial" w:cs="Arial" w:eastAsia="Arial" w:hAnsi="Arial"/>
          <w:sz w:val="14"/>
          <w:szCs w:val="14"/>
          <w:color w:val="auto"/>
        </w:rPr>
      </w:pPr>
    </w:p>
    <w:p>
      <w:pPr>
        <w:ind w:left="340" w:right="140" w:hanging="314"/>
        <w:spacing w:after="0" w:line="22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the June 2020 financing transactions, including loss on debt extinguishment, the mark-to-market adjustment for the exchangeable option feature and capped call derivatives</w:t>
      </w:r>
    </w:p>
    <w:p>
      <w:pPr>
        <w:spacing w:after="0" w:line="17" w:lineRule="exact"/>
        <w:rPr>
          <w:rFonts w:ascii="Arial" w:cs="Arial" w:eastAsia="Arial" w:hAnsi="Arial"/>
          <w:sz w:val="14"/>
          <w:szCs w:val="14"/>
          <w:color w:val="auto"/>
        </w:rPr>
      </w:pPr>
    </w:p>
    <w:p>
      <w:pPr>
        <w:ind w:left="340" w:right="160" w:hanging="314"/>
        <w:spacing w:after="0" w:line="22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other matters, remeasurement of contingent consideration related to acquisitions, gain from remeasurement of an investment and dividend income</w:t>
      </w:r>
    </w:p>
    <w:p>
      <w:pPr>
        <w:spacing w:after="0" w:line="1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27" w:lineRule="exact"/>
        <w:rPr>
          <w:rFonts w:ascii="Arial" w:cs="Arial" w:eastAsia="Arial" w:hAnsi="Arial"/>
          <w:sz w:val="14"/>
          <w:szCs w:val="14"/>
          <w:color w:val="auto"/>
        </w:rPr>
      </w:pPr>
    </w:p>
    <w:p>
      <w:pPr>
        <w:ind w:left="340" w:hanging="314"/>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non-cash interest expense on the Senior Secured Term Loan and Cash Exchangeable Senior Notes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40"/>
          </w:cols>
          <w:pgMar w:left="320" w:top="806" w:right="239" w:bottom="1440" w:gutter="0" w:footer="0" w:header="0"/>
        </w:sectPr>
      </w:pPr>
    </w:p>
    <w:bookmarkStart w:id="20" w:name="page21"/>
    <w:bookmarkEnd w:id="20"/>
    <w:p>
      <w:pPr>
        <w:ind w:left="20" w:right="5600"/>
        <w:spacing w:after="0" w:line="244"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4"/>
          <w:szCs w:val="14"/>
          <w:b w:val="1"/>
          <w:bCs w:val="1"/>
          <w:color w:val="auto"/>
        </w:rPr>
        <w:t>Specified Items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Merger and</w:t>
            </w:r>
          </w:p>
        </w:tc>
        <w:tc>
          <w:tcPr>
            <w:tcW w:w="9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8"/>
              </w:rPr>
              <w:t>Depreciation</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Product</w:t>
            </w:r>
          </w:p>
        </w:tc>
        <w:tc>
          <w:tcPr>
            <w:tcW w:w="9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Certain Legal,</w:t>
            </w: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5"/>
              </w:rPr>
              <w:t>Stock-based</w:t>
            </w:r>
          </w:p>
        </w:tc>
        <w:tc>
          <w:tcPr>
            <w:tcW w:w="94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Certain</w:t>
            </w: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GAAP</w:t>
            </w:r>
          </w:p>
        </w:tc>
        <w:tc>
          <w:tcPr>
            <w:tcW w:w="840" w:type="dxa"/>
            <w:vAlign w:val="bottom"/>
            <w:vMerge w:val="continue"/>
          </w:tcPr>
          <w:p>
            <w:pPr>
              <w:spacing w:after="0"/>
              <w:rPr>
                <w:sz w:val="10"/>
                <w:szCs w:val="10"/>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Restructuring</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4"/>
              </w:rPr>
              <w:t>and</w:t>
            </w:r>
          </w:p>
        </w:tc>
        <w:tc>
          <w:tcPr>
            <w:tcW w:w="9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Financing</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9"/>
              </w:rPr>
              <w:t>Contingent</w:t>
            </w:r>
          </w:p>
        </w:tc>
        <w:tc>
          <w:tcPr>
            <w:tcW w:w="102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Certain Tax</w:t>
            </w:r>
          </w:p>
        </w:tc>
        <w:tc>
          <w:tcPr>
            <w:tcW w:w="900" w:type="dxa"/>
            <w:vAlign w:val="bottom"/>
            <w:vMerge w:val="continue"/>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5"/>
              </w:rPr>
              <w:t>Integration</w:t>
            </w:r>
          </w:p>
        </w:tc>
        <w:tc>
          <w:tcPr>
            <w:tcW w:w="98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8"/>
              </w:rPr>
              <w:t>Amortization</w:t>
            </w:r>
          </w:p>
        </w:tc>
        <w:tc>
          <w:tcPr>
            <w:tcW w:w="9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Remediation</w:t>
            </w:r>
          </w:p>
        </w:tc>
        <w:tc>
          <w:tcPr>
            <w:tcW w:w="940" w:type="dxa"/>
            <w:vAlign w:val="bottom"/>
            <w:vMerge w:val="continue"/>
          </w:tcPr>
          <w:p>
            <w:pPr>
              <w:spacing w:after="0"/>
              <w:rPr>
                <w:sz w:val="10"/>
                <w:szCs w:val="10"/>
                <w:color w:val="auto"/>
              </w:rPr>
            </w:pP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Consideration</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Compensation</w:t>
            </w:r>
          </w:p>
        </w:tc>
        <w:tc>
          <w:tcPr>
            <w:tcW w:w="940" w:type="dxa"/>
            <w:vAlign w:val="bottom"/>
            <w:vMerge w:val="continue"/>
          </w:tcPr>
          <w:p>
            <w:pPr>
              <w:spacing w:after="0"/>
              <w:rPr>
                <w:sz w:val="10"/>
                <w:szCs w:val="10"/>
                <w:color w:val="auto"/>
              </w:rPr>
            </w:pP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3"/>
              </w:rPr>
              <w:t>Interest</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80" w:type="dxa"/>
            <w:vAlign w:val="bottom"/>
          </w:tcPr>
          <w:p>
            <w:pPr>
              <w:jc w:val="right"/>
              <w:ind w:right="9"/>
              <w:spacing w:after="0" w:line="121" w:lineRule="exact"/>
              <w:rPr>
                <w:sz w:val="20"/>
                <w:szCs w:val="20"/>
                <w:color w:val="auto"/>
              </w:rPr>
            </w:pPr>
            <w:r>
              <w:rPr>
                <w:rFonts w:ascii="Arial" w:cs="Arial" w:eastAsia="Arial" w:hAnsi="Arial"/>
                <w:sz w:val="13"/>
                <w:szCs w:val="13"/>
                <w:b w:val="1"/>
                <w:bCs w:val="1"/>
                <w:color w:val="auto"/>
              </w:rPr>
              <w:t>Financial</w:t>
            </w:r>
          </w:p>
        </w:tc>
        <w:tc>
          <w:tcPr>
            <w:tcW w:w="84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8"/>
              </w:rPr>
              <w:t>Expenses</w:t>
            </w:r>
          </w:p>
        </w:tc>
        <w:tc>
          <w:tcPr>
            <w:tcW w:w="980" w:type="dxa"/>
            <w:vAlign w:val="bottom"/>
          </w:tcPr>
          <w:p>
            <w:pPr>
              <w:jc w:val="center"/>
              <w:ind w:right="50"/>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ind w:right="31"/>
              <w:spacing w:after="0" w:line="121" w:lineRule="exact"/>
              <w:rPr>
                <w:sz w:val="20"/>
                <w:szCs w:val="20"/>
                <w:color w:val="auto"/>
              </w:rPr>
            </w:pPr>
            <w:r>
              <w:rPr>
                <w:rFonts w:ascii="Arial" w:cs="Arial" w:eastAsia="Arial" w:hAnsi="Arial"/>
                <w:sz w:val="13"/>
                <w:szCs w:val="13"/>
                <w:b w:val="1"/>
                <w:bCs w:val="1"/>
                <w:color w:val="auto"/>
                <w:w w:val="95"/>
              </w:rPr>
              <w:t>Expenses</w:t>
            </w:r>
          </w:p>
        </w:tc>
        <w:tc>
          <w:tcPr>
            <w:tcW w:w="920" w:type="dxa"/>
            <w:vAlign w:val="bottom"/>
          </w:tcPr>
          <w:p>
            <w:pPr>
              <w:jc w:val="center"/>
              <w:ind w:right="30"/>
              <w:spacing w:after="0" w:line="121" w:lineRule="exact"/>
              <w:rPr>
                <w:sz w:val="20"/>
                <w:szCs w:val="20"/>
                <w:color w:val="auto"/>
              </w:rPr>
            </w:pPr>
            <w:r>
              <w:rPr>
                <w:rFonts w:ascii="Arial" w:cs="Arial" w:eastAsia="Arial" w:hAnsi="Arial"/>
                <w:sz w:val="13"/>
                <w:szCs w:val="13"/>
                <w:b w:val="1"/>
                <w:bCs w:val="1"/>
                <w:color w:val="auto"/>
                <w:w w:val="95"/>
              </w:rPr>
              <w:t>Expenses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Transactions</w:t>
            </w:r>
          </w:p>
        </w:tc>
        <w:tc>
          <w:tcPr>
            <w:tcW w:w="10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and Other</w:t>
            </w:r>
          </w:p>
        </w:tc>
        <w:tc>
          <w:tcPr>
            <w:tcW w:w="1020" w:type="dxa"/>
            <w:vAlign w:val="bottom"/>
          </w:tcPr>
          <w:p>
            <w:pPr>
              <w:jc w:val="center"/>
              <w:ind w:right="10"/>
              <w:spacing w:after="0" w:line="121" w:lineRule="exact"/>
              <w:rPr>
                <w:sz w:val="20"/>
                <w:szCs w:val="20"/>
                <w:color w:val="auto"/>
              </w:rPr>
            </w:pPr>
            <w:r>
              <w:rPr>
                <w:rFonts w:ascii="Arial" w:cs="Arial" w:eastAsia="Arial" w:hAnsi="Arial"/>
                <w:sz w:val="13"/>
                <w:szCs w:val="13"/>
                <w:b w:val="1"/>
                <w:bCs w:val="1"/>
                <w:color w:val="auto"/>
                <w:w w:val="94"/>
              </w:rPr>
              <w:t>Costs</w:t>
            </w:r>
          </w:p>
        </w:tc>
        <w:tc>
          <w:tcPr>
            <w:tcW w:w="9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9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Adjustments</w:t>
            </w:r>
          </w:p>
        </w:tc>
        <w:tc>
          <w:tcPr>
            <w:tcW w:w="680" w:type="dxa"/>
            <w:vAlign w:val="bottom"/>
          </w:tcPr>
          <w:p>
            <w:pPr>
              <w:ind w:left="80"/>
              <w:spacing w:after="0" w:line="121" w:lineRule="exact"/>
              <w:rPr>
                <w:sz w:val="20"/>
                <w:szCs w:val="20"/>
                <w:color w:val="auto"/>
              </w:rPr>
            </w:pPr>
            <w:r>
              <w:rPr>
                <w:rFonts w:ascii="Arial" w:cs="Arial" w:eastAsia="Arial" w:hAnsi="Arial"/>
                <w:sz w:val="13"/>
                <w:szCs w:val="13"/>
                <w:b w:val="1"/>
                <w:bCs w:val="1"/>
                <w:color w:val="auto"/>
              </w:rPr>
              <w:t>Financial</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September 30, 2020 </w:t>
            </w:r>
            <w:r>
              <w:rPr>
                <w:rFonts w:ascii="Arial" w:cs="Arial" w:eastAsia="Arial" w:hAnsi="Arial"/>
                <w:sz w:val="12"/>
                <w:szCs w:val="12"/>
                <w:b w:val="1"/>
                <w:bCs w:val="1"/>
                <w:color w:val="auto"/>
              </w:rPr>
              <w:t>Measures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w:t>
            </w: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99"/>
              </w:rPr>
              <w:t>(B)</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(F)</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Measures</w:t>
            </w:r>
          </w:p>
        </w:tc>
        <w:tc>
          <w:tcPr>
            <w:tcW w:w="0" w:type="dxa"/>
            <w:vAlign w:val="bottom"/>
          </w:tcPr>
          <w:p>
            <w:pPr>
              <w:spacing w:after="0"/>
              <w:rPr>
                <w:sz w:val="1"/>
                <w:szCs w:val="1"/>
                <w:color w:val="auto"/>
              </w:rPr>
            </w:pPr>
          </w:p>
        </w:tc>
      </w:tr>
      <w:tr>
        <w:trPr>
          <w:trHeight w:val="184"/>
        </w:trPr>
        <w:tc>
          <w:tcPr>
            <w:tcW w:w="14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$234.1</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11"/>
              <w:spacing w:after="0"/>
              <w:rPr>
                <w:sz w:val="20"/>
                <w:szCs w:val="20"/>
                <w:color w:val="auto"/>
              </w:rPr>
            </w:pPr>
            <w:r>
              <w:rPr>
                <w:rFonts w:ascii="Arial" w:cs="Arial" w:eastAsia="Arial" w:hAnsi="Arial"/>
                <w:sz w:val="14"/>
                <w:szCs w:val="14"/>
                <w:color w:val="auto"/>
              </w:rPr>
              <w:t>($16.1)</w:t>
            </w:r>
          </w:p>
        </w:tc>
        <w:tc>
          <w:tcPr>
            <w:tcW w:w="920" w:type="dxa"/>
            <w:vAlign w:val="bottom"/>
          </w:tcPr>
          <w:p>
            <w:pPr>
              <w:jc w:val="right"/>
              <w:ind w:right="110"/>
              <w:spacing w:after="0"/>
              <w:rPr>
                <w:sz w:val="20"/>
                <w:szCs w:val="20"/>
                <w:color w:val="auto"/>
              </w:rPr>
            </w:pPr>
            <w:r>
              <w:rPr>
                <w:rFonts w:ascii="Arial" w:cs="Arial" w:eastAsia="Arial" w:hAnsi="Arial"/>
                <w:sz w:val="14"/>
                <w:szCs w:val="14"/>
                <w:color w:val="auto"/>
              </w:rPr>
              <w:t>($6.9)</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$18.9</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($1.4)</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0"/>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Gross profit percent</w:t>
            </w:r>
          </w:p>
        </w:tc>
        <w:tc>
          <w:tcPr>
            <w:tcW w:w="680" w:type="dxa"/>
            <w:vAlign w:val="bottom"/>
          </w:tcPr>
          <w:p>
            <w:pPr>
              <w:jc w:val="right"/>
              <w:spacing w:after="0"/>
              <w:rPr>
                <w:sz w:val="20"/>
                <w:szCs w:val="20"/>
                <w:color w:val="auto"/>
              </w:rPr>
            </w:pPr>
            <w:r>
              <w:rPr>
                <w:rFonts w:ascii="Arial" w:cs="Arial" w:eastAsia="Arial" w:hAnsi="Arial"/>
                <w:sz w:val="14"/>
                <w:szCs w:val="14"/>
                <w:color w:val="auto"/>
              </w:rPr>
              <w:t>64.8 %</w:t>
            </w:r>
          </w:p>
        </w:tc>
        <w:tc>
          <w:tcPr>
            <w:tcW w:w="840" w:type="dxa"/>
            <w:vAlign w:val="bottom"/>
          </w:tcPr>
          <w:p>
            <w:pPr>
              <w:jc w:val="right"/>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2.4 %</w:t>
            </w:r>
          </w:p>
        </w:tc>
        <w:tc>
          <w:tcPr>
            <w:tcW w:w="920" w:type="dxa"/>
            <w:vAlign w:val="bottom"/>
          </w:tcPr>
          <w:p>
            <w:pPr>
              <w:jc w:val="right"/>
              <w:spacing w:after="0"/>
              <w:rPr>
                <w:sz w:val="20"/>
                <w:szCs w:val="20"/>
                <w:color w:val="auto"/>
              </w:rPr>
            </w:pPr>
            <w:r>
              <w:rPr>
                <w:rFonts w:ascii="Arial" w:cs="Arial" w:eastAsia="Arial" w:hAnsi="Arial"/>
                <w:sz w:val="14"/>
                <w:szCs w:val="14"/>
                <w:color w:val="auto"/>
              </w:rPr>
              <w:t>1.0 %</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1020" w:type="dxa"/>
            <w:vAlign w:val="bottom"/>
          </w:tcPr>
          <w:p>
            <w:pPr>
              <w:jc w:val="right"/>
              <w:spacing w:after="0"/>
              <w:rPr>
                <w:sz w:val="20"/>
                <w:szCs w:val="20"/>
                <w:color w:val="auto"/>
              </w:rPr>
            </w:pPr>
            <w:r>
              <w:rPr>
                <w:rFonts w:ascii="Arial" w:cs="Arial" w:eastAsia="Arial" w:hAnsi="Arial"/>
                <w:sz w:val="14"/>
                <w:szCs w:val="14"/>
                <w:color w:val="auto"/>
              </w:rPr>
              <w:t>(2.8)%</w:t>
            </w:r>
          </w:p>
        </w:tc>
        <w:tc>
          <w:tcPr>
            <w:tcW w:w="1020" w:type="dxa"/>
            <w:vAlign w:val="bottom"/>
          </w:tcPr>
          <w:p>
            <w:pPr>
              <w:jc w:val="right"/>
              <w:spacing w:after="0"/>
              <w:rPr>
                <w:sz w:val="20"/>
                <w:szCs w:val="20"/>
                <w:color w:val="auto"/>
              </w:rPr>
            </w:pPr>
            <w:r>
              <w:rPr>
                <w:rFonts w:ascii="Arial" w:cs="Arial" w:eastAsia="Arial" w:hAnsi="Arial"/>
                <w:sz w:val="14"/>
                <w:szCs w:val="14"/>
                <w:color w:val="auto"/>
              </w:rPr>
              <w:t>0.2 %</w:t>
            </w:r>
          </w:p>
        </w:tc>
        <w:tc>
          <w:tcPr>
            <w:tcW w:w="940" w:type="dxa"/>
            <w:vAlign w:val="bottom"/>
          </w:tcPr>
          <w:p>
            <w:pPr>
              <w:ind w:left="580"/>
              <w:spacing w:after="0"/>
              <w:rPr>
                <w:sz w:val="20"/>
                <w:szCs w:val="20"/>
                <w:color w:val="auto"/>
              </w:rPr>
            </w:pPr>
            <w:r>
              <w:rPr>
                <w:rFonts w:ascii="Arial" w:cs="Arial" w:eastAsia="Arial" w:hAnsi="Arial"/>
                <w:sz w:val="14"/>
                <w:szCs w:val="14"/>
                <w:color w:val="auto"/>
              </w:rPr>
              <w:t>— %</w:t>
            </w:r>
          </w:p>
        </w:tc>
        <w:tc>
          <w:tcPr>
            <w:tcW w:w="900" w:type="dxa"/>
            <w:vAlign w:val="bottom"/>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tcPr>
          <w:p>
            <w:pPr>
              <w:jc w:val="right"/>
              <w:spacing w:after="0"/>
              <w:rPr>
                <w:sz w:val="20"/>
                <w:szCs w:val="20"/>
                <w:color w:val="auto"/>
              </w:rPr>
            </w:pPr>
            <w:r>
              <w:rPr>
                <w:rFonts w:ascii="Arial" w:cs="Arial" w:eastAsia="Arial" w:hAnsi="Arial"/>
                <w:sz w:val="14"/>
                <w:szCs w:val="14"/>
                <w:color w:val="auto"/>
              </w:rPr>
              <w:t>65.6 %</w:t>
            </w: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color w:val="auto"/>
              </w:rPr>
              <w:t>331.7</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(15.6)</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(2.4)</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(15.3)</w:t>
            </w:r>
          </w:p>
        </w:tc>
        <w:tc>
          <w:tcPr>
            <w:tcW w:w="1020" w:type="dxa"/>
            <w:vAlign w:val="bottom"/>
            <w:vMerge w:val="restart"/>
          </w:tcPr>
          <w:p>
            <w:pPr>
              <w:jc w:val="right"/>
              <w:ind w:right="90"/>
              <w:spacing w:after="0"/>
              <w:rPr>
                <w:sz w:val="20"/>
                <w:szCs w:val="20"/>
                <w:color w:val="auto"/>
              </w:rPr>
            </w:pPr>
            <w:r>
              <w:rPr>
                <w:rFonts w:ascii="Arial" w:cs="Arial" w:eastAsia="Arial" w:hAnsi="Arial"/>
                <w:sz w:val="14"/>
                <w:szCs w:val="14"/>
                <w:color w:val="auto"/>
              </w:rPr>
              <w:t>(23.2)</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Selling, general and</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administrative as a</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49.9 %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41.4 %</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color w:val="auto"/>
              </w:rPr>
              <w:t>108.4</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11"/>
              <w:spacing w:after="0"/>
              <w:rPr>
                <w:sz w:val="20"/>
                <w:szCs w:val="20"/>
                <w:color w:val="auto"/>
              </w:rPr>
            </w:pPr>
            <w:r>
              <w:rPr>
                <w:rFonts w:ascii="Arial" w:cs="Arial" w:eastAsia="Arial" w:hAnsi="Arial"/>
                <w:sz w:val="14"/>
                <w:szCs w:val="14"/>
                <w:color w:val="auto"/>
              </w:rPr>
              <w:t>(0.1)</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51"/>
              <w:spacing w:after="0"/>
              <w:rPr>
                <w:sz w:val="20"/>
                <w:szCs w:val="20"/>
                <w:color w:val="auto"/>
              </w:rPr>
            </w:pPr>
            <w:r>
              <w:rPr>
                <w:rFonts w:ascii="Arial" w:cs="Arial" w:eastAsia="Arial" w:hAnsi="Arial"/>
                <w:sz w:val="14"/>
                <w:szCs w:val="14"/>
                <w:color w:val="auto"/>
              </w:rPr>
              <w:t>5.9</w:t>
            </w:r>
          </w:p>
        </w:tc>
        <w:tc>
          <w:tcPr>
            <w:tcW w:w="1020" w:type="dxa"/>
            <w:vAlign w:val="bottom"/>
            <w:vMerge w:val="restart"/>
          </w:tcPr>
          <w:p>
            <w:pPr>
              <w:jc w:val="right"/>
              <w:ind w:right="90"/>
              <w:spacing w:after="0"/>
              <w:rPr>
                <w:sz w:val="20"/>
                <w:szCs w:val="20"/>
                <w:color w:val="auto"/>
              </w:rPr>
            </w:pPr>
            <w:r>
              <w:rPr>
                <w:rFonts w:ascii="Arial" w:cs="Arial" w:eastAsia="Arial" w:hAnsi="Arial"/>
                <w:sz w:val="14"/>
                <w:szCs w:val="14"/>
                <w:color w:val="auto"/>
              </w:rPr>
              <w:t>(2.3)</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Research and</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development as a</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16.3 %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0.9 %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percent of net sales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Other operating</w:t>
            </w: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color w:val="auto"/>
              </w:rPr>
              <w:t>12.6</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auto"/>
              </w:rPr>
              <w:t>(6.6)</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auto"/>
              </w:rPr>
              <w:t>(2.0)</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(4.0)</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Operating (loss)</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income from</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(22.1)</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6.6</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2.0</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31.8</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6.9</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2.4</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(5.5)</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26.9</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Operating margin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(0.8)%</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ind w:left="580"/>
              <w:spacing w:after="0"/>
              <w:rPr>
                <w:sz w:val="20"/>
                <w:szCs w:val="20"/>
                <w:color w:val="auto"/>
              </w:rPr>
            </w:pPr>
            <w:r>
              <w:rPr>
                <w:rFonts w:ascii="Arial" w:cs="Arial" w:eastAsia="Arial" w:hAnsi="Arial"/>
                <w:sz w:val="14"/>
                <w:szCs w:val="14"/>
                <w:color w:val="auto"/>
                <w:w w:val="98"/>
              </w:rPr>
              <w:t>— %</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percent</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680" w:type="dxa"/>
            <w:vAlign w:val="bottom"/>
          </w:tcPr>
          <w:p>
            <w:pPr>
              <w:jc w:val="right"/>
              <w:ind w:right="129"/>
              <w:spacing w:after="0"/>
              <w:rPr>
                <w:sz w:val="20"/>
                <w:szCs w:val="20"/>
                <w:color w:val="auto"/>
              </w:rPr>
            </w:pPr>
            <w:r>
              <w:rPr>
                <w:rFonts w:ascii="Arial" w:cs="Arial" w:eastAsia="Arial" w:hAnsi="Arial"/>
                <w:sz w:val="14"/>
                <w:szCs w:val="14"/>
                <w:color w:val="auto"/>
              </w:rPr>
              <w:t>17.6</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0.3</w:t>
            </w:r>
          </w:p>
        </w:tc>
        <w:tc>
          <w:tcPr>
            <w:tcW w:w="98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1"/>
              <w:spacing w:after="0"/>
              <w:rPr>
                <w:sz w:val="20"/>
                <w:szCs w:val="20"/>
                <w:color w:val="auto"/>
              </w:rPr>
            </w:pPr>
            <w:r>
              <w:rPr>
                <w:rFonts w:ascii="Arial" w:cs="Arial" w:eastAsia="Arial" w:hAnsi="Arial"/>
                <w:sz w:val="14"/>
                <w:szCs w:val="14"/>
                <w:color w:val="auto"/>
              </w:rPr>
              <w:t>4.5</w:t>
            </w: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1.1</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2.3</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940" w:type="dxa"/>
            <w:vAlign w:val="bottom"/>
          </w:tcPr>
          <w:p>
            <w:pPr>
              <w:ind w:left="400"/>
              <w:spacing w:after="0"/>
              <w:rPr>
                <w:sz w:val="20"/>
                <w:szCs w:val="20"/>
                <w:color w:val="auto"/>
              </w:rPr>
            </w:pPr>
            <w:r>
              <w:rPr>
                <w:rFonts w:ascii="Arial" w:cs="Arial" w:eastAsia="Arial" w:hAnsi="Arial"/>
                <w:sz w:val="14"/>
                <w:szCs w:val="14"/>
                <w:color w:val="auto"/>
              </w:rPr>
              <w:t>(24.4)</w:t>
            </w:r>
          </w:p>
        </w:tc>
        <w:tc>
          <w:tcPr>
            <w:tcW w:w="900" w:type="dxa"/>
            <w:vAlign w:val="bottom"/>
          </w:tcPr>
          <w:p>
            <w:pPr>
              <w:ind w:left="460"/>
              <w:spacing w:after="0"/>
              <w:rPr>
                <w:sz w:val="20"/>
                <w:szCs w:val="20"/>
                <w:color w:val="auto"/>
              </w:rPr>
            </w:pPr>
            <w:r>
              <w:rPr>
                <w:rFonts w:ascii="Arial" w:cs="Arial" w:eastAsia="Arial" w:hAnsi="Arial"/>
                <w:sz w:val="14"/>
                <w:szCs w:val="14"/>
                <w:color w:val="auto"/>
              </w:rPr>
              <w:t>(0.3)</w:t>
            </w:r>
          </w:p>
        </w:tc>
        <w:tc>
          <w:tcPr>
            <w:tcW w:w="680" w:type="dxa"/>
            <w:vAlign w:val="bottom"/>
          </w:tcPr>
          <w:p>
            <w:pPr>
              <w:jc w:val="right"/>
              <w:ind w:right="11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Net (loss) income</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from continuing</w:t>
            </w: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(64.2)</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6.3</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2.0</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27.4</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5.7</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(2.2)</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(7.8)</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25.9</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24.4</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9.4</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400" w:type="dxa"/>
            <w:vAlign w:val="bottom"/>
          </w:tcPr>
          <w:p>
            <w:pPr>
              <w:ind w:left="20"/>
              <w:spacing w:after="0" w:line="151" w:lineRule="exact"/>
              <w:rPr>
                <w:sz w:val="20"/>
                <w:szCs w:val="20"/>
                <w:color w:val="auto"/>
              </w:rPr>
            </w:pPr>
            <w:r>
              <w:rPr>
                <w:rFonts w:ascii="Arial" w:cs="Arial" w:eastAsia="Arial" w:hAnsi="Arial"/>
                <w:sz w:val="14"/>
                <w:szCs w:val="14"/>
                <w:color w:val="auto"/>
              </w:rPr>
              <w:t>Diluted EPS -</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20"/>
              <w:spacing w:after="0" w:line="135" w:lineRule="exact"/>
              <w:rPr>
                <w:sz w:val="20"/>
                <w:szCs w:val="20"/>
                <w:color w:val="auto"/>
              </w:rPr>
            </w:pPr>
            <w:r>
              <w:rPr>
                <w:rFonts w:ascii="Arial" w:cs="Arial" w:eastAsia="Arial" w:hAnsi="Arial"/>
                <w:sz w:val="14"/>
                <w:szCs w:val="14"/>
                <w:color w:val="auto"/>
              </w:rPr>
              <w:t>Continuing</w:t>
            </w: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($1.32)</w:t>
            </w:r>
          </w:p>
        </w:tc>
        <w:tc>
          <w:tcPr>
            <w:tcW w:w="840" w:type="dxa"/>
            <w:vAlign w:val="bottom"/>
            <w:vMerge w:val="restart"/>
          </w:tcPr>
          <w:p>
            <w:pPr>
              <w:jc w:val="right"/>
              <w:ind w:right="150"/>
              <w:spacing w:after="0"/>
              <w:rPr>
                <w:sz w:val="20"/>
                <w:szCs w:val="20"/>
                <w:color w:val="auto"/>
              </w:rPr>
            </w:pPr>
            <w:r>
              <w:rPr>
                <w:rFonts w:ascii="Arial" w:cs="Arial" w:eastAsia="Arial" w:hAnsi="Arial"/>
                <w:sz w:val="14"/>
                <w:szCs w:val="14"/>
                <w:color w:val="auto"/>
              </w:rPr>
              <w:t>$0.13</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auto"/>
              </w:rPr>
              <w:t>$0.04</w:t>
            </w:r>
          </w:p>
        </w:tc>
        <w:tc>
          <w:tcPr>
            <w:tcW w:w="920" w:type="dxa"/>
            <w:vAlign w:val="bottom"/>
            <w:vMerge w:val="restart"/>
          </w:tcPr>
          <w:p>
            <w:pPr>
              <w:jc w:val="right"/>
              <w:ind w:right="151"/>
              <w:spacing w:after="0"/>
              <w:rPr>
                <w:sz w:val="20"/>
                <w:szCs w:val="20"/>
                <w:color w:val="auto"/>
              </w:rPr>
            </w:pPr>
            <w:r>
              <w:rPr>
                <w:rFonts w:ascii="Arial" w:cs="Arial" w:eastAsia="Arial" w:hAnsi="Arial"/>
                <w:sz w:val="14"/>
                <w:szCs w:val="14"/>
                <w:color w:val="auto"/>
              </w:rPr>
              <w:t>$0.56</w:t>
            </w:r>
          </w:p>
        </w:tc>
        <w:tc>
          <w:tcPr>
            <w:tcW w:w="920" w:type="dxa"/>
            <w:vAlign w:val="bottom"/>
            <w:vMerge w:val="restart"/>
          </w:tcPr>
          <w:p>
            <w:pPr>
              <w:jc w:val="right"/>
              <w:ind w:right="150"/>
              <w:spacing w:after="0"/>
              <w:rPr>
                <w:sz w:val="20"/>
                <w:szCs w:val="20"/>
                <w:color w:val="auto"/>
              </w:rPr>
            </w:pPr>
            <w:r>
              <w:rPr>
                <w:rFonts w:ascii="Arial" w:cs="Arial" w:eastAsia="Arial" w:hAnsi="Arial"/>
                <w:sz w:val="14"/>
                <w:szCs w:val="14"/>
                <w:color w:val="auto"/>
              </w:rPr>
              <w:t>$0.12</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auto"/>
              </w:rPr>
              <w:t>($0.04)</w:t>
            </w:r>
          </w:p>
        </w:tc>
        <w:tc>
          <w:tcPr>
            <w:tcW w:w="1020" w:type="dxa"/>
            <w:vAlign w:val="bottom"/>
            <w:vMerge w:val="restart"/>
          </w:tcPr>
          <w:p>
            <w:pPr>
              <w:jc w:val="right"/>
              <w:ind w:right="111"/>
              <w:spacing w:after="0"/>
              <w:rPr>
                <w:sz w:val="20"/>
                <w:szCs w:val="20"/>
                <w:color w:val="auto"/>
              </w:rPr>
            </w:pPr>
            <w:r>
              <w:rPr>
                <w:rFonts w:ascii="Arial" w:cs="Arial" w:eastAsia="Arial" w:hAnsi="Arial"/>
                <w:sz w:val="14"/>
                <w:szCs w:val="14"/>
                <w:color w:val="auto"/>
              </w:rPr>
              <w:t>($0.16)</w:t>
            </w:r>
          </w:p>
        </w:tc>
        <w:tc>
          <w:tcPr>
            <w:tcW w:w="1020" w:type="dxa"/>
            <w:vAlign w:val="bottom"/>
            <w:vMerge w:val="restart"/>
          </w:tcPr>
          <w:p>
            <w:pPr>
              <w:jc w:val="right"/>
              <w:ind w:right="130"/>
              <w:spacing w:after="0"/>
              <w:rPr>
                <w:sz w:val="20"/>
                <w:szCs w:val="20"/>
                <w:color w:val="auto"/>
              </w:rPr>
            </w:pPr>
            <w:r>
              <w:rPr>
                <w:rFonts w:ascii="Arial" w:cs="Arial" w:eastAsia="Arial" w:hAnsi="Arial"/>
                <w:sz w:val="14"/>
                <w:szCs w:val="14"/>
                <w:color w:val="auto"/>
              </w:rPr>
              <w:t>$0.53</w:t>
            </w:r>
          </w:p>
        </w:tc>
        <w:tc>
          <w:tcPr>
            <w:tcW w:w="940" w:type="dxa"/>
            <w:vAlign w:val="bottom"/>
            <w:vMerge w:val="restart"/>
          </w:tcPr>
          <w:p>
            <w:pPr>
              <w:jc w:val="right"/>
              <w:ind w:right="150"/>
              <w:spacing w:after="0"/>
              <w:rPr>
                <w:sz w:val="20"/>
                <w:szCs w:val="20"/>
                <w:color w:val="auto"/>
              </w:rPr>
            </w:pPr>
            <w:r>
              <w:rPr>
                <w:rFonts w:ascii="Arial" w:cs="Arial" w:eastAsia="Arial" w:hAnsi="Arial"/>
                <w:sz w:val="14"/>
                <w:szCs w:val="14"/>
                <w:color w:val="auto"/>
              </w:rPr>
              <w:t>$0.50</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auto"/>
              </w:rPr>
              <w:t>$0.19</w:t>
            </w:r>
          </w:p>
        </w:tc>
        <w:tc>
          <w:tcPr>
            <w:tcW w:w="680" w:type="dxa"/>
            <w:vAlign w:val="bottom"/>
            <w:vMerge w:val="restart"/>
          </w:tcPr>
          <w:p>
            <w:pPr>
              <w:jc w:val="right"/>
              <w:ind w:right="110"/>
              <w:spacing w:after="0"/>
              <w:rPr>
                <w:sz w:val="20"/>
                <w:szCs w:val="20"/>
                <w:color w:val="auto"/>
              </w:rPr>
            </w:pPr>
            <w:r>
              <w:rPr>
                <w:rFonts w:ascii="Arial" w:cs="Arial" w:eastAsia="Arial" w:hAnsi="Arial"/>
                <w:sz w:val="14"/>
                <w:szCs w:val="14"/>
                <w:color w:val="auto"/>
              </w:rPr>
              <w:t>$0.55</w:t>
            </w:r>
          </w:p>
        </w:tc>
        <w:tc>
          <w:tcPr>
            <w:tcW w:w="0" w:type="dxa"/>
            <w:vAlign w:val="bottom"/>
          </w:tcPr>
          <w:p>
            <w:pPr>
              <w:spacing w:after="0"/>
              <w:rPr>
                <w:sz w:val="1"/>
                <w:szCs w:val="1"/>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nine months ended September 30, 2020 include:</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80" w:type="dxa"/>
            <w:vAlign w:val="bottom"/>
          </w:tcPr>
          <w:p>
            <w:pPr>
              <w:spacing w:after="0"/>
              <w:rPr>
                <w:sz w:val="20"/>
                <w:szCs w:val="20"/>
                <w:color w:val="auto"/>
              </w:rPr>
            </w:pPr>
            <w:r>
              <w:rPr>
                <w:rFonts w:ascii="Arial" w:cs="Arial" w:eastAsia="Arial" w:hAnsi="Arial"/>
                <w:sz w:val="14"/>
                <w:szCs w:val="14"/>
                <w:color w:val="auto"/>
              </w:rPr>
              <w:t>(A)</w:t>
            </w:r>
          </w:p>
        </w:tc>
        <w:tc>
          <w:tcPr>
            <w:tcW w:w="10680" w:type="dxa"/>
            <w:vAlign w:val="bottom"/>
            <w:gridSpan w:val="2"/>
          </w:tcPr>
          <w:p>
            <w:pPr>
              <w:ind w:left="4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(B)</w:t>
            </w:r>
          </w:p>
        </w:tc>
        <w:tc>
          <w:tcPr>
            <w:tcW w:w="4840" w:type="dxa"/>
            <w:vAlign w:val="bottom"/>
          </w:tcPr>
          <w:p>
            <w:pPr>
              <w:ind w:left="40"/>
              <w:spacing w:after="0"/>
              <w:rPr>
                <w:sz w:val="20"/>
                <w:szCs w:val="20"/>
                <w:color w:val="auto"/>
              </w:rPr>
            </w:pPr>
            <w:r>
              <w:rPr>
                <w:rFonts w:ascii="Arial" w:cs="Arial" w:eastAsia="Arial" w:hAnsi="Arial"/>
                <w:sz w:val="14"/>
                <w:szCs w:val="14"/>
                <w:color w:val="auto"/>
              </w:rPr>
              <w:t>Restructuring expenses related to organizational changes</w:t>
            </w:r>
          </w:p>
        </w:tc>
        <w:tc>
          <w:tcPr>
            <w:tcW w:w="5840" w:type="dxa"/>
            <w:vAlign w:val="bottom"/>
          </w:tcPr>
          <w:p>
            <w:pPr>
              <w:spacing w:after="0"/>
              <w:rPr>
                <w:sz w:val="16"/>
                <w:szCs w:val="16"/>
                <w:color w:val="auto"/>
              </w:rPr>
            </w:pP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(C)</w:t>
            </w:r>
          </w:p>
        </w:tc>
        <w:tc>
          <w:tcPr>
            <w:tcW w:w="10680" w:type="dxa"/>
            <w:vAlign w:val="bottom"/>
            <w:gridSpan w:val="2"/>
          </w:tcPr>
          <w:p>
            <w:pPr>
              <w:ind w:left="4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(D)</w:t>
            </w:r>
          </w:p>
        </w:tc>
        <w:tc>
          <w:tcPr>
            <w:tcW w:w="4840" w:type="dxa"/>
            <w:vAlign w:val="bottom"/>
          </w:tcPr>
          <w:p>
            <w:pPr>
              <w:ind w:left="40"/>
              <w:spacing w:after="0"/>
              <w:rPr>
                <w:sz w:val="20"/>
                <w:szCs w:val="20"/>
                <w:color w:val="auto"/>
              </w:rPr>
            </w:pPr>
            <w:r>
              <w:rPr>
                <w:rFonts w:ascii="Arial" w:cs="Arial" w:eastAsia="Arial" w:hAnsi="Arial"/>
                <w:sz w:val="14"/>
                <w:szCs w:val="14"/>
                <w:color w:val="auto"/>
              </w:rPr>
              <w:t>Costs related to the 3T Heater-Cooler remediation plan</w:t>
            </w:r>
          </w:p>
        </w:tc>
        <w:tc>
          <w:tcPr>
            <w:tcW w:w="5840" w:type="dxa"/>
            <w:vAlign w:val="bottom"/>
          </w:tcPr>
          <w:p>
            <w:pPr>
              <w:spacing w:after="0"/>
              <w:rPr>
                <w:sz w:val="16"/>
                <w:szCs w:val="16"/>
                <w:color w:val="auto"/>
              </w:rPr>
            </w:pP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(E)</w:t>
            </w:r>
          </w:p>
        </w:tc>
        <w:tc>
          <w:tcPr>
            <w:tcW w:w="10680" w:type="dxa"/>
            <w:vAlign w:val="bottom"/>
            <w:gridSpan w:val="2"/>
          </w:tcPr>
          <w:p>
            <w:pPr>
              <w:ind w:left="40"/>
              <w:spacing w:after="0"/>
              <w:rPr>
                <w:sz w:val="20"/>
                <w:szCs w:val="20"/>
                <w:color w:val="auto"/>
              </w:rPr>
            </w:pPr>
            <w:r>
              <w:rPr>
                <w:rFonts w:ascii="Arial" w:cs="Arial" w:eastAsia="Arial" w:hAnsi="Arial"/>
                <w:sz w:val="14"/>
                <w:szCs w:val="14"/>
                <w:color w:val="auto"/>
              </w:rPr>
              <w:t>Costs associated with the June 2020 financing transactions, including the mark-to-market adjustment for the exchangeable option feature and capped call derivatives</w:t>
            </w:r>
          </w:p>
        </w:tc>
      </w:tr>
      <w:tr>
        <w:trPr>
          <w:trHeight w:val="152"/>
        </w:trPr>
        <w:tc>
          <w:tcPr>
            <w:tcW w:w="280" w:type="dxa"/>
            <w:vAlign w:val="bottom"/>
          </w:tcPr>
          <w:p>
            <w:pPr>
              <w:spacing w:after="0" w:line="151" w:lineRule="exact"/>
              <w:rPr>
                <w:sz w:val="20"/>
                <w:szCs w:val="20"/>
                <w:color w:val="auto"/>
              </w:rPr>
            </w:pPr>
            <w:r>
              <w:rPr>
                <w:rFonts w:ascii="Arial" w:cs="Arial" w:eastAsia="Arial" w:hAnsi="Arial"/>
                <w:sz w:val="14"/>
                <w:szCs w:val="14"/>
                <w:color w:val="auto"/>
              </w:rPr>
              <w:t>(F)</w:t>
            </w:r>
          </w:p>
        </w:tc>
        <w:tc>
          <w:tcPr>
            <w:tcW w:w="106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3T Heater-Cooler litigation provision, legal expenses primarily related to 3T Heater-Cooler defense, settlements and other matters and remeasurement of contingent</w:t>
            </w:r>
          </w:p>
        </w:tc>
      </w:tr>
      <w:tr>
        <w:trPr>
          <w:trHeight w:val="172"/>
        </w:trPr>
        <w:tc>
          <w:tcPr>
            <w:tcW w:w="280" w:type="dxa"/>
            <w:vAlign w:val="bottom"/>
          </w:tcPr>
          <w:p>
            <w:pPr>
              <w:spacing w:after="0"/>
              <w:rPr>
                <w:sz w:val="14"/>
                <w:szCs w:val="14"/>
                <w:color w:val="auto"/>
              </w:rPr>
            </w:pPr>
          </w:p>
        </w:tc>
        <w:tc>
          <w:tcPr>
            <w:tcW w:w="4840" w:type="dxa"/>
            <w:vAlign w:val="bottom"/>
          </w:tcPr>
          <w:p>
            <w:pPr>
              <w:ind w:left="40"/>
              <w:spacing w:after="0"/>
              <w:rPr>
                <w:sz w:val="20"/>
                <w:szCs w:val="20"/>
                <w:color w:val="auto"/>
              </w:rPr>
            </w:pPr>
            <w:r>
              <w:rPr>
                <w:rFonts w:ascii="Arial" w:cs="Arial" w:eastAsia="Arial" w:hAnsi="Arial"/>
                <w:sz w:val="14"/>
                <w:szCs w:val="14"/>
                <w:color w:val="auto"/>
              </w:rPr>
              <w:t>consideration related to acquisitions</w:t>
            </w:r>
          </w:p>
        </w:tc>
        <w:tc>
          <w:tcPr>
            <w:tcW w:w="5840" w:type="dxa"/>
            <w:vAlign w:val="bottom"/>
          </w:tcPr>
          <w:p>
            <w:pPr>
              <w:spacing w:after="0"/>
              <w:rPr>
                <w:sz w:val="14"/>
                <w:szCs w:val="14"/>
                <w:color w:val="auto"/>
              </w:rPr>
            </w:pP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(G)</w:t>
            </w:r>
          </w:p>
        </w:tc>
        <w:tc>
          <w:tcPr>
            <w:tcW w:w="4840" w:type="dxa"/>
            <w:vAlign w:val="bottom"/>
          </w:tcPr>
          <w:p>
            <w:pPr>
              <w:ind w:left="40"/>
              <w:spacing w:after="0"/>
              <w:rPr>
                <w:sz w:val="20"/>
                <w:szCs w:val="20"/>
                <w:color w:val="auto"/>
              </w:rPr>
            </w:pPr>
            <w:r>
              <w:rPr>
                <w:rFonts w:ascii="Arial" w:cs="Arial" w:eastAsia="Arial" w:hAnsi="Arial"/>
                <w:sz w:val="14"/>
                <w:szCs w:val="14"/>
                <w:color w:val="auto"/>
              </w:rPr>
              <w:t>Non-cash expenses associated with stock-based compensation costs</w:t>
            </w:r>
          </w:p>
        </w:tc>
        <w:tc>
          <w:tcPr>
            <w:tcW w:w="5840" w:type="dxa"/>
            <w:vAlign w:val="bottom"/>
          </w:tcPr>
          <w:p>
            <w:pPr>
              <w:spacing w:after="0"/>
              <w:rPr>
                <w:sz w:val="16"/>
                <w:szCs w:val="16"/>
                <w:color w:val="auto"/>
              </w:rPr>
            </w:pPr>
          </w:p>
        </w:tc>
      </w:tr>
      <w:tr>
        <w:trPr>
          <w:trHeight w:val="189"/>
        </w:trPr>
        <w:tc>
          <w:tcPr>
            <w:tcW w:w="280" w:type="dxa"/>
            <w:vAlign w:val="bottom"/>
          </w:tcPr>
          <w:p>
            <w:pPr>
              <w:spacing w:after="0"/>
              <w:rPr>
                <w:sz w:val="20"/>
                <w:szCs w:val="20"/>
                <w:color w:val="auto"/>
              </w:rPr>
            </w:pPr>
            <w:r>
              <w:rPr>
                <w:rFonts w:ascii="Arial" w:cs="Arial" w:eastAsia="Arial" w:hAnsi="Arial"/>
                <w:sz w:val="14"/>
                <w:szCs w:val="14"/>
                <w:color w:val="auto"/>
              </w:rPr>
              <w:t>(H)</w:t>
            </w:r>
          </w:p>
        </w:tc>
        <w:tc>
          <w:tcPr>
            <w:tcW w:w="10680" w:type="dxa"/>
            <w:vAlign w:val="bottom"/>
            <w:gridSpan w:val="2"/>
          </w:tcPr>
          <w:p>
            <w:pPr>
              <w:ind w:left="40"/>
              <w:spacing w:after="0"/>
              <w:rPr>
                <w:sz w:val="20"/>
                <w:szCs w:val="20"/>
                <w:color w:val="auto"/>
              </w:rPr>
            </w:pPr>
            <w:r>
              <w:rPr>
                <w:rFonts w:ascii="Arial" w:cs="Arial" w:eastAsia="Arial" w:hAnsi="Arial"/>
                <w:sz w:val="14"/>
                <w:szCs w:val="14"/>
                <w:color w:val="auto"/>
              </w:rPr>
              <w:t>Primarily relates to discrete tax items and the tax impact of intercompany transactions</w:t>
            </w:r>
          </w:p>
        </w:tc>
      </w:tr>
      <w:tr>
        <w:trPr>
          <w:trHeight w:val="152"/>
        </w:trPr>
        <w:tc>
          <w:tcPr>
            <w:tcW w:w="280" w:type="dxa"/>
            <w:vAlign w:val="bottom"/>
          </w:tcPr>
          <w:p>
            <w:pPr>
              <w:spacing w:after="0" w:line="151" w:lineRule="exact"/>
              <w:rPr>
                <w:sz w:val="20"/>
                <w:szCs w:val="20"/>
                <w:color w:val="auto"/>
              </w:rPr>
            </w:pPr>
            <w:r>
              <w:rPr>
                <w:rFonts w:ascii="Arial" w:cs="Arial" w:eastAsia="Arial" w:hAnsi="Arial"/>
                <w:sz w:val="14"/>
                <w:szCs w:val="14"/>
                <w:color w:val="auto"/>
              </w:rPr>
              <w:t>(I)</w:t>
            </w:r>
          </w:p>
        </w:tc>
        <w:tc>
          <w:tcPr>
            <w:tcW w:w="106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Primarily relates to non-cash interest expense on the Senior Secured Term Loan and Cash Exchangeable Senior Notes, interest related to the 3T Heater-Cooler matter,</w:t>
            </w:r>
          </w:p>
        </w:tc>
      </w:tr>
      <w:tr>
        <w:trPr>
          <w:trHeight w:val="130"/>
        </w:trPr>
        <w:tc>
          <w:tcPr>
            <w:tcW w:w="280" w:type="dxa"/>
            <w:vAlign w:val="bottom"/>
          </w:tcPr>
          <w:p>
            <w:pPr>
              <w:spacing w:after="0"/>
              <w:rPr>
                <w:sz w:val="11"/>
                <w:szCs w:val="11"/>
                <w:color w:val="auto"/>
              </w:rPr>
            </w:pPr>
          </w:p>
        </w:tc>
        <w:tc>
          <w:tcPr>
            <w:tcW w:w="106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intellectual property migration and interest reversed upon the settlement of a tax litigation matter</w:t>
            </w:r>
          </w:p>
        </w:tc>
      </w:tr>
      <w:tr>
        <w:trPr>
          <w:trHeight w:val="259"/>
        </w:trPr>
        <w:tc>
          <w:tcPr>
            <w:tcW w:w="512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840" w:type="dxa"/>
            <w:vAlign w:val="bottom"/>
          </w:tcPr>
          <w:p>
            <w:pPr>
              <w:jc w:val="right"/>
              <w:ind w:right="5132"/>
              <w:spacing w:after="0"/>
              <w:rPr>
                <w:sz w:val="20"/>
                <w:szCs w:val="20"/>
                <w:color w:val="auto"/>
              </w:rPr>
            </w:pPr>
            <w:r>
              <w:rPr>
                <w:rFonts w:ascii="Arial" w:cs="Arial" w:eastAsia="Arial" w:hAnsi="Arial"/>
                <w:sz w:val="22"/>
                <w:szCs w:val="22"/>
                <w:color w:val="auto"/>
              </w:rPr>
              <w:t>15</w:t>
            </w:r>
          </w:p>
        </w:tc>
      </w:tr>
    </w:tbl>
    <w:p>
      <w:pPr>
        <w:sectPr>
          <w:pgSz w:w="11900" w:h="16838" w:orient="portrait"/>
          <w:cols w:equalWidth="0" w:num="1">
            <w:col w:w="11240"/>
          </w:cols>
          <w:pgMar w:left="320" w:top="81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LIVANOVA PLC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 UNAUDITED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1840" w:type="dxa"/>
            <w:vAlign w:val="bottom"/>
          </w:tcPr>
          <w:p>
            <w:pPr>
              <w:spacing w:after="0"/>
              <w:rPr>
                <w:sz w:val="18"/>
                <w:szCs w:val="18"/>
                <w:color w:val="auto"/>
              </w:rPr>
            </w:pPr>
          </w:p>
        </w:tc>
        <w:tc>
          <w:tcPr>
            <w:tcW w:w="2220" w:type="dxa"/>
            <w:vAlign w:val="bottom"/>
            <w:gridSpan w:val="2"/>
          </w:tcPr>
          <w:p>
            <w:pPr>
              <w:ind w:left="280"/>
              <w:spacing w:after="0"/>
              <w:rPr>
                <w:sz w:val="20"/>
                <w:szCs w:val="20"/>
                <w:color w:val="auto"/>
              </w:rPr>
            </w:pPr>
            <w:r>
              <w:rPr>
                <w:rFonts w:ascii="Arial" w:cs="Arial" w:eastAsia="Arial" w:hAnsi="Arial"/>
                <w:sz w:val="17"/>
                <w:szCs w:val="17"/>
                <w:b w:val="1"/>
                <w:bCs w:val="1"/>
                <w:color w:val="auto"/>
              </w:rPr>
              <w:t>September 30, 2021</w:t>
            </w:r>
          </w:p>
        </w:tc>
        <w:tc>
          <w:tcPr>
            <w:tcW w:w="2160" w:type="dxa"/>
            <w:vAlign w:val="bottom"/>
          </w:tcPr>
          <w:p>
            <w:pPr>
              <w:jc w:val="right"/>
              <w:ind w:right="215"/>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2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18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$181.8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$252.8</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Accounts receivable, net of allowance</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182.0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184.4</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123.7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Prepaid and refundable taxes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36.0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60.2</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Assets held for sale</w:t>
            </w:r>
          </w:p>
        </w:tc>
        <w:tc>
          <w:tcPr>
            <w:tcW w:w="1840" w:type="dxa"/>
            <w:vAlign w:val="bottom"/>
          </w:tcPr>
          <w:p>
            <w:pPr>
              <w:spacing w:after="0"/>
              <w:rPr>
                <w:sz w:val="18"/>
                <w:szCs w:val="18"/>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Current derivative assets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95.9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7"/>
                <w:szCs w:val="17"/>
                <w:color w:val="auto"/>
              </w:rPr>
              <w:t>Total Current Assets</w:t>
            </w:r>
          </w:p>
        </w:tc>
        <w:tc>
          <w:tcPr>
            <w:tcW w:w="184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646.4</w:t>
            </w: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719.4</w:t>
            </w:r>
          </w:p>
        </w:tc>
        <w:tc>
          <w:tcPr>
            <w:tcW w:w="0" w:type="dxa"/>
            <w:vAlign w:val="bottom"/>
          </w:tcPr>
          <w:p>
            <w:pPr>
              <w:spacing w:after="0"/>
              <w:rPr>
                <w:sz w:val="1"/>
                <w:szCs w:val="1"/>
                <w:color w:val="auto"/>
              </w:rPr>
            </w:pPr>
          </w:p>
        </w:tc>
      </w:tr>
      <w:tr>
        <w:trPr>
          <w:trHeight w:val="205"/>
        </w:trPr>
        <w:tc>
          <w:tcPr>
            <w:tcW w:w="4960" w:type="dxa"/>
            <w:vAlign w:val="bottom"/>
          </w:tcPr>
          <w:p>
            <w:pPr>
              <w:ind w:left="220"/>
              <w:spacing w:after="0"/>
              <w:rPr>
                <w:sz w:val="20"/>
                <w:szCs w:val="20"/>
                <w:color w:val="auto"/>
              </w:rPr>
            </w:pPr>
            <w:r>
              <w:rPr>
                <w:rFonts w:ascii="Arial" w:cs="Arial" w:eastAsia="Arial" w:hAnsi="Arial"/>
                <w:sz w:val="17"/>
                <w:szCs w:val="17"/>
                <w:color w:val="auto"/>
              </w:rPr>
              <w:t>Property, plant and equipment, net</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152.7</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Goodwill</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905.2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Intangible assets, net</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409.0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437.6</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Operating lease assets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46.2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Investments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Deferred tax assets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Long-term derivative assets</w:t>
            </w:r>
          </w:p>
        </w:tc>
        <w:tc>
          <w:tcPr>
            <w:tcW w:w="1840" w:type="dxa"/>
            <w:vAlign w:val="bottom"/>
          </w:tcPr>
          <w:p>
            <w:pPr>
              <w:spacing w:after="0"/>
              <w:rPr>
                <w:sz w:val="18"/>
                <w:szCs w:val="18"/>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18"/>
        </w:trPr>
        <w:tc>
          <w:tcPr>
            <w:tcW w:w="4960" w:type="dxa"/>
            <w:vAlign w:val="bottom"/>
          </w:tcPr>
          <w:p>
            <w:pPr>
              <w:ind w:left="220"/>
              <w:spacing w:after="0"/>
              <w:rPr>
                <w:sz w:val="20"/>
                <w:szCs w:val="20"/>
                <w:color w:val="auto"/>
              </w:rPr>
            </w:pPr>
            <w:r>
              <w:rPr>
                <w:rFonts w:ascii="Arial" w:cs="Arial" w:eastAsia="Arial" w:hAnsi="Arial"/>
                <w:sz w:val="17"/>
                <w:szCs w:val="17"/>
                <w:color w:val="auto"/>
              </w:rPr>
              <w:t>Other assets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25.4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7"/>
                <w:szCs w:val="17"/>
                <w:color w:val="auto"/>
              </w:rPr>
              <w:t>Total Assets</w:t>
            </w:r>
          </w:p>
        </w:tc>
        <w:tc>
          <w:tcPr>
            <w:tcW w:w="184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$2,203.4</w:t>
            </w: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96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18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Current debt obligations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$227.8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Accrued liabilities and other</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97.5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88.0</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Current derivative liabilities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151.4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Current litigation provision liability</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33.5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Taxes payable</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Accrued employee compensation and related benefits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67.5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Liabilities held for sale</w:t>
            </w:r>
          </w:p>
        </w:tc>
        <w:tc>
          <w:tcPr>
            <w:tcW w:w="1840" w:type="dxa"/>
            <w:vAlign w:val="bottom"/>
          </w:tcPr>
          <w:p>
            <w:pPr>
              <w:spacing w:after="0"/>
              <w:rPr>
                <w:sz w:val="18"/>
                <w:szCs w:val="18"/>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4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658.5</w:t>
            </w: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309.1</w:t>
            </w:r>
          </w:p>
        </w:tc>
        <w:tc>
          <w:tcPr>
            <w:tcW w:w="0" w:type="dxa"/>
            <w:vAlign w:val="bottom"/>
          </w:tcPr>
          <w:p>
            <w:pPr>
              <w:spacing w:after="0"/>
              <w:rPr>
                <w:sz w:val="1"/>
                <w:szCs w:val="1"/>
                <w:color w:val="auto"/>
              </w:rPr>
            </w:pPr>
          </w:p>
        </w:tc>
      </w:tr>
      <w:tr>
        <w:trPr>
          <w:trHeight w:val="205"/>
        </w:trPr>
        <w:tc>
          <w:tcPr>
            <w:tcW w:w="4960" w:type="dxa"/>
            <w:vAlign w:val="bottom"/>
          </w:tcPr>
          <w:p>
            <w:pPr>
              <w:ind w:left="220"/>
              <w:spacing w:after="0"/>
              <w:rPr>
                <w:sz w:val="20"/>
                <w:szCs w:val="20"/>
                <w:color w:val="auto"/>
              </w:rPr>
            </w:pPr>
            <w:r>
              <w:rPr>
                <w:rFonts w:ascii="Arial" w:cs="Arial" w:eastAsia="Arial" w:hAnsi="Arial"/>
                <w:sz w:val="17"/>
                <w:szCs w:val="17"/>
                <w:color w:val="auto"/>
              </w:rPr>
              <w:t>Long-term debt obligations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10.8</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642.3</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Contingent consideration</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104.1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Deferred tax liabilities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Long-term operating lease liabilities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38.7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42.2</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Long-term employee compensation and related benefits</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18.2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Long-term derivative liabilities</w:t>
            </w:r>
          </w:p>
        </w:tc>
        <w:tc>
          <w:tcPr>
            <w:tcW w:w="1840" w:type="dxa"/>
            <w:vAlign w:val="bottom"/>
          </w:tcPr>
          <w:p>
            <w:pPr>
              <w:spacing w:after="0"/>
              <w:rPr>
                <w:sz w:val="18"/>
                <w:szCs w:val="18"/>
                <w:color w:val="auto"/>
              </w:rPr>
            </w:pPr>
          </w:p>
        </w:tc>
        <w:tc>
          <w:tcPr>
            <w:tcW w:w="2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160" w:type="dxa"/>
            <w:vAlign w:val="bottom"/>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16"/>
        </w:trPr>
        <w:tc>
          <w:tcPr>
            <w:tcW w:w="4960" w:type="dxa"/>
            <w:vAlign w:val="bottom"/>
          </w:tcPr>
          <w:p>
            <w:pPr>
              <w:ind w:left="220"/>
              <w:spacing w:after="0"/>
              <w:rPr>
                <w:sz w:val="20"/>
                <w:szCs w:val="20"/>
                <w:color w:val="auto"/>
              </w:rPr>
            </w:pPr>
            <w:r>
              <w:rPr>
                <w:rFonts w:ascii="Arial" w:cs="Arial" w:eastAsia="Arial" w:hAnsi="Arial"/>
                <w:sz w:val="17"/>
                <w:szCs w:val="17"/>
                <w:color w:val="auto"/>
              </w:rPr>
              <w:t>Other long-term liabilities</w:t>
            </w:r>
          </w:p>
        </w:tc>
        <w:tc>
          <w:tcPr>
            <w:tcW w:w="184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7"/>
                <w:szCs w:val="17"/>
                <w:color w:val="auto"/>
              </w:rPr>
              <w:t>Total Liabilities</w:t>
            </w:r>
          </w:p>
        </w:tc>
        <w:tc>
          <w:tcPr>
            <w:tcW w:w="184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890.9</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1,292.5</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3980" w:type="dxa"/>
            <w:vAlign w:val="bottom"/>
            <w:gridSpan w:val="2"/>
          </w:tcPr>
          <w:p>
            <w:pPr>
              <w:jc w:val="right"/>
              <w:spacing w:after="0"/>
              <w:rPr>
                <w:sz w:val="20"/>
                <w:szCs w:val="20"/>
                <w:color w:val="auto"/>
              </w:rPr>
            </w:pPr>
            <w:r>
              <w:rPr>
                <w:rFonts w:ascii="Arial" w:cs="Arial" w:eastAsia="Arial" w:hAnsi="Arial"/>
                <w:sz w:val="17"/>
                <w:szCs w:val="17"/>
                <w:color w:val="auto"/>
              </w:rPr>
              <w:t>1,312.5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1,118.8</w:t>
            </w:r>
          </w:p>
        </w:tc>
        <w:tc>
          <w:tcPr>
            <w:tcW w:w="0" w:type="dxa"/>
            <w:vAlign w:val="bottom"/>
          </w:tcPr>
          <w:p>
            <w:pPr>
              <w:spacing w:after="0"/>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84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$2,203.4</w:t>
            </w:r>
          </w:p>
        </w:tc>
        <w:tc>
          <w:tcPr>
            <w:tcW w:w="80" w:type="dxa"/>
            <w:vAlign w:val="bottom"/>
          </w:tcPr>
          <w:p>
            <w:pPr>
              <w:spacing w:after="0"/>
              <w:rPr>
                <w:sz w:val="18"/>
                <w:szCs w:val="18"/>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6"/>
                <w:szCs w:val="16"/>
                <w:color w:val="auto"/>
              </w:rPr>
              <w:t>* Numbers may not add precisely due to rounding.</w:t>
            </w:r>
          </w:p>
        </w:tc>
        <w:tc>
          <w:tcPr>
            <w:tcW w:w="1840" w:type="dxa"/>
            <w:vAlign w:val="bottom"/>
            <w:vMerge w:val="restart"/>
          </w:tcPr>
          <w:p>
            <w:pPr>
              <w:jc w:val="right"/>
              <w:ind w:right="1014"/>
              <w:spacing w:after="0"/>
              <w:rPr>
                <w:sz w:val="20"/>
                <w:szCs w:val="20"/>
                <w:color w:val="auto"/>
              </w:rPr>
            </w:pPr>
            <w:r>
              <w:rPr>
                <w:rFonts w:ascii="Arial" w:cs="Arial" w:eastAsia="Arial" w:hAnsi="Arial"/>
                <w:sz w:val="22"/>
                <w:szCs w:val="22"/>
                <w:color w:val="auto"/>
              </w:rPr>
              <w:t>16</w:t>
            </w: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0"/>
        </w:trPr>
        <w:tc>
          <w:tcPr>
            <w:tcW w:w="496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04"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29" w:lineRule="exact"/>
        <w:rPr>
          <w:sz w:val="20"/>
          <w:szCs w:val="20"/>
          <w:color w:val="auto"/>
        </w:rPr>
      </w:pPr>
    </w:p>
    <w:p>
      <w:pPr>
        <w:ind w:right="1480"/>
        <w:spacing w:after="0" w:line="322" w:lineRule="auto"/>
        <w:rPr>
          <w:sz w:val="20"/>
          <w:szCs w:val="20"/>
          <w:color w:val="auto"/>
        </w:rPr>
      </w:pPr>
      <w:r>
        <w:rPr>
          <w:rFonts w:ascii="Arial" w:cs="Arial" w:eastAsia="Arial" w:hAnsi="Arial"/>
          <w:sz w:val="14"/>
          <w:szCs w:val="14"/>
          <w:b w:val="1"/>
          <w:bCs w:val="1"/>
          <w:color w:val="auto"/>
        </w:rPr>
        <w:t>CONDENSED CONSOLIDATED STATEMENTS OF CASH FLOWS - UNAUDITED (U.S. dollars in millions)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Net loss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Non-cash items included in net loss: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Loss on debt extinguishment</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Depreciation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contingent consideration to fair value</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debt issuance costs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Amortization of operating lease assets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Respicardia investment and loan</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Remeasurement of derivative instruments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Deferred tax (benefit) expense</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operating assets and liabilities: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and non-current assets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payable and accrued current and non-current liabilities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Taxes payable</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Litigation provision liability</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Investing Activities: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Heart Valves, net of cash disposed</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sale of Respicardia investment and loan</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Purchases of property, plant and equipment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investments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Loans to investees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provided by (used in) investing activities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Activities: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 of long-term debt obligations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issuance of ordinary shares, net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of make-whole premium on long-term debt obligations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Shares repurchased from employees for minimum tax withholding</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Payment of contingent consideration</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exercise of stock options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Debt issuance costs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share issuances under ESPP</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long-term debt obligations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Proceeds from short term borrowings (maturities greater than 90 days)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Repayments of short term borrowings (maturities greater than 90 days)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Purchase of capped call</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Closing adjustment payment for sale of CRM business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Net cash (used in) provided by financing activities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Effect of exchange rate changes on cash and cash equivalents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Net (decrease) increase in 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340" w:type="dxa"/>
            <w:vAlign w:val="bottom"/>
          </w:tcPr>
          <w:p>
            <w:pPr>
              <w:spacing w:after="0"/>
              <w:rPr>
                <w:sz w:val="20"/>
                <w:szCs w:val="20"/>
                <w:color w:val="auto"/>
              </w:rPr>
            </w:pPr>
            <w:r>
              <w:rPr>
                <w:rFonts w:ascii="Arial" w:cs="Arial" w:eastAsia="Arial" w:hAnsi="Arial"/>
                <w:sz w:val="14"/>
                <w:szCs w:val="14"/>
                <w:color w:val="auto"/>
              </w:rPr>
              <w:t>* Numbers may not add precisely due to rounding.</w:t>
            </w:r>
          </w:p>
        </w:tc>
        <w:tc>
          <w:tcPr>
            <w:tcW w:w="1380" w:type="dxa"/>
            <w:vAlign w:val="bottom"/>
          </w:tcPr>
          <w:p>
            <w:pPr>
              <w:jc w:val="right"/>
              <w:spacing w:after="0"/>
              <w:rPr>
                <w:sz w:val="20"/>
                <w:szCs w:val="20"/>
                <w:color w:val="auto"/>
              </w:rPr>
            </w:pPr>
            <w:r>
              <w:rPr>
                <w:rFonts w:ascii="Arial" w:cs="Arial" w:eastAsia="Arial" w:hAnsi="Arial"/>
                <w:sz w:val="22"/>
                <w:szCs w:val="22"/>
                <w:color w:val="auto"/>
              </w:rPr>
              <w:t>17</w:t>
            </w:r>
          </w:p>
        </w:tc>
      </w:tr>
    </w:tbl>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346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21" w:lineRule="exact"/>
        <w:rPr>
          <w:sz w:val="20"/>
          <w:szCs w:val="20"/>
          <w:color w:val="auto"/>
        </w:rPr>
      </w:pPr>
    </w:p>
    <w:p>
      <w:pPr>
        <w:ind w:left="740"/>
        <w:spacing w:after="0"/>
        <w:tabs>
          <w:tab w:leader="none" w:pos="2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346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6325"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($65.2)</w:t>
            </w:r>
          </w:p>
        </w:tc>
      </w:tr>
      <w:tr>
        <w:trPr>
          <w:trHeight w:val="378"/>
        </w:trPr>
        <w:tc>
          <w:tcPr>
            <w:tcW w:w="180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22.2</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378"/>
        </w:trPr>
        <w:tc>
          <w:tcPr>
            <w:tcW w:w="180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65.4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(50.7)</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7"/>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(124.2)</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w:t>
            </w:r>
          </w:p>
        </w:tc>
      </w:tr>
      <w:tr>
        <w:trPr>
          <w:trHeight w:val="359"/>
        </w:trPr>
        <w:tc>
          <w:tcPr>
            <w:tcW w:w="180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7"/>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r>
      <w:tr>
        <w:trPr>
          <w:trHeight w:val="359"/>
        </w:trPr>
        <w:tc>
          <w:tcPr>
            <w:tcW w:w="1800" w:type="dxa"/>
            <w:vAlign w:val="bottom"/>
          </w:tcPr>
          <w:p>
            <w:pPr>
              <w:jc w:val="right"/>
              <w:spacing w:after="0"/>
              <w:rPr>
                <w:sz w:val="20"/>
                <w:szCs w:val="20"/>
                <w:color w:val="auto"/>
              </w:rPr>
            </w:pPr>
            <w:r>
              <w:rPr>
                <w:rFonts w:ascii="Arial" w:cs="Arial" w:eastAsia="Arial" w:hAnsi="Arial"/>
                <w:sz w:val="14"/>
                <w:szCs w:val="14"/>
                <w:color w:val="auto"/>
              </w:rPr>
              <w:t>(451.4)</w:t>
            </w:r>
          </w:p>
        </w:tc>
        <w:tc>
          <w:tcPr>
            <w:tcW w:w="1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(481.4)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(20.4)</w:t>
            </w:r>
          </w:p>
        </w:tc>
      </w:tr>
      <w:tr>
        <w:trPr>
          <w:trHeight w:val="189"/>
        </w:trPr>
        <w:tc>
          <w:tcPr>
            <w:tcW w:w="1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886.9</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(44.8)</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9"/>
        </w:trPr>
        <w:tc>
          <w:tcPr>
            <w:tcW w:w="1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315.9</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84"/>
        </w:trPr>
        <w:tc>
          <w:tcPr>
            <w:tcW w:w="180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166.7</w:t>
            </w:r>
          </w:p>
        </w:tc>
      </w:tr>
      <w:tr>
        <w:trPr>
          <w:trHeight w:val="187"/>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100" w:type="dxa"/>
            <w:vAlign w:val="bottom"/>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r>
      <w:tr>
        <w:trPr>
          <w:trHeight w:val="18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5"/>
                <w:szCs w:val="15"/>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$227.8</w:t>
            </w: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00" w:space="720"/>
            <w:col w:w="3700"/>
          </w:cols>
          <w:pgMar w:left="340" w:top="814" w:right="339" w:bottom="1440" w:gutter="0" w:footer="0" w:header="0"/>
        </w:sectPr>
      </w:pPr>
    </w:p>
    <w:bookmarkStart w:id="23" w:name="page24"/>
    <w:bookmarkEnd w:id="23"/>
    <w:p>
      <w:pPr>
        <w:spacing w:after="0" w:line="22" w:lineRule="exact"/>
        <w:rPr>
          <w:sz w:val="20"/>
          <w:szCs w:val="20"/>
          <w:color w:val="auto"/>
        </w:rPr>
      </w:pPr>
    </w:p>
    <w:p>
      <w:pPr>
        <w:ind w:left="20" w:right="5600"/>
        <w:spacing w:after="0" w:line="244" w:lineRule="auto"/>
        <w:rPr>
          <w:sz w:val="20"/>
          <w:szCs w:val="20"/>
          <w:color w:val="auto"/>
        </w:rPr>
      </w:pPr>
      <w:r>
        <w:rPr>
          <w:rFonts w:ascii="Arial" w:cs="Arial" w:eastAsia="Arial" w:hAnsi="Arial"/>
          <w:sz w:val="14"/>
          <w:szCs w:val="14"/>
          <w:b w:val="1"/>
          <w:bCs w:val="1"/>
          <w:color w:val="auto"/>
        </w:rPr>
        <w:t>RECONCILIATION OF GAAP TO NON-GAAP FINANCIAL MEASURES - UNAUDITED (U.S.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9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 September</w:t>
            </w:r>
          </w:p>
        </w:tc>
        <w:tc>
          <w:tcPr>
            <w:tcW w:w="80" w:type="dxa"/>
            <w:vAlign w:val="bottom"/>
          </w:tcPr>
          <w:p>
            <w:pPr>
              <w:spacing w:after="0"/>
              <w:rPr>
                <w:sz w:val="17"/>
                <w:szCs w:val="17"/>
                <w:color w:val="auto"/>
              </w:rPr>
            </w:pPr>
          </w:p>
        </w:tc>
        <w:tc>
          <w:tcPr>
            <w:tcW w:w="1700" w:type="dxa"/>
            <w:vAlign w:val="bottom"/>
            <w:gridSpan w:val="2"/>
            <w:vMerge w:val="restart"/>
          </w:tcPr>
          <w:p>
            <w:pPr>
              <w:jc w:val="center"/>
              <w:ind w:right="60"/>
              <w:spacing w:after="0"/>
              <w:rPr>
                <w:sz w:val="20"/>
                <w:szCs w:val="20"/>
                <w:color w:val="auto"/>
              </w:rPr>
            </w:pPr>
            <w:r>
              <w:rPr>
                <w:rFonts w:ascii="Arial" w:cs="Arial" w:eastAsia="Arial" w:hAnsi="Arial"/>
                <w:sz w:val="18"/>
                <w:szCs w:val="18"/>
                <w:b w:val="1"/>
                <w:bCs w:val="1"/>
                <w:color w:val="auto"/>
                <w:w w:val="99"/>
              </w:rPr>
              <w:t>% Change at</w:t>
            </w: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 Change at</w:t>
            </w:r>
          </w:p>
        </w:tc>
        <w:tc>
          <w:tcPr>
            <w:tcW w:w="0" w:type="dxa"/>
            <w:vAlign w:val="bottom"/>
          </w:tcPr>
          <w:p>
            <w:pPr>
              <w:spacing w:after="0"/>
              <w:rPr>
                <w:sz w:val="1"/>
                <w:szCs w:val="1"/>
                <w:color w:val="auto"/>
              </w:rPr>
            </w:pPr>
          </w:p>
        </w:tc>
      </w:tr>
      <w:tr>
        <w:trPr>
          <w:trHeight w:val="81"/>
        </w:trPr>
        <w:tc>
          <w:tcPr>
            <w:tcW w:w="48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0" w:type="dxa"/>
            <w:vAlign w:val="bottom"/>
            <w:gridSpan w:val="3"/>
            <w:vMerge w:val="restart"/>
          </w:tcPr>
          <w:p>
            <w:pPr>
              <w:jc w:val="right"/>
              <w:ind w:right="1250"/>
              <w:spacing w:after="0"/>
              <w:rPr>
                <w:sz w:val="20"/>
                <w:szCs w:val="20"/>
                <w:color w:val="auto"/>
              </w:rPr>
            </w:pPr>
            <w:r>
              <w:rPr>
                <w:rFonts w:ascii="Arial" w:cs="Arial" w:eastAsia="Arial" w:hAnsi="Arial"/>
                <w:sz w:val="18"/>
                <w:szCs w:val="18"/>
                <w:b w:val="1"/>
                <w:bCs w:val="1"/>
                <w:color w:val="auto"/>
                <w:w w:val="95"/>
              </w:rPr>
              <w:t>30,</w:t>
            </w:r>
          </w:p>
        </w:tc>
        <w:tc>
          <w:tcPr>
            <w:tcW w:w="8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7"/>
                <w:szCs w:val="17"/>
                <w:b w:val="1"/>
                <w:bCs w:val="1"/>
                <w:color w:val="auto"/>
              </w:rPr>
              <w:t>Actual Currency</w:t>
            </w:r>
          </w:p>
        </w:tc>
        <w:tc>
          <w:tcPr>
            <w:tcW w:w="162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rPr>
              <w:t>Constant-</w:t>
            </w: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Rates</w:t>
            </w:r>
          </w:p>
        </w:tc>
        <w:tc>
          <w:tcPr>
            <w:tcW w:w="80" w:type="dxa"/>
            <w:vAlign w:val="bottom"/>
          </w:tcPr>
          <w:p>
            <w:pPr>
              <w:spacing w:after="0"/>
              <w:rPr>
                <w:sz w:val="20"/>
                <w:szCs w:val="20"/>
                <w:color w:val="auto"/>
              </w:rPr>
            </w:pPr>
          </w:p>
        </w:tc>
        <w:tc>
          <w:tcPr>
            <w:tcW w:w="1620" w:type="dxa"/>
            <w:vAlign w:val="bottom"/>
            <w:tcBorders>
              <w:bottom w:val="single" w:sz="8" w:color="auto"/>
            </w:tcBorders>
          </w:tcPr>
          <w:p>
            <w:pPr>
              <w:jc w:val="center"/>
              <w:spacing w:after="0" w:line="236" w:lineRule="exact"/>
              <w:rPr>
                <w:sz w:val="20"/>
                <w:szCs w:val="20"/>
                <w:color w:val="auto"/>
              </w:rPr>
            </w:pPr>
            <w:r>
              <w:rPr>
                <w:rFonts w:ascii="Arial" w:cs="Arial" w:eastAsia="Arial" w:hAnsi="Arial"/>
                <w:sz w:val="18"/>
                <w:szCs w:val="18"/>
                <w:b w:val="1"/>
                <w:bCs w:val="1"/>
                <w:color w:val="auto"/>
                <w:w w:val="96"/>
              </w:rPr>
              <w:t xml:space="preserve">Currency Rates </w:t>
            </w:r>
            <w:r>
              <w:rPr>
                <w:rFonts w:ascii="Arial" w:cs="Arial" w:eastAsia="Arial" w:hAnsi="Arial"/>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Cardiovascular GAAP net sales</w:t>
            </w:r>
          </w:p>
        </w:tc>
        <w:tc>
          <w:tcPr>
            <w:tcW w:w="1360" w:type="dxa"/>
            <w:vAlign w:val="bottom"/>
          </w:tcPr>
          <w:p>
            <w:pPr>
              <w:jc w:val="right"/>
              <w:spacing w:after="0"/>
              <w:rPr>
                <w:sz w:val="20"/>
                <w:szCs w:val="20"/>
                <w:color w:val="auto"/>
              </w:rPr>
            </w:pPr>
            <w:r>
              <w:rPr>
                <w:rFonts w:ascii="Arial" w:cs="Arial" w:eastAsia="Arial" w:hAnsi="Arial"/>
                <w:sz w:val="18"/>
                <w:szCs w:val="18"/>
                <w:color w:val="auto"/>
              </w:rPr>
              <w:t>$138.6</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$140.9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Cardiovascular net sales, excluding Heart Valves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4860" w:type="dxa"/>
            <w:vAlign w:val="bottom"/>
          </w:tcPr>
          <w:p>
            <w:pPr>
              <w:spacing w:after="0"/>
              <w:rPr>
                <w:sz w:val="20"/>
                <w:szCs w:val="20"/>
                <w:color w:val="auto"/>
              </w:rPr>
            </w:pPr>
            <w:r>
              <w:rPr>
                <w:rFonts w:ascii="Arial" w:cs="Arial" w:eastAsia="Arial" w:hAnsi="Arial"/>
                <w:sz w:val="18"/>
                <w:szCs w:val="18"/>
                <w:color w:val="auto"/>
              </w:rPr>
              <w:t>Total GAAP net sales</w:t>
            </w:r>
          </w:p>
        </w:tc>
        <w:tc>
          <w:tcPr>
            <w:tcW w:w="1360" w:type="dxa"/>
            <w:vAlign w:val="bottom"/>
          </w:tcPr>
          <w:p>
            <w:pPr>
              <w:jc w:val="right"/>
              <w:spacing w:after="0"/>
              <w:rPr>
                <w:sz w:val="20"/>
                <w:szCs w:val="20"/>
                <w:color w:val="auto"/>
              </w:rPr>
            </w:pPr>
            <w:r>
              <w:rPr>
                <w:rFonts w:ascii="Arial" w:cs="Arial" w:eastAsia="Arial" w:hAnsi="Arial"/>
                <w:sz w:val="18"/>
                <w:szCs w:val="18"/>
                <w:color w:val="auto"/>
              </w:rPr>
              <w:t>$253.2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$240.1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8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net sales, excluding Heart Valves</w:t>
            </w:r>
          </w:p>
        </w:tc>
        <w:tc>
          <w:tcPr>
            <w:tcW w:w="1360" w:type="dxa"/>
            <w:vAlign w:val="bottom"/>
          </w:tcPr>
          <w:p>
            <w:pPr>
              <w:jc w:val="right"/>
              <w:spacing w:after="0"/>
              <w:rPr>
                <w:sz w:val="20"/>
                <w:szCs w:val="20"/>
                <w:color w:val="auto"/>
              </w:rPr>
            </w:pPr>
            <w:r>
              <w:rPr>
                <w:rFonts w:ascii="Arial" w:cs="Arial" w:eastAsia="Arial" w:hAnsi="Arial"/>
                <w:sz w:val="18"/>
                <w:szCs w:val="18"/>
                <w:color w:val="auto"/>
              </w:rPr>
              <w:t>$253.2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$218.9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GAAP net sales</w:t>
            </w:r>
          </w:p>
        </w:tc>
        <w:tc>
          <w:tcPr>
            <w:tcW w:w="1360" w:type="dxa"/>
            <w:vAlign w:val="bottom"/>
          </w:tcPr>
          <w:p>
            <w:pPr>
              <w:jc w:val="right"/>
              <w:spacing w:after="0"/>
              <w:rPr>
                <w:sz w:val="20"/>
                <w:szCs w:val="20"/>
                <w:color w:val="auto"/>
              </w:rPr>
            </w:pPr>
            <w:r>
              <w:rPr>
                <w:rFonts w:ascii="Arial" w:cs="Arial" w:eastAsia="Arial" w:hAnsi="Arial"/>
                <w:sz w:val="18"/>
                <w:szCs w:val="18"/>
                <w:color w:val="auto"/>
              </w:rPr>
              <w:t>$253.2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$268.6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Heart Valves net sales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1700" w:type="dxa"/>
            <w:vAlign w:val="bottom"/>
            <w:gridSpan w:val="2"/>
          </w:tcPr>
          <w:p>
            <w:pPr>
              <w:ind w:left="1300"/>
              <w:spacing w:after="0"/>
              <w:rPr>
                <w:sz w:val="20"/>
                <w:szCs w:val="20"/>
                <w:color w:val="auto"/>
              </w:rPr>
            </w:pPr>
            <w:r>
              <w:rPr>
                <w:rFonts w:ascii="Arial" w:cs="Arial" w:eastAsia="Arial" w:hAnsi="Arial"/>
                <w:sz w:val="18"/>
                <w:szCs w:val="18"/>
                <w:color w:val="auto"/>
              </w:rPr>
              <w:t>N/A</w:t>
            </w:r>
          </w:p>
        </w:tc>
        <w:tc>
          <w:tcPr>
            <w:tcW w:w="1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net sales, excluding Heart Valves</w:t>
            </w:r>
          </w:p>
        </w:tc>
        <w:tc>
          <w:tcPr>
            <w:tcW w:w="1360" w:type="dxa"/>
            <w:vAlign w:val="bottom"/>
          </w:tcPr>
          <w:p>
            <w:pPr>
              <w:jc w:val="right"/>
              <w:spacing w:after="0"/>
              <w:rPr>
                <w:sz w:val="20"/>
                <w:szCs w:val="20"/>
                <w:color w:val="auto"/>
              </w:rPr>
            </w:pPr>
            <w:r>
              <w:rPr>
                <w:rFonts w:ascii="Arial" w:cs="Arial" w:eastAsia="Arial" w:hAnsi="Arial"/>
                <w:sz w:val="18"/>
                <w:szCs w:val="18"/>
                <w:color w:val="auto"/>
              </w:rPr>
              <w:t>$253.2</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$239.7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40" w:right="20" w:hanging="414"/>
        <w:spacing w:after="0" w:line="232"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Constant-currency growth, a non-GAAP financial measure, measures the change in sales between current and prior-year periods using average exchange rates in effect during the applicable prior-year period.</w:t>
      </w:r>
    </w:p>
    <w:p>
      <w:pPr>
        <w:spacing w:after="0" w:line="22" w:lineRule="exact"/>
        <w:rPr>
          <w:sz w:val="20"/>
          <w:szCs w:val="20"/>
          <w:color w:val="auto"/>
        </w:rPr>
      </w:pPr>
    </w:p>
    <w:p>
      <w:pPr>
        <w:ind w:left="440" w:hanging="41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217" w:lineRule="exact"/>
        <w:rPr>
          <w:sz w:val="20"/>
          <w:szCs w:val="20"/>
          <w:color w:val="auto"/>
        </w:rPr>
      </w:pPr>
    </w:p>
    <w:p>
      <w:pPr>
        <w:spacing w:after="0" w:line="371"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pacing w:after="0" w:line="2" w:lineRule="exact"/>
        <w:rPr>
          <w:sz w:val="20"/>
          <w:szCs w:val="20"/>
          <w:color w:val="auto"/>
        </w:rPr>
      </w:pPr>
    </w:p>
    <w:p>
      <w:pPr>
        <w:ind w:left="20" w:right="5600"/>
        <w:spacing w:after="0" w:line="244" w:lineRule="auto"/>
        <w:rPr>
          <w:sz w:val="20"/>
          <w:szCs w:val="20"/>
          <w:color w:val="auto"/>
        </w:rPr>
      </w:pPr>
      <w:r>
        <w:rPr>
          <w:rFonts w:ascii="Arial" w:cs="Arial" w:eastAsia="Arial" w:hAnsi="Arial"/>
          <w:sz w:val="14"/>
          <w:szCs w:val="14"/>
          <w:b w:val="1"/>
          <w:bCs w:val="1"/>
          <w:color w:val="auto"/>
        </w:rPr>
        <w:t>RECONCILIATION OF GAAP TO NON-GAAP FINANCIAL MEASURES - UNAUDITED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right="320"/>
        <w:spacing w:after="0" w:line="299" w:lineRule="auto"/>
        <w:rPr>
          <w:sz w:val="20"/>
          <w:szCs w:val="20"/>
          <w:color w:val="auto"/>
        </w:rPr>
      </w:pPr>
      <w:r>
        <w:rPr>
          <w:rFonts w:ascii="Arial" w:cs="Arial" w:eastAsia="Arial" w:hAnsi="Arial"/>
          <w:sz w:val="17"/>
          <w:szCs w:val="17"/>
          <w:color w:val="auto"/>
        </w:rPr>
        <w:t>GAAP diluted weighted average shares outstanding Add effects of stock-based compensation instruments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080" w:type="dxa"/>
            <w:vAlign w:val="bottom"/>
            <w:gridSpan w:val="5"/>
          </w:tcPr>
          <w:p>
            <w:pPr>
              <w:jc w:val="center"/>
              <w:ind w:right="80"/>
              <w:spacing w:after="0" w:line="185" w:lineRule="exact"/>
              <w:rPr>
                <w:sz w:val="20"/>
                <w:szCs w:val="20"/>
                <w:color w:val="auto"/>
              </w:rPr>
            </w:pPr>
            <w:r>
              <w:rPr>
                <w:rFonts w:ascii="Arial" w:cs="Arial" w:eastAsia="Arial" w:hAnsi="Arial"/>
                <w:sz w:val="18"/>
                <w:szCs w:val="18"/>
                <w:b w:val="1"/>
                <w:bCs w:val="1"/>
                <w:color w:val="auto"/>
                <w:w w:val="99"/>
              </w:rPr>
              <w:t>Three Months Ended September</w:t>
            </w:r>
          </w:p>
        </w:tc>
        <w:tc>
          <w:tcPr>
            <w:tcW w:w="2840" w:type="dxa"/>
            <w:vAlign w:val="bottom"/>
            <w:gridSpan w:val="4"/>
          </w:tcPr>
          <w:p>
            <w:pPr>
              <w:jc w:val="center"/>
              <w:spacing w:after="0" w:line="185" w:lineRule="exact"/>
              <w:rPr>
                <w:sz w:val="20"/>
                <w:szCs w:val="20"/>
                <w:color w:val="auto"/>
              </w:rPr>
            </w:pPr>
            <w:r>
              <w:rPr>
                <w:rFonts w:ascii="Arial" w:cs="Arial" w:eastAsia="Arial" w:hAnsi="Arial"/>
                <w:sz w:val="18"/>
                <w:szCs w:val="18"/>
                <w:b w:val="1"/>
                <w:bCs w:val="1"/>
                <w:color w:val="auto"/>
                <w:w w:val="99"/>
              </w:rPr>
              <w:t>Nine Months Ended September</w:t>
            </w:r>
          </w:p>
        </w:tc>
      </w:tr>
      <w:tr>
        <w:trPr>
          <w:trHeight w:val="229"/>
        </w:trPr>
        <w:tc>
          <w:tcPr>
            <w:tcW w:w="18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auto"/>
            </w:tcBorders>
          </w:tcPr>
          <w:p>
            <w:pPr>
              <w:spacing w:after="0"/>
              <w:rPr>
                <w:sz w:val="19"/>
                <w:szCs w:val="19"/>
                <w:color w:val="auto"/>
              </w:rPr>
            </w:pPr>
          </w:p>
        </w:tc>
      </w:tr>
      <w:tr>
        <w:trPr>
          <w:trHeight w:val="223"/>
        </w:trPr>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48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ectPr>
          <w:pgSz w:w="11900" w:h="16838" w:orient="portrait"/>
          <w:cols w:equalWidth="0" w:num="2">
            <w:col w:w="4600" w:space="720"/>
            <w:col w:w="5920"/>
          </w:cols>
          <w:pgMar w:left="320" w:top="1440" w:right="339" w:bottom="1440" w:gutter="0" w:footer="0" w:header="0"/>
          <w:type w:val="continuous"/>
        </w:sectPr>
      </w:pPr>
    </w:p>
    <w:p>
      <w:pPr>
        <w:ind w:left="460" w:right="80" w:hanging="434"/>
        <w:spacing w:after="0" w:line="23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diluted weighted average shares outstanding is a non-GAAP measure and includes the effects of stock-based compensation instruments, as reconciled in the above table.</w:t>
      </w:r>
    </w:p>
    <w:p>
      <w:pPr>
        <w:spacing w:after="0" w:line="22" w:lineRule="exact"/>
        <w:rPr>
          <w:sz w:val="20"/>
          <w:szCs w:val="20"/>
          <w:color w:val="auto"/>
        </w:rPr>
      </w:pPr>
    </w:p>
    <w:p>
      <w:pPr>
        <w:ind w:left="460" w:hanging="434"/>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Numbers may not add precisely due to rounding.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04"/>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Roman"/>
      <w:start w:val="4"/>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upperLetter"/>
      <w:start w:val="1"/>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2021-11-03T05:21:59Z</dcterms:created>
  <dcterms:modified xsi:type="dcterms:W3CDTF">2021-11-03T05:21:59Z</dcterms:modified>
</cp:coreProperties>
</file>