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1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2"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29"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8.01 Other Events</w:t>
      </w:r>
    </w:p>
    <w:p>
      <w:pPr>
        <w:spacing w:after="0" w:line="303" w:lineRule="exact"/>
        <w:rPr>
          <w:sz w:val="20"/>
          <w:szCs w:val="20"/>
          <w:color w:val="auto"/>
        </w:rPr>
      </w:pPr>
    </w:p>
    <w:p>
      <w:pPr>
        <w:spacing w:after="0" w:line="355" w:lineRule="auto"/>
        <w:rPr>
          <w:sz w:val="20"/>
          <w:szCs w:val="20"/>
          <w:color w:val="auto"/>
        </w:rPr>
      </w:pPr>
      <w:r>
        <w:rPr>
          <w:rFonts w:ascii="Arial" w:cs="Arial" w:eastAsia="Arial" w:hAnsi="Arial"/>
          <w:sz w:val="20"/>
          <w:szCs w:val="20"/>
          <w:color w:val="auto"/>
        </w:rPr>
        <w:t>LivaNova PLC commented on the decision delivered on November 12, 2021 by the Court of Appeal of Milan (CoA) for LivaNova to pay damages in the amount of €453 million (approximately U.S. $519 million) as a result of a civil action where the CoA declared LivaNova (formed through a merger with Sorin) jointly liable with SNIA (a former parent company of Sorin) for environmental liabilities incurred by SNIA’s other subsidiaries. LivaNova strongly disagrees with the decision and will vigorously pursue all available remedies, including an appeal to the Italian Supreme Court. LivaNova filed an appeal over two years ago with the Italian Supreme Court regarding the CoA’s previous decision on joint liability, though the damages decision may not be stayed pending resolution of the appeal on joint liability by the Italian Supreme Court.</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35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88"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20"/>
          <w:szCs w:val="20"/>
          <w:b w:val="1"/>
          <w:bCs w:val="1"/>
          <w:u w:val="single" w:color="auto"/>
          <w:color w:val="auto"/>
        </w:rPr>
        <w:t>Exhibit</w:t>
      </w:r>
      <w:r>
        <w:rPr>
          <w:sz w:val="20"/>
          <w:szCs w:val="20"/>
          <w:color w:val="auto"/>
        </w:rPr>
        <w:tab/>
      </w:r>
      <w:r>
        <w:rPr>
          <w:rFonts w:ascii="Arial" w:cs="Arial" w:eastAsia="Arial" w:hAnsi="Arial"/>
          <w:sz w:val="20"/>
          <w:szCs w:val="20"/>
          <w:b w:val="1"/>
          <w:bCs w:val="1"/>
          <w:u w:val="single" w:color="auto"/>
          <w:color w:val="auto"/>
        </w:rPr>
        <w:t>Description</w:t>
      </w:r>
    </w:p>
    <w:p>
      <w:pPr>
        <w:spacing w:after="0" w:line="276" w:lineRule="exact"/>
        <w:rPr>
          <w:sz w:val="20"/>
          <w:szCs w:val="20"/>
          <w:color w:val="auto"/>
        </w:rPr>
      </w:pPr>
    </w:p>
    <w:p>
      <w:pPr>
        <w:ind w:left="1560" w:hanging="1534"/>
        <w:spacing w:after="0"/>
        <w:tabs>
          <w:tab w:leader="none" w:pos="15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Cover Page Interactive Data File (embedded within the Inline XBRL document)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74" w:lineRule="exact"/>
        <w:rPr>
          <w:rFonts w:ascii="Arial" w:cs="Arial" w:eastAsia="Arial" w:hAnsi="Arial"/>
          <w:sz w:val="20"/>
          <w:szCs w:val="20"/>
          <w:color w:val="auto"/>
        </w:rPr>
      </w:pPr>
    </w:p>
    <w:p>
      <w:pPr>
        <w:ind w:left="5580"/>
        <w:spacing w:after="0"/>
        <w:rPr>
          <w:rFonts w:ascii="Arial" w:cs="Arial" w:eastAsia="Arial" w:hAnsi="Arial"/>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08" w:right="5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20"/>
          <w:szCs w:val="20"/>
          <w:b w:val="1"/>
          <w:bCs w:val="1"/>
          <w:color w:val="auto"/>
        </w:rPr>
        <w:t>SIGNATURE</w:t>
      </w:r>
    </w:p>
    <w:p>
      <w:pPr>
        <w:spacing w:after="0" w:line="303" w:lineRule="exact"/>
        <w:rPr>
          <w:sz w:val="20"/>
          <w:szCs w:val="20"/>
          <w:color w:val="auto"/>
        </w:rPr>
      </w:pPr>
    </w:p>
    <w:p>
      <w:pPr>
        <w:ind w:firstLine="648"/>
        <w:spacing w:after="0" w:line="373"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LivaNova PLC</w:t>
      </w:r>
    </w:p>
    <w:p>
      <w:pPr>
        <w:spacing w:after="0" w:line="200" w:lineRule="exact"/>
        <w:rPr>
          <w:sz w:val="20"/>
          <w:szCs w:val="20"/>
          <w:color w:val="auto"/>
        </w:rPr>
      </w:pPr>
    </w:p>
    <w:p>
      <w:pPr>
        <w:spacing w:after="0" w:line="326" w:lineRule="exact"/>
        <w:rPr>
          <w:sz w:val="20"/>
          <w:szCs w:val="20"/>
          <w:color w:val="auto"/>
        </w:rPr>
      </w:pPr>
    </w:p>
    <w:p>
      <w:pPr>
        <w:jc w:val="right"/>
        <w:ind w:right="3260"/>
        <w:spacing w:after="0"/>
        <w:tabs>
          <w:tab w:leader="none" w:pos="5260" w:val="left"/>
        </w:tabs>
        <w:rPr>
          <w:sz w:val="20"/>
          <w:szCs w:val="20"/>
          <w:color w:val="auto"/>
        </w:rPr>
      </w:pPr>
      <w:r>
        <w:rPr>
          <w:rFonts w:ascii="Arial" w:cs="Arial" w:eastAsia="Arial" w:hAnsi="Arial"/>
          <w:sz w:val="20"/>
          <w:szCs w:val="20"/>
          <w:color w:val="auto"/>
        </w:rPr>
        <w:t>Date: November 12, 2021</w:t>
      </w:r>
      <w:r>
        <w:rPr>
          <w:sz w:val="20"/>
          <w:szCs w:val="20"/>
          <w:color w:val="auto"/>
        </w:rPr>
        <w:tab/>
      </w:r>
      <w:r>
        <w:rPr>
          <w:rFonts w:ascii="Arial" w:cs="Arial" w:eastAsia="Arial" w:hAnsi="Arial"/>
          <w:sz w:val="18"/>
          <w:szCs w:val="18"/>
          <w:color w:val="auto"/>
        </w:rPr>
        <w:t>By:</w:t>
      </w:r>
      <w:r>
        <w:rPr>
          <w:rFonts w:ascii="Arial" w:cs="Arial" w:eastAsia="Arial" w:hAnsi="Arial"/>
          <w:sz w:val="18"/>
          <w:szCs w:val="18"/>
          <w:u w:val="single" w:color="auto"/>
          <w:color w:val="auto"/>
        </w:rPr>
        <w:t>/s/ Keyna Skeffington</w:t>
      </w:r>
    </w:p>
    <w:p>
      <w:pPr>
        <w:spacing w:after="0" w:line="54" w:lineRule="exact"/>
        <w:rPr>
          <w:sz w:val="20"/>
          <w:szCs w:val="20"/>
          <w:color w:val="auto"/>
        </w:rPr>
      </w:pPr>
    </w:p>
    <w:p>
      <w:pPr>
        <w:jc w:val="right"/>
        <w:ind w:right="3200"/>
        <w:spacing w:after="0"/>
        <w:rPr>
          <w:sz w:val="20"/>
          <w:szCs w:val="20"/>
          <w:color w:val="auto"/>
        </w:rPr>
      </w:pPr>
      <w:r>
        <w:rPr>
          <w:rFonts w:ascii="Arial" w:cs="Arial" w:eastAsia="Arial" w:hAnsi="Arial"/>
          <w:sz w:val="20"/>
          <w:szCs w:val="20"/>
          <w:color w:val="auto"/>
        </w:rPr>
        <w:t>Name: Keyna Skeffington</w:t>
      </w:r>
    </w:p>
    <w:p>
      <w:pPr>
        <w:spacing w:after="0" w:line="20" w:lineRule="exact"/>
        <w:rPr>
          <w:sz w:val="20"/>
          <w:szCs w:val="20"/>
          <w:color w:val="auto"/>
        </w:rPr>
      </w:pPr>
    </w:p>
    <w:p>
      <w:pPr>
        <w:ind w:left="5660"/>
        <w:spacing w:after="0"/>
        <w:rPr>
          <w:sz w:val="20"/>
          <w:szCs w:val="20"/>
          <w:color w:val="auto"/>
        </w:rPr>
      </w:pPr>
      <w:r>
        <w:rPr>
          <w:rFonts w:ascii="Arial" w:cs="Arial" w:eastAsia="Arial" w:hAnsi="Arial"/>
          <w:sz w:val="20"/>
          <w:szCs w:val="20"/>
          <w:color w:val="auto"/>
        </w:rPr>
        <w:t>Title: Senior Vice President &amp;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sectPr>
      <w:pgSz w:w="11900" w:h="16838" w:orient="portrait"/>
      <w:cols w:equalWidth="0" w:num="1">
        <w:col w:w="10940"/>
      </w:cols>
      <w:pgMar w:left="320" w:top="1008"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2021-11-12T23:42:55Z</dcterms:created>
  <dcterms:modified xsi:type="dcterms:W3CDTF">2021-11-12T23:42:55Z</dcterms:modified>
</cp:coreProperties>
</file>