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5524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5245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Hutchinson Michael Damon</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03/30/2023</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1"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31"/>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303"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7"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7"/>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8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5,910</w:t>
            </w:r>
          </w:p>
        </w:tc>
        <w:tc>
          <w:tcPr>
            <w:tcW w:w="30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5,910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5,910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8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2,955</w:t>
            </w:r>
          </w:p>
        </w:tc>
        <w:tc>
          <w:tcPr>
            <w:tcW w:w="30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2,955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2,955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8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2,955</w:t>
            </w:r>
          </w:p>
        </w:tc>
        <w:tc>
          <w:tcPr>
            <w:tcW w:w="30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2,955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2,955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03/30/2023</w:t>
            </w:r>
          </w:p>
        </w:tc>
        <w:tc>
          <w:tcPr>
            <w:tcW w:w="108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5,910</w:t>
            </w:r>
          </w:p>
        </w:tc>
        <w:tc>
          <w:tcPr>
            <w:tcW w:w="30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5,910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5,910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12,555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42.71</w:t>
            </w: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03/30/2023</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12,555</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12,555</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2022 Incentive Award Plan (the 2022 Plan) and the award agreement.</w:t>
      </w:r>
    </w:p>
    <w:p>
      <w:pPr>
        <w:spacing w:after="0" w:line="18" w:lineRule="exact"/>
        <w:rPr>
          <w:rFonts w:ascii="Times New Roman" w:cs="Times New Roman" w:eastAsia="Times New Roman" w:hAnsi="Times New Roman"/>
          <w:sz w:val="13"/>
          <w:szCs w:val="13"/>
          <w:color w:val="008000"/>
        </w:rPr>
      </w:pPr>
    </w:p>
    <w:p>
      <w:pPr>
        <w:ind w:left="40" w:right="2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schedule, the first vesting occurring on March 30, 2024. The RSUs are subject to forfeiture prior to vesting in accordance with the terms of the 2022 Plan and the award agreement.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2022 Plan and the award agreement.</w:t>
      </w:r>
    </w:p>
    <w:p>
      <w:pPr>
        <w:spacing w:after="0" w:line="42" w:lineRule="exact"/>
        <w:rPr>
          <w:rFonts w:ascii="Times New Roman" w:cs="Times New Roman" w:eastAsia="Times New Roman" w:hAnsi="Times New Roman"/>
          <w:sz w:val="13"/>
          <w:szCs w:val="13"/>
          <w:color w:val="008000"/>
        </w:rPr>
      </w:pPr>
    </w:p>
    <w:p>
      <w:pPr>
        <w:ind w:left="40" w:right="1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how the Company's free cash flow (FCF) for performance period 2023-2025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jc w:val="both"/>
        <w:ind w:left="40" w:right="18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how the Company's Return on Investment Capital (ROIC) calculated for the performance period 2023-2025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14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PSUs to vest or lapse on March 30, 2026 based on the the Company's total shareholder return (TSR) for the three-year period beginning on January 1, 2023 and ending December 31, 2025 relative to the total shareholder return of a peer group of companies, as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left="40" w:right="1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stock appreciation rights (SARs) subject to a four-year vesting schedule, the first vesting occurring on March 30, 2024. The SARs are subject to forfeiture prior to vesting in accordance with the terms of the 2022 Plan and the award agreement.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Sarah Mohr, POA</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03/30/2023</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626"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2023-04-03T17:12:21Z</dcterms:created>
  <dcterms:modified xsi:type="dcterms:W3CDTF">2023-04-03T17:12:21Z</dcterms:modified>
</cp:coreProperties>
</file>