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12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Bianchi Francesco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4"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1"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3,416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10,938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06/15/2025</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line="309" w:lineRule="exact"/>
              <w:rPr>
                <w:sz w:val="20"/>
                <w:szCs w:val="20"/>
                <w:color w:val="auto"/>
              </w:rPr>
            </w:pPr>
            <w:r>
              <w:rPr>
                <w:rFonts w:ascii="Times New Roman" w:cs="Times New Roman" w:eastAsia="Times New Roman" w:hAnsi="Times New Roman"/>
                <w:sz w:val="33"/>
                <w:szCs w:val="33"/>
                <w:color w:val="0000FF"/>
                <w:w w:val="87"/>
                <w:vertAlign w:val="subscript"/>
              </w:rPr>
              <w:t>410</w:t>
            </w:r>
            <w:r>
              <w:rPr>
                <w:rFonts w:ascii="Times New Roman" w:cs="Times New Roman" w:eastAsia="Times New Roman" w:hAnsi="Times New Roman"/>
                <w:sz w:val="11"/>
                <w:szCs w:val="11"/>
                <w:color w:val="008000"/>
                <w:w w:val="87"/>
              </w:rPr>
              <w:t>(3)</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10,528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3,416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3,416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4,042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06/15/2025</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4,042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2015 Incentive Award Plan (the 2015 Plan) and the 2015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granted under the 2015 Plan on June 15, 2024 that vested on June 15, 2025.</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2025 Director Incentive Award Plan (the 2025 Plan) and the 2025 Plan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granted under the 2025 Plan, vest on June 15, 2026, subject to continued service during the vesting period and the terms of the 2025 Plan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6080"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2025-06-17T15:56:49Z</dcterms:created>
  <dcterms:modified xsi:type="dcterms:W3CDTF">2025-06-17T15:56:49Z</dcterms:modified>
</cp:coreProperties>
</file>