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074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Tezel Ahmet</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Innovation Officer</w:t>
      </w:r>
    </w:p>
    <w:p>
      <w:pPr>
        <w:spacing w:after="0" w:line="319"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9"/>
            <w:vMerge w:val="restart"/>
          </w:tcPr>
          <w:p>
            <w:pPr>
              <w:jc w:val="center"/>
              <w:ind w:right="10"/>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w w:val="96"/>
              </w:rPr>
              <w:t>X0</w:t>
            </w:r>
          </w:p>
        </w:tc>
        <w:tc>
          <w:tcPr>
            <w:tcW w:w="9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W2 6LA</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jc w:val="right"/>
              <w:ind w:right="221"/>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right"/>
              <w:ind w:right="13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9"/>
              </w:rPr>
              <w:t>2,965</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5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right="21"/>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7,122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59"/>
              <w:spacing w:after="0"/>
              <w:rPr>
                <w:sz w:val="20"/>
                <w:szCs w:val="20"/>
                <w:color w:val="auto"/>
              </w:rPr>
            </w:pPr>
            <w:r>
              <w:rPr>
                <w:rFonts w:ascii="Times New Roman" w:cs="Times New Roman" w:eastAsia="Times New Roman" w:hAnsi="Times New Roman"/>
                <w:sz w:val="13"/>
                <w:szCs w:val="13"/>
                <w:color w:val="0000FF"/>
                <w:w w:val="82"/>
              </w:rPr>
              <w:t>F</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1,032</w:t>
            </w:r>
            <w:r>
              <w:rPr>
                <w:rFonts w:ascii="Times New Roman" w:cs="Times New Roman" w:eastAsia="Times New Roman" w:hAnsi="Times New Roman"/>
                <w:sz w:val="21"/>
                <w:szCs w:val="21"/>
                <w:color w:val="008000"/>
                <w:w w:val="95"/>
                <w:vertAlign w:val="superscript"/>
              </w:rPr>
              <w:t>(3)</w:t>
            </w:r>
          </w:p>
        </w:tc>
        <w:tc>
          <w:tcPr>
            <w:tcW w:w="560" w:type="dxa"/>
            <w:vAlign w:val="bottom"/>
            <w:tcBorders>
              <w:bottom w:val="single" w:sz="8" w:color="2C2C2C"/>
            </w:tcBorders>
          </w:tcPr>
          <w:p>
            <w:pPr>
              <w:jc w:val="right"/>
              <w:ind w:right="5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4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79.7</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6,090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5"/>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3"/>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2,965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ind w:left="200"/>
              <w:spacing w:after="0" w:line="130" w:lineRule="exact"/>
              <w:rPr>
                <w:sz w:val="20"/>
                <w:szCs w:val="20"/>
                <w:color w:val="auto"/>
              </w:rPr>
            </w:pPr>
            <w:r>
              <w:rPr>
                <w:rFonts w:ascii="Times New Roman" w:cs="Times New Roman" w:eastAsia="Times New Roman" w:hAnsi="Times New Roman"/>
                <w:sz w:val="13"/>
                <w:szCs w:val="13"/>
                <w:color w:val="0000FF"/>
              </w:rPr>
              <w:t>06/15/2026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2,965</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5,931</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130"/>
              <w:spacing w:after="0" w:line="143" w:lineRule="exact"/>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1.00 GBP par value.</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Amended and Restated LivaNova PLC 2022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2024, reporting person was granted RSUs subject to a four-year vesting in equal annual installments, the second vesting having occurred on June 15, 2026. The RSUs are subject to forfeiture prior to vesting in accordance with the terms of the Plan and the award agreement.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5"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3439"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2026-06-17T15:17:11Z</dcterms:created>
  <dcterms:modified xsi:type="dcterms:W3CDTF">2026-06-17T15:17:11Z</dcterms:modified>
</cp:coreProperties>
</file>