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Gianotti Stefano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1100" w:type="dxa"/>
            <w:vAlign w:val="bottom"/>
          </w:tcPr>
          <w:p>
            <w:pPr>
              <w:ind w:left="180"/>
              <w:spacing w:after="0"/>
              <w:rPr>
                <w:sz w:val="20"/>
                <w:szCs w:val="20"/>
                <w:color w:val="auto"/>
              </w:rPr>
            </w:pPr>
            <w:r>
              <w:rPr>
                <w:rFonts w:ascii="Arial" w:cs="Arial" w:eastAsia="Arial" w:hAnsi="Arial"/>
                <w:sz w:val="18"/>
                <w:szCs w:val="18"/>
                <w:color w:val="0000FF"/>
              </w:rPr>
              <w:t>X0</w:t>
            </w:r>
          </w:p>
        </w:tc>
        <w:tc>
          <w:tcPr>
            <w:tcW w:w="1200" w:type="dxa"/>
            <w:vAlign w:val="bottom"/>
          </w:tcPr>
          <w:p>
            <w:pPr>
              <w:ind w:left="160"/>
              <w:spacing w:after="0"/>
              <w:rPr>
                <w:sz w:val="20"/>
                <w:szCs w:val="20"/>
                <w:color w:val="auto"/>
              </w:rPr>
            </w:pPr>
            <w:r>
              <w:rPr>
                <w:rFonts w:ascii="Arial" w:cs="Arial" w:eastAsia="Arial" w:hAnsi="Arial"/>
                <w:sz w:val="18"/>
                <w:szCs w:val="18"/>
                <w:color w:val="0000FF"/>
              </w:rPr>
              <w:t>W2 1AY</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1,209</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ind w:left="8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an award of restricted stock units ("RSUs"), all of such shares shall vest and all forfeiture restrictions thereon to lapse on April 29, 2016. The restricted shares are subject to forfeiture prior to vesting in accordance with the terms of the Restricted Stock Agreement.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9"/>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10/22/2015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5983"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2019-12-09T05:03:47Z</dcterms:created>
  <dcterms:modified xsi:type="dcterms:W3CDTF">2019-12-09T05:03:47Z</dcterms:modified>
</cp:coreProperties>
</file>