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71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17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Shvartsburg Alex</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 EASTBOURNE TERRACE</w:t>
            </w:r>
          </w:p>
        </w:tc>
        <w:tc>
          <w:tcPr>
            <w:tcW w:w="13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3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LivaNova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98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140" w:type="dxa"/>
            <w:vAlign w:val="bottom"/>
            <w:tcBorders>
              <w:top w:val="single" w:sz="8" w:color="0000EE"/>
            </w:tcBorders>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300" w:type="dxa"/>
            <w:vAlign w:val="bottom"/>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8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800" w:type="dxa"/>
            <w:vAlign w:val="bottom"/>
          </w:tcPr>
          <w:p>
            <w:pPr>
              <w:ind w:left="400"/>
              <w:spacing w:after="0" w:line="123" w:lineRule="exact"/>
              <w:rPr>
                <w:sz w:val="20"/>
                <w:szCs w:val="20"/>
                <w:color w:val="auto"/>
              </w:rPr>
            </w:pPr>
            <w:r>
              <w:rPr>
                <w:rFonts w:ascii="Arial" w:cs="Arial" w:eastAsia="Arial" w:hAnsi="Arial"/>
                <w:sz w:val="13"/>
                <w:szCs w:val="13"/>
                <w:color w:val="auto"/>
              </w:rPr>
              <w:t>below)</w:t>
            </w:r>
          </w:p>
        </w:tc>
        <w:tc>
          <w:tcPr>
            <w:tcW w:w="1300" w:type="dxa"/>
            <w:vAlign w:val="bottom"/>
          </w:tcPr>
          <w:p>
            <w:pPr>
              <w:ind w:left="18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3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06/15/2024</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restart"/>
          </w:tcPr>
          <w:p>
            <w:pPr>
              <w:ind w:left="130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1,576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3"/>
          </w:tcPr>
          <w:p>
            <w:pPr>
              <w:jc w:val="center"/>
              <w:ind w:right="21"/>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670</w:t>
            </w:r>
            <w:r>
              <w:rPr>
                <w:rFonts w:ascii="Times New Roman" w:cs="Times New Roman" w:eastAsia="Times New Roman" w:hAnsi="Times New Roman"/>
                <w:sz w:val="21"/>
                <w:szCs w:val="21"/>
                <w:color w:val="008000"/>
                <w:w w:val="90"/>
                <w:vertAlign w:val="superscript"/>
              </w:rPr>
              <w:t>(3)</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52.68</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18,729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1,576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06/15/2024</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1,576</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settled into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Company's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2020, reporting person was granted RSUs subject to a four-year vesting schedule, the final vesting for which occurred June 15, 2024.</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2024-06-18T15:13:03Z</dcterms:created>
  <dcterms:modified xsi:type="dcterms:W3CDTF">2024-06-18T15:13:03Z</dcterms:modified>
</cp:coreProperties>
</file>