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36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369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Moore Daniel Jeffrey</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620" w:type="dxa"/>
            <w:vAlign w:val="bottom"/>
            <w:gridSpan w:val="6"/>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color w:val="auto"/>
                <w:w w:val="94"/>
              </w:rPr>
              <w:t>Officer (give title</w:t>
            </w:r>
          </w:p>
        </w:tc>
        <w:tc>
          <w:tcPr>
            <w:tcW w:w="320" w:type="dxa"/>
            <w:vAlign w:val="bottom"/>
          </w:tcPr>
          <w:p>
            <w:pPr>
              <w:spacing w:after="0"/>
              <w:rPr>
                <w:sz w:val="7"/>
                <w:szCs w:val="7"/>
                <w:color w:val="auto"/>
              </w:rPr>
            </w:pPr>
          </w:p>
        </w:tc>
        <w:tc>
          <w:tcPr>
            <w:tcW w:w="1620" w:type="dxa"/>
            <w:vAlign w:val="bottom"/>
            <w:gridSpan w:val="6"/>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6"/>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ind w:left="280"/>
              <w:spacing w:after="0"/>
              <w:rPr>
                <w:sz w:val="20"/>
                <w:szCs w:val="20"/>
                <w:color w:val="auto"/>
              </w:rPr>
            </w:pPr>
            <w:r>
              <w:rPr>
                <w:rFonts w:ascii="Arial" w:cs="Arial" w:eastAsia="Arial" w:hAnsi="Arial"/>
                <w:sz w:val="14"/>
                <w:szCs w:val="14"/>
                <w:color w:val="auto"/>
              </w:rPr>
              <w:t>below)</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540" w:type="dxa"/>
            <w:vAlign w:val="bottom"/>
            <w:gridSpan w:val="6"/>
          </w:tcPr>
          <w:p>
            <w:pPr>
              <w:ind w:left="240"/>
              <w:spacing w:after="0"/>
              <w:rPr>
                <w:sz w:val="20"/>
                <w:szCs w:val="20"/>
                <w:color w:val="auto"/>
              </w:rPr>
            </w:pPr>
            <w:r>
              <w:rPr>
                <w:rFonts w:ascii="Arial" w:cs="Arial" w:eastAsia="Arial" w:hAnsi="Arial"/>
                <w:sz w:val="18"/>
                <w:szCs w:val="18"/>
                <w:color w:val="0000FF"/>
              </w:rPr>
              <w:t>06/15/2016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7"/>
            <w:vMerge w:val="continue"/>
          </w:tcPr>
          <w:p>
            <w:pPr>
              <w:spacing w:after="0"/>
              <w:rPr>
                <w:sz w:val="8"/>
                <w:szCs w:val="8"/>
                <w:color w:val="auto"/>
              </w:rPr>
            </w:pPr>
          </w:p>
        </w:tc>
        <w:tc>
          <w:tcPr>
            <w:tcW w:w="30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tcPr>
          <w:p>
            <w:pPr>
              <w:spacing w:after="0"/>
              <w:rPr>
                <w:sz w:val="20"/>
                <w:szCs w:val="20"/>
                <w:color w:val="auto"/>
              </w:rPr>
            </w:pPr>
            <w:r>
              <w:rPr>
                <w:rFonts w:ascii="Arial" w:cs="Arial" w:eastAsia="Arial" w:hAnsi="Arial"/>
                <w:sz w:val="18"/>
                <w:szCs w:val="18"/>
                <w:color w:val="0000FF"/>
                <w:w w:val="90"/>
              </w:rPr>
              <w:t>X0</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0" w:type="dxa"/>
            <w:vAlign w:val="bottom"/>
            <w:gridSpan w:val="9"/>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300"/>
              <w:spacing w:after="0" w:line="136" w:lineRule="exact"/>
              <w:rPr>
                <w:sz w:val="20"/>
                <w:szCs w:val="20"/>
                <w:color w:val="auto"/>
              </w:rPr>
            </w:pPr>
            <w:r>
              <w:rPr>
                <w:rFonts w:ascii="Arial" w:cs="Arial" w:eastAsia="Arial" w:hAnsi="Arial"/>
                <w:sz w:val="14"/>
                <w:szCs w:val="14"/>
                <w:color w:val="auto"/>
                <w:w w:val="94"/>
              </w:rPr>
              <w:t>Person</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6"/>
          </w:tcPr>
          <w:p>
            <w:pPr>
              <w:jc w:val="center"/>
              <w:ind w:left="2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06/15/2016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2,233</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48.485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65,670</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1"/>
              <w:spacing w:after="0"/>
              <w:rPr>
                <w:sz w:val="20"/>
                <w:szCs w:val="20"/>
                <w:color w:val="auto"/>
              </w:rPr>
            </w:pPr>
            <w:r>
              <w:rPr>
                <w:rFonts w:ascii="Arial" w:cs="Arial" w:eastAsia="Arial" w:hAnsi="Arial"/>
                <w:sz w:val="18"/>
                <w:szCs w:val="18"/>
                <w:color w:val="0000FF"/>
                <w:w w:val="91"/>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06/15/2016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98"/>
              </w:rPr>
              <w:t>D</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2,233</w:t>
            </w:r>
            <w:r>
              <w:rPr>
                <w:rFonts w:ascii="Arial" w:cs="Arial" w:eastAsia="Arial" w:hAnsi="Arial"/>
                <w:sz w:val="22"/>
                <w:szCs w:val="22"/>
                <w:color w:val="008000"/>
                <w:w w:val="88"/>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48.485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63,437</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1"/>
              <w:spacing w:after="0"/>
              <w:rPr>
                <w:sz w:val="20"/>
                <w:szCs w:val="20"/>
                <w:color w:val="auto"/>
              </w:rPr>
            </w:pPr>
            <w:r>
              <w:rPr>
                <w:rFonts w:ascii="Arial" w:cs="Arial" w:eastAsia="Arial" w:hAnsi="Arial"/>
                <w:sz w:val="18"/>
                <w:szCs w:val="18"/>
                <w:color w:val="0000FF"/>
                <w:w w:val="91"/>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2,586</w:t>
            </w:r>
          </w:p>
        </w:tc>
        <w:tc>
          <w:tcPr>
            <w:tcW w:w="32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Arial" w:cs="Arial" w:eastAsia="Arial" w:hAnsi="Arial"/>
                <w:sz w:val="18"/>
                <w:szCs w:val="18"/>
                <w:color w:val="0000FF"/>
              </w:rPr>
              <w:t>I</w:t>
            </w: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5"/>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94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6"/>
          </w:tcPr>
          <w:p>
            <w:pPr>
              <w:jc w:val="right"/>
              <w:ind w:right="77"/>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20" w:type="dxa"/>
            <w:vAlign w:val="bottom"/>
            <w:gridSpan w:val="13"/>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Amount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80" w:type="dxa"/>
            <w:vAlign w:val="bottom"/>
            <w:gridSpan w:val="2"/>
            <w:vMerge w:val="restart"/>
          </w:tcPr>
          <w:p>
            <w:pPr>
              <w:ind w:left="80"/>
              <w:spacing w:after="0"/>
              <w:rPr>
                <w:sz w:val="20"/>
                <w:szCs w:val="20"/>
                <w:color w:val="auto"/>
              </w:rPr>
            </w:pPr>
            <w:r>
              <w:rPr>
                <w:rFonts w:ascii="Arial" w:cs="Arial" w:eastAsia="Arial" w:hAnsi="Arial"/>
                <w:sz w:val="18"/>
                <w:szCs w:val="18"/>
                <w:color w:val="0000FF"/>
              </w:rPr>
              <w:t>2,233</w:t>
            </w:r>
          </w:p>
        </w:tc>
        <w:tc>
          <w:tcPr>
            <w:tcW w:w="800" w:type="dxa"/>
            <w:vAlign w:val="bottom"/>
            <w:gridSpan w:val="2"/>
            <w:vMerge w:val="restart"/>
          </w:tcPr>
          <w:p>
            <w:pPr>
              <w:jc w:val="right"/>
              <w:ind w:right="297"/>
              <w:spacing w:after="0"/>
              <w:rPr>
                <w:sz w:val="20"/>
                <w:szCs w:val="20"/>
                <w:color w:val="auto"/>
              </w:rPr>
            </w:pPr>
            <w:r>
              <w:rPr>
                <w:rFonts w:ascii="Arial" w:cs="Arial" w:eastAsia="Arial" w:hAnsi="Arial"/>
                <w:sz w:val="11"/>
                <w:szCs w:val="11"/>
                <w:color w:val="008000"/>
              </w:rPr>
              <w:t>(1)</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06/15/2016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640" w:type="dxa"/>
            <w:vAlign w:val="bottom"/>
          </w:tcPr>
          <w:p>
            <w:pPr>
              <w:ind w:left="320"/>
              <w:spacing w:after="0" w:line="133" w:lineRule="exact"/>
              <w:rPr>
                <w:sz w:val="20"/>
                <w:szCs w:val="20"/>
                <w:color w:val="auto"/>
              </w:rPr>
            </w:pPr>
            <w:r>
              <w:rPr>
                <w:rFonts w:ascii="Arial" w:cs="Arial" w:eastAsia="Arial" w:hAnsi="Arial"/>
                <w:sz w:val="14"/>
                <w:szCs w:val="14"/>
                <w:color w:val="0000FF"/>
                <w:w w:val="85"/>
              </w:rPr>
              <w:t>2,233</w:t>
            </w: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320" w:type="dxa"/>
            <w:vAlign w:val="bottom"/>
          </w:tcPr>
          <w:p>
            <w:pPr>
              <w:spacing w:after="0"/>
              <w:rPr>
                <w:sz w:val="11"/>
                <w:szCs w:val="11"/>
                <w:color w:val="auto"/>
              </w:rPr>
            </w:pPr>
          </w:p>
        </w:tc>
        <w:tc>
          <w:tcPr>
            <w:tcW w:w="560" w:type="dxa"/>
            <w:vAlign w:val="bottom"/>
          </w:tcPr>
          <w:p>
            <w:pPr>
              <w:ind w:left="400"/>
              <w:spacing w:after="0" w:line="133"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5"/>
              </w:rPr>
              <w:t>Stock</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vested on June 15, 2016. The referenced RSUs are being settled in cash based on the closing price of the ordinary shares of LivaNova PLC (the "Company") on June 14, 2016. The Company is settling the RSUs in cash because it does not currently have ordinary shares available to settle the RSUs pursuant to their terms.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disposed of to the Company to cover applicable taxes and to cash cover the remainder shares.</w:t>
      </w:r>
    </w:p>
    <w:p>
      <w:pPr>
        <w:spacing w:after="0" w:line="41" w:lineRule="exact"/>
        <w:rPr>
          <w:rFonts w:ascii="Arial" w:cs="Arial" w:eastAsia="Arial" w:hAnsi="Arial"/>
          <w:sz w:val="14"/>
          <w:szCs w:val="14"/>
          <w:color w:val="008000"/>
        </w:rPr>
      </w:pPr>
    </w:p>
    <w:p>
      <w:pPr>
        <w:ind w:left="40" w:right="2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October 19, 2015, reporting person was granted 2,233 RSUs which vest on the date of the next Annual General Meeting of the Company. Each RSU represents a contingent right to receive one ordinary share of the Company in accordance with the terms of the LivaNova PLC 2015 Incentive Award Plan. All of such RSUs vested and all restrictions thereon lapsed on June 15, 2016.</w:t>
      </w:r>
    </w:p>
    <w:tbl>
      <w:tblPr>
        <w:tblLayout w:type="fixed"/>
        <w:tblInd w:w="6860" w:type="dxa"/>
        <w:tblCellMar>
          <w:top w:w="0" w:type="dxa"/>
          <w:left w:w="0" w:type="dxa"/>
          <w:bottom w:w="0" w:type="dxa"/>
          <w:right w:w="0" w:type="dxa"/>
        </w:tblCellMar>
      </w:tblPr>
      <w:tr>
        <w:trPr>
          <w:trHeight w:val="199"/>
        </w:trPr>
        <w:tc>
          <w:tcPr>
            <w:tcW w:w="1360" w:type="dxa"/>
            <w:vAlign w:val="bottom"/>
          </w:tcPr>
          <w:p>
            <w:pPr>
              <w:spacing w:after="0" w:line="199" w:lineRule="exact"/>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06/16/2016</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2019-12-23T21:39:19Z</dcterms:created>
  <dcterms:modified xsi:type="dcterms:W3CDTF">2019-12-23T21:39:19Z</dcterms:modified>
</cp:coreProperties>
</file>