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40" w:before="0" w:after="12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0" w:after="120"/>
        <w:jc w:val="both"/>
        <w:rPr/>
      </w:pPr>
      <w:r>
        <w:rPr/>
      </w:r>
    </w:p>
    <w:p>
      <w:pPr>
        <w:pStyle w:val="TextBody"/>
        <w:bidi w:val="0"/>
        <w:spacing w:lineRule="auto" w:line="300" w:before="0" w:after="0"/>
        <w:jc w:val="center"/>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300"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30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300"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30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_______________ to _______________</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Commission file number: 001-37599</w:t>
      </w:r>
    </w:p>
    <w:p>
      <w:pPr>
        <w:pStyle w:val="TextBody"/>
        <w:bidi w:val="0"/>
        <w:spacing w:before="0" w:after="0"/>
        <w:jc w:val="center"/>
        <w:rPr/>
      </w:pPr>
      <w:r>
        <w:rPr/>
      </w:r>
    </w:p>
    <w:p>
      <w:pPr>
        <w:pStyle w:val="TextBody"/>
        <w:bidi w:val="0"/>
        <w:spacing w:before="0" w:after="120"/>
        <w:jc w:val="center"/>
        <w:rPr/>
      </w:pPr>
      <w:r>
        <w:rPr/>
        <w:drawing>
          <wp:inline distT="0" distB="0" distL="0" distR="0">
            <wp:extent cx="18288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81000"/>
                    </a:xfrm>
                    <a:prstGeom prst="rect">
                      <a:avLst/>
                    </a:prstGeom>
                  </pic:spPr>
                </pic:pic>
              </a:graphicData>
            </a:graphic>
          </wp:inline>
        </w:drawing>
      </w:r>
      <w:bookmarkStart w:id="0" w:name="i-1"/>
      <w:bookmarkEnd w:id="0"/>
    </w:p>
    <w:p>
      <w:pPr>
        <w:pStyle w:val="TextBody"/>
        <w:bidi w:val="0"/>
        <w:spacing w:lineRule="auto" w:line="300" w:before="0" w:after="60"/>
        <w:jc w:val="center"/>
        <w:rPr>
          <w:rFonts w:ascii="Times New Roman;serif" w:hAnsi="Times New Roman;serif"/>
          <w:b/>
          <w:color w:val="000000"/>
          <w:sz w:val="32"/>
        </w:rPr>
      </w:pPr>
      <w:r>
        <w:rPr>
          <w:rFonts w:ascii="Times New Roman;serif" w:hAnsi="Times New Roman;serif"/>
          <w:b/>
          <w:color w:val="000000"/>
          <w:sz w:val="32"/>
        </w:rPr>
        <w:t>LivaNova PLC</w:t>
      </w:r>
    </w:p>
    <w:p>
      <w:pPr>
        <w:pStyle w:val="TextBody"/>
        <w:bidi w:val="0"/>
        <w:spacing w:lineRule="auto" w:line="240" w:before="0" w:after="18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p>
      <w:pPr>
        <w:pStyle w:val="TextBody"/>
        <w:bidi w:val="0"/>
        <w:spacing w:lineRule="auto" w:line="288" w:before="0" w:after="0"/>
        <w:jc w:val="center"/>
        <w:rPr/>
      </w:pPr>
      <w:r>
        <w:rPr>
          <w:rFonts w:ascii="Times New Roman;serif" w:hAnsi="Times New Roman;serif"/>
          <w:b/>
          <w:color w:val="000000"/>
          <w:sz w:val="18"/>
        </w:rPr>
        <w:t xml:space="preserve">England and Wales </w:t>
      </w:r>
      <w:r>
        <w:rPr>
          <w:rFonts w:ascii="Times New Roman;serif" w:hAnsi="Times New Roman;serif"/>
          <w:b w:val="false"/>
          <w:i/>
          <w:color w:val="FFFFFF"/>
          <w:sz w:val="18"/>
        </w:rPr>
        <w:t>...................</w:t>
      </w:r>
      <w:r>
        <w:rPr>
          <w:color w:val="FFFFFF"/>
        </w:rPr>
        <w:t xml:space="preserve"> </w:t>
      </w:r>
      <w:r>
        <w:rPr>
          <w:rFonts w:ascii="Times New Roman;serif" w:hAnsi="Times New Roman;serif"/>
          <w:b/>
          <w:color w:val="000000"/>
          <w:sz w:val="18"/>
        </w:rPr>
        <w:t>98-1268150</w:t>
      </w:r>
      <w:r>
        <w:rPr>
          <w:color w:val="FFFFFF"/>
        </w:rPr>
        <w:t xml:space="preserve"> </w:t>
      </w:r>
    </w:p>
    <w:p>
      <w:pPr>
        <w:pStyle w:val="TextBody"/>
        <w:bidi w:val="0"/>
        <w:spacing w:lineRule="auto" w:line="288" w:before="0" w:after="0"/>
        <w:jc w:val="center"/>
        <w:rPr/>
      </w:pPr>
      <w:r>
        <w:rPr>
          <w:rFonts w:ascii="Times New Roman;serif" w:hAnsi="Times New Roman;serif"/>
          <w:b w:val="false"/>
          <w:i/>
          <w:color w:val="000000"/>
          <w:sz w:val="18"/>
        </w:rPr>
        <w:t xml:space="preserve">(State or other jurisdiction of </w:t>
      </w:r>
      <w:r>
        <w:rPr>
          <w:rFonts w:ascii="Times New Roman;serif" w:hAnsi="Times New Roman;serif"/>
          <w:b w:val="false"/>
          <w:i/>
          <w:color w:val="FFFFFF"/>
          <w:sz w:val="18"/>
        </w:rPr>
        <w:t>..........</w:t>
      </w:r>
      <w:r>
        <w:rPr>
          <w:color w:val="FFFFFF"/>
        </w:rPr>
        <w:t xml:space="preserve"> </w:t>
      </w:r>
      <w:r>
        <w:rPr>
          <w:rFonts w:ascii="Times New Roman;serif" w:hAnsi="Times New Roman;serif"/>
          <w:b w:val="false"/>
          <w:i/>
          <w:color w:val="000000"/>
          <w:sz w:val="18"/>
        </w:rPr>
        <w:t>(I.R.S. Employer</w:t>
      </w:r>
    </w:p>
    <w:p>
      <w:pPr>
        <w:pStyle w:val="TextBody"/>
        <w:bidi w:val="0"/>
        <w:spacing w:lineRule="auto" w:line="288" w:before="0" w:after="180"/>
        <w:jc w:val="center"/>
        <w:rPr/>
      </w:pPr>
      <w:r>
        <w:rPr>
          <w:rFonts w:ascii="Times New Roman;serif" w:hAnsi="Times New Roman;serif"/>
          <w:b w:val="false"/>
          <w:i/>
          <w:color w:val="000000"/>
          <w:sz w:val="18"/>
        </w:rPr>
        <w:t xml:space="preserve">incorporation or organization) </w:t>
      </w:r>
      <w:r>
        <w:rPr>
          <w:rFonts w:ascii="Times New Roman;serif" w:hAnsi="Times New Roman;serif"/>
          <w:b w:val="false"/>
          <w:i/>
          <w:color w:val="FFFFFF"/>
          <w:sz w:val="18"/>
        </w:rPr>
        <w:t>........</w:t>
      </w:r>
      <w:r>
        <w:rPr>
          <w:color w:val="FFFFFF"/>
        </w:rPr>
        <w:t xml:space="preserve"> </w:t>
      </w:r>
      <w:r>
        <w:rPr>
          <w:rFonts w:ascii="Times New Roman;serif" w:hAnsi="Times New Roman;serif"/>
          <w:b w:val="false"/>
          <w:i/>
          <w:color w:val="000000"/>
          <w:sz w:val="18"/>
        </w:rPr>
        <w:t>Identification No.)</w:t>
      </w:r>
    </w:p>
    <w:p>
      <w:pPr>
        <w:pStyle w:val="TextBody"/>
        <w:bidi w:val="0"/>
        <w:spacing w:lineRule="auto" w:line="288" w:before="0" w:after="0"/>
        <w:jc w:val="center"/>
        <w:rPr/>
      </w:pPr>
      <w:r>
        <w:rPr>
          <w:rFonts w:ascii="Times New Roman;serif" w:hAnsi="Times New Roman;serif"/>
          <w:b/>
          <w:color w:val="000000"/>
          <w:sz w:val="18"/>
        </w:rPr>
        <w:t>5220 Valiant Court, Gloucester Business Park, Gloucester, United Kingdom</w:t>
      </w:r>
      <w:r>
        <w:rPr>
          <w:rFonts w:ascii="Times New Roman;serif" w:hAnsi="Times New Roman;serif"/>
          <w:b w:val="false"/>
          <w:color w:val="000000"/>
          <w:sz w:val="18"/>
        </w:rPr>
        <w:t xml:space="preserve">, </w:t>
      </w:r>
      <w:r>
        <w:rPr>
          <w:rFonts w:ascii="Times New Roman;serif" w:hAnsi="Times New Roman;serif"/>
          <w:b/>
          <w:color w:val="000000"/>
          <w:sz w:val="18"/>
        </w:rPr>
        <w:t>GL3 4FE</w:t>
      </w:r>
    </w:p>
    <w:p>
      <w:pPr>
        <w:pStyle w:val="TextBody"/>
        <w:bidi w:val="0"/>
        <w:spacing w:lineRule="auto" w:line="288" w:before="0" w:after="180"/>
        <w:jc w:val="center"/>
        <w:rPr/>
      </w:pPr>
      <w:r>
        <w:rPr>
          <w:rFonts w:ascii="Times New Roman;serif" w:hAnsi="Times New Roman;serif"/>
          <w:b w:val="false"/>
          <w:i/>
          <w:color w:val="000000"/>
          <w:sz w:val="18"/>
        </w:rPr>
        <w:t xml:space="preserve">(Address of principal executive offices) </w:t>
      </w:r>
      <w:r>
        <w:rPr>
          <w:rFonts w:ascii="Times New Roman;serif" w:hAnsi="Times New Roman;serif"/>
          <w:b w:val="false"/>
          <w:i/>
          <w:color w:val="FFFFFF"/>
          <w:sz w:val="18"/>
        </w:rPr>
        <w:t>..................................................................</w:t>
      </w:r>
      <w:r>
        <w:rPr>
          <w:color w:val="FFFFFF"/>
        </w:rPr>
        <w:t xml:space="preserve"> </w:t>
      </w:r>
      <w:r>
        <w:rPr>
          <w:rFonts w:ascii="Times New Roman;serif" w:hAnsi="Times New Roman;serif"/>
          <w:b w:val="false"/>
          <w:i/>
          <w:color w:val="000000"/>
          <w:sz w:val="18"/>
        </w:rPr>
        <w:t>(Zip Code)</w:t>
      </w:r>
    </w:p>
    <w:p>
      <w:pPr>
        <w:pStyle w:val="TextBody"/>
        <w:bidi w:val="0"/>
        <w:spacing w:lineRule="auto" w:line="300" w:before="0" w:after="120"/>
        <w:jc w:val="center"/>
        <w:rPr/>
      </w:pPr>
      <w:r>
        <w:rPr>
          <w:rFonts w:ascii="Times New Roman;serif" w:hAnsi="Times New Roman;serif"/>
          <w:b w:val="false"/>
          <w:i/>
          <w:color w:val="000000"/>
          <w:sz w:val="18"/>
        </w:rPr>
        <w:t>Registrant</w:t>
      </w:r>
      <w:r>
        <w:rPr>
          <w:color w:val="000000"/>
        </w:rPr>
        <w:t>’</w:t>
      </w:r>
      <w:r>
        <w:rPr>
          <w:rFonts w:ascii="Times New Roman;serif" w:hAnsi="Times New Roman;serif"/>
          <w:b w:val="false"/>
          <w:i/>
          <w:color w:val="000000"/>
          <w:sz w:val="18"/>
        </w:rPr>
        <w:t xml:space="preserve">s telephone number, including area code: </w:t>
      </w:r>
      <w:r>
        <w:rPr>
          <w:rFonts w:ascii="Times New Roman;serif" w:hAnsi="Times New Roman;serif"/>
          <w:b/>
          <w:color w:val="000000"/>
          <w:sz w:val="18"/>
        </w:rPr>
        <w:t xml:space="preserve">(44) (0) 203 325-0660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602" w:type="dxa"/>
        <w:jc w:val="center"/>
        <w:tblInd w:w="0" w:type="dxa"/>
        <w:tblLayout w:type="fixed"/>
        <w:tblCellMar>
          <w:top w:w="28" w:type="dxa"/>
          <w:left w:w="28" w:type="dxa"/>
          <w:bottom w:w="28" w:type="dxa"/>
          <w:right w:w="28" w:type="dxa"/>
        </w:tblCellMar>
      </w:tblPr>
      <w:tblGrid>
        <w:gridCol w:w="124"/>
        <w:gridCol w:w="109"/>
        <w:gridCol w:w="109"/>
        <w:gridCol w:w="1067"/>
        <w:gridCol w:w="1067"/>
        <w:gridCol w:w="1076"/>
        <w:gridCol w:w="484"/>
        <w:gridCol w:w="484"/>
        <w:gridCol w:w="486"/>
        <w:gridCol w:w="1073"/>
        <w:gridCol w:w="1073"/>
        <w:gridCol w:w="10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 £1.00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LIVN</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00" w:before="0" w:after="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300"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tbl>
      <w:tblPr>
        <w:tblW w:w="5489" w:type="dxa"/>
        <w:jc w:val="center"/>
        <w:tblInd w:w="0" w:type="dxa"/>
        <w:tblLayout w:type="fixed"/>
        <w:tblCellMar>
          <w:top w:w="28" w:type="dxa"/>
          <w:left w:w="28" w:type="dxa"/>
          <w:bottom w:w="28" w:type="dxa"/>
          <w:right w:w="28" w:type="dxa"/>
        </w:tblCellMar>
      </w:tblPr>
      <w:tblGrid>
        <w:gridCol w:w="1167"/>
        <w:gridCol w:w="1022"/>
        <w:gridCol w:w="1036"/>
        <w:gridCol w:w="663"/>
        <w:gridCol w:w="663"/>
        <w:gridCol w:w="938"/>
      </w:tblGrid>
      <w:tr>
        <w:trPr/>
        <w:tc>
          <w:tcPr>
            <w:tcW w:w="116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Outstanding on July 29, 2026</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 £1.00 par value per share</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55,093,507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60"/>
        <w:jc w:val="center"/>
        <w:rPr>
          <w:rFonts w:ascii="Times New Roman;serif" w:hAnsi="Times New Roman;serif"/>
          <w:b/>
          <w:color w:val="000000"/>
          <w:sz w:val="24"/>
        </w:rPr>
      </w:pPr>
      <w:r>
        <w:rPr>
          <w:rFonts w:ascii="Times New Roman;serif" w:hAnsi="Times New Roman;serif"/>
          <w:b/>
          <w:color w:val="000000"/>
          <w:sz w:val="24"/>
        </w:rPr>
        <w:t>LIVANOVA PLC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100"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453"/>
        <w:gridCol w:w="2453"/>
        <w:gridCol w:w="2458"/>
        <w:gridCol w:w="109"/>
        <w:gridCol w:w="109"/>
        <w:gridCol w:w="109"/>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i436a8a7f269c4089b03c14c419c96afc_10">
              <w:r>
                <w:rPr>
                  <w:rStyle w:val="InternetLink"/>
                  <w:rFonts w:ascii="Times New Roman;serif" w:hAnsi="Times New Roman;serif"/>
                  <w:b w:val="false"/>
                  <w:strike w:val="false"/>
                  <w:dstrike w:val="false"/>
                  <w:color w:val="0000FF"/>
                  <w:sz w:val="20"/>
                  <w:u w:val="none"/>
                  <w:effect w:val="none"/>
                </w:rPr>
                <w:t>Definitions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w:anchor="i436a8a7f269c4089b03c14c419c96afc_10">
              <w:r>
                <w:rPr>
                  <w:rStyle w:val="InternetLink"/>
                  <w:rFonts w:ascii="Times New Roman;serif" w:hAnsi="Times New Roman;serif"/>
                  <w:b w:val="false"/>
                  <w:strike w:val="false"/>
                  <w:dstrike w:val="false"/>
                  <w:color w:val="0000FF"/>
                  <w:sz w:val="20"/>
                  <w:u w:val="none"/>
                  <w:effect w:val="none"/>
                </w:rPr>
                <w:t>1</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3">
              <w:r>
                <w:rPr>
                  <w:rStyle w:val="InternetLink"/>
                  <w:rFonts w:ascii="Times New Roman;serif" w:hAnsi="Times New Roman;serif"/>
                  <w:b w:val="false"/>
                  <w:strike w:val="false"/>
                  <w:dstrike w:val="false"/>
                  <w:color w:val="0000FF"/>
                  <w:sz w:val="20"/>
                  <w:u w:val="none"/>
                  <w:effect w:val="none"/>
                </w:rPr>
                <w:t>Intellectual Property, Trademarks, and Trade Names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
              <w:r>
                <w:rPr>
                  <w:rStyle w:val="InternetLink"/>
                  <w:rFonts w:ascii="Times New Roman;serif" w:hAnsi="Times New Roman;serif"/>
                  <w:b w:val="false"/>
                  <w:strike w:val="false"/>
                  <w:dstrike w:val="false"/>
                  <w:color w:val="0000FF"/>
                  <w:sz w:val="20"/>
                  <w:u w:val="none"/>
                  <w:effect w:val="none"/>
                </w:rPr>
                <w:t>3</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6">
              <w:r>
                <w:rPr>
                  <w:rStyle w:val="InternetLink"/>
                  <w:rFonts w:ascii="Times New Roman;serif" w:hAnsi="Times New Roman;serif"/>
                  <w:b w:val="false"/>
                  <w:strike w:val="false"/>
                  <w:dstrike w:val="false"/>
                  <w:color w:val="0000FF"/>
                  <w:sz w:val="20"/>
                  <w:u w:val="none"/>
                  <w:effect w:val="none"/>
                </w:rPr>
                <w:t>Cautionary Note About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6">
              <w:r>
                <w:rPr>
                  <w:rStyle w:val="InternetLink"/>
                  <w:rFonts w:ascii="Times New Roman;serif" w:hAnsi="Times New Roman;serif"/>
                  <w:b w:val="false"/>
                  <w:strike w:val="false"/>
                  <w:dstrike w:val="false"/>
                  <w:color w:val="0000FF"/>
                  <w:sz w:val="20"/>
                  <w:u w:val="none"/>
                  <w:effect w:val="none"/>
                </w:rPr>
                <w:t>4</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22">
              <w:r>
                <w:rPr>
                  <w:rStyle w:val="InternetLink"/>
                  <w:rFonts w:ascii="Times New Roman;serif" w:hAnsi="Times New Roman;serif"/>
                  <w:b w:val="false"/>
                  <w:strike w:val="false"/>
                  <w:dstrike w:val="false"/>
                  <w:color w:val="0000FF"/>
                  <w:sz w:val="20"/>
                  <w:u w:val="none"/>
                  <w:effect w:val="non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i436a8a7f269c4089b03c14c419c96afc_22">
              <w:r>
                <w:rPr>
                  <w:rStyle w:val="InternetLink"/>
                  <w:rFonts w:ascii="Times New Roman;serif" w:hAnsi="Times New Roman;serif"/>
                  <w:b w:val="false"/>
                  <w:strike w:val="false"/>
                  <w:dstrike w:val="false"/>
                  <w:color w:val="0000FF"/>
                  <w:sz w:val="20"/>
                  <w:u w:val="none"/>
                  <w:effect w:val="non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22">
              <w:r>
                <w:rPr>
                  <w:rStyle w:val="InternetLink"/>
                  <w:rFonts w:ascii="Times New Roman;serif" w:hAnsi="Times New Roman;serif"/>
                  <w:b w:val="false"/>
                  <w:strike w:val="false"/>
                  <w:dstrike w:val="false"/>
                  <w:color w:val="0000FF"/>
                  <w:sz w:val="20"/>
                  <w:u w:val="none"/>
                  <w:effect w:val="none"/>
                </w:rPr>
                <w:t>5</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82">
              <w:r>
                <w:rPr>
                  <w:rStyle w:val="InternetLink"/>
                  <w:rFonts w:ascii="Times New Roman;serif" w:hAnsi="Times New Roman;serif"/>
                  <w:b w:val="false"/>
                  <w:strike w:val="false"/>
                  <w:dstrike w:val="false"/>
                  <w:color w:val="0000FF"/>
                  <w:sz w:val="20"/>
                  <w:u w:val="none"/>
                  <w:effect w:val="non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82">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82">
              <w:r>
                <w:rPr>
                  <w:rStyle w:val="InternetLink"/>
                  <w:rFonts w:ascii="Times New Roman;serif" w:hAnsi="Times New Roman;serif"/>
                  <w:b w:val="false"/>
                  <w:strike w:val="false"/>
                  <w:dstrike w:val="false"/>
                  <w:color w:val="0000FF"/>
                  <w:sz w:val="20"/>
                  <w:u w:val="none"/>
                  <w:effect w:val="none"/>
                </w:rPr>
                <w:t>25</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12">
              <w:r>
                <w:rPr>
                  <w:rStyle w:val="InternetLink"/>
                  <w:rFonts w:ascii="Times New Roman;serif" w:hAnsi="Times New Roman;serif"/>
                  <w:b w:val="false"/>
                  <w:strike w:val="false"/>
                  <w:dstrike w:val="false"/>
                  <w:color w:val="0000FF"/>
                  <w:sz w:val="20"/>
                  <w:u w:val="none"/>
                  <w:effect w:val="non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12">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12">
              <w:r>
                <w:rPr>
                  <w:rStyle w:val="InternetLink"/>
                  <w:rFonts w:ascii="Times New Roman;serif" w:hAnsi="Times New Roman;serif"/>
                  <w:b w:val="false"/>
                  <w:strike w:val="false"/>
                  <w:dstrike w:val="false"/>
                  <w:color w:val="0000FF"/>
                  <w:sz w:val="20"/>
                  <w:u w:val="none"/>
                  <w:effect w:val="none"/>
                </w:rPr>
                <w:t>31</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15">
              <w:r>
                <w:rPr>
                  <w:rStyle w:val="InternetLink"/>
                  <w:rFonts w:ascii="Times New Roman;serif" w:hAnsi="Times New Roman;serif"/>
                  <w:b w:val="false"/>
                  <w:strike w:val="false"/>
                  <w:dstrike w:val="false"/>
                  <w:color w:val="0000FF"/>
                  <w:sz w:val="20"/>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15">
              <w:r>
                <w:rPr>
                  <w:rStyle w:val="InternetLink"/>
                  <w:rFonts w:ascii="Times New Roman;serif" w:hAnsi="Times New Roman;serif"/>
                  <w:b w:val="false"/>
                  <w:strike w:val="false"/>
                  <w:dstrike w:val="false"/>
                  <w:color w:val="0000FF"/>
                  <w:sz w:val="20"/>
                  <w:u w:val="none"/>
                  <w:effect w:val="non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15">
              <w:r>
                <w:rPr>
                  <w:rStyle w:val="InternetLink"/>
                  <w:rFonts w:ascii="Times New Roman;serif" w:hAnsi="Times New Roman;serif"/>
                  <w:b w:val="false"/>
                  <w:strike w:val="false"/>
                  <w:dstrike w:val="false"/>
                  <w:color w:val="0000FF"/>
                  <w:sz w:val="20"/>
                  <w:u w:val="none"/>
                  <w:effect w:val="none"/>
                </w:rPr>
                <w:t>31</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1">
              <w:r>
                <w:rPr>
                  <w:rStyle w:val="InternetLink"/>
                  <w:rFonts w:ascii="Times New Roman;serif" w:hAnsi="Times New Roman;serif"/>
                  <w:b w:val="false"/>
                  <w:strike w:val="false"/>
                  <w:dstrike w:val="false"/>
                  <w:color w:val="0000FF"/>
                  <w:sz w:val="20"/>
                  <w:u w:val="none"/>
                  <w:effect w:val="non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hyperlink w:anchor="i436a8a7f269c4089b03c14c419c96afc_121">
              <w:r>
                <w:rPr>
                  <w:rStyle w:val="InternetLink"/>
                  <w:rFonts w:ascii="Times New Roman;serif" w:hAnsi="Times New Roman;serif"/>
                  <w:b w:val="false"/>
                  <w:strike w:val="false"/>
                  <w:dstrike w:val="false"/>
                  <w:color w:val="0000FF"/>
                  <w:sz w:val="20"/>
                  <w:u w:val="none"/>
                  <w:effect w:val="none"/>
                </w:rPr>
                <w:t>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1">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4">
              <w:r>
                <w:rPr>
                  <w:rStyle w:val="InternetLink"/>
                  <w:rFonts w:ascii="Times New Roman;serif" w:hAnsi="Times New Roman;serif"/>
                  <w:b w:val="false"/>
                  <w:strike w:val="false"/>
                  <w:dstrike w:val="false"/>
                  <w:color w:val="0000FF"/>
                  <w:sz w:val="20"/>
                  <w:u w:val="none"/>
                  <w:effect w:val="none"/>
                </w:rPr>
                <w:t>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24">
              <w:r>
                <w:rPr>
                  <w:rStyle w:val="InternetLink"/>
                  <w:rFonts w:ascii="Times New Roman;serif" w:hAnsi="Times New Roman;serif"/>
                  <w:b w:val="false"/>
                  <w:strike w:val="false"/>
                  <w:dstrike w:val="false"/>
                  <w:color w:val="0000FF"/>
                  <w:sz w:val="20"/>
                  <w:u w:val="none"/>
                  <w:effect w:val="non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4">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7">
              <w:r>
                <w:rPr>
                  <w:rStyle w:val="InternetLink"/>
                  <w:rFonts w:ascii="Times New Roman;serif" w:hAnsi="Times New Roman;serif"/>
                  <w:b w:val="false"/>
                  <w:strike w:val="false"/>
                  <w:dstrike w:val="false"/>
                  <w:color w:val="0000FF"/>
                  <w:sz w:val="20"/>
                  <w:u w:val="none"/>
                  <w:effect w:val="non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27">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27">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0">
              <w:r>
                <w:rPr>
                  <w:rStyle w:val="InternetLink"/>
                  <w:rFonts w:ascii="Times New Roman;serif" w:hAnsi="Times New Roman;serif"/>
                  <w:b w:val="false"/>
                  <w:strike w:val="false"/>
                  <w:dstrike w:val="false"/>
                  <w:color w:val="0000FF"/>
                  <w:sz w:val="20"/>
                  <w:u w:val="none"/>
                  <w:effect w:val="non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30">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0">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3">
              <w:r>
                <w:rPr>
                  <w:rStyle w:val="InternetLink"/>
                  <w:rFonts w:ascii="Times New Roman;serif" w:hAnsi="Times New Roman;serif"/>
                  <w:b w:val="false"/>
                  <w:strike w:val="false"/>
                  <w:dstrike w:val="false"/>
                  <w:color w:val="0000FF"/>
                  <w:sz w:val="20"/>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33">
              <w:r>
                <w:rPr>
                  <w:rStyle w:val="InternetLink"/>
                  <w:rFonts w:ascii="Times New Roman;serif" w:hAnsi="Times New Roman;serif"/>
                  <w:b w:val="false"/>
                  <w:strike w:val="false"/>
                  <w:dstrike w:val="false"/>
                  <w:color w:val="0000FF"/>
                  <w:sz w:val="20"/>
                  <w:u w:val="none"/>
                  <w:effect w:val="non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3">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6">
              <w:r>
                <w:rPr>
                  <w:rStyle w:val="InternetLink"/>
                  <w:rFonts w:ascii="Times New Roman;serif" w:hAnsi="Times New Roman;serif"/>
                  <w:b w:val="false"/>
                  <w:strike w:val="false"/>
                  <w:dstrike w:val="false"/>
                  <w:color w:val="0000FF"/>
                  <w:sz w:val="20"/>
                  <w:u w:val="none"/>
                  <w:effect w:val="none"/>
                </w:rPr>
                <w:t>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36">
              <w:r>
                <w:rPr>
                  <w:rStyle w:val="InternetLink"/>
                  <w:rFonts w:ascii="Times New Roman;serif" w:hAnsi="Times New Roman;serif"/>
                  <w:b w:val="false"/>
                  <w:strike w:val="false"/>
                  <w:dstrike w:val="false"/>
                  <w:color w:val="0000FF"/>
                  <w:sz w:val="20"/>
                  <w:u w:val="none"/>
                  <w:effect w:val="non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6">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9">
              <w:r>
                <w:rPr>
                  <w:rStyle w:val="InternetLink"/>
                  <w:rFonts w:ascii="Times New Roman;serif" w:hAnsi="Times New Roman;serif"/>
                  <w:b w:val="false"/>
                  <w:strike w:val="false"/>
                  <w:dstrike w:val="false"/>
                  <w:color w:val="0000FF"/>
                  <w:sz w:val="20"/>
                  <w:u w:val="none"/>
                  <w:effect w:val="none"/>
                </w:rPr>
                <w:t>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39">
              <w:r>
                <w:rPr>
                  <w:rStyle w:val="InternetLink"/>
                  <w:rFonts w:ascii="Times New Roman;serif" w:hAnsi="Times New Roman;serif"/>
                  <w:b w:val="false"/>
                  <w:strike w:val="false"/>
                  <w:dstrike w:val="false"/>
                  <w:color w:val="0000FF"/>
                  <w:sz w:val="20"/>
                  <w:u w:val="none"/>
                  <w:effect w:val="none"/>
                </w:rPr>
                <w:t>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39">
              <w:r>
                <w:rPr>
                  <w:rStyle w:val="InternetLink"/>
                  <w:rFonts w:ascii="Times New Roman;serif" w:hAnsi="Times New Roman;serif"/>
                  <w:b w:val="false"/>
                  <w:strike w:val="false"/>
                  <w:dstrike w:val="false"/>
                  <w:color w:val="0000FF"/>
                  <w:sz w:val="20"/>
                  <w:u w:val="none"/>
                  <w:effect w:val="none"/>
                </w:rPr>
                <w:t>33</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6a8a7f269c4089b03c14c419c96afc_142">
              <w:r>
                <w:rPr>
                  <w:rStyle w:val="InternetLink"/>
                  <w:rFonts w:ascii="Times New Roman;serif" w:hAnsi="Times New Roman;serif"/>
                  <w:b w:val="false"/>
                  <w:strike w:val="false"/>
                  <w:dstrike w:val="false"/>
                  <w:color w:val="0000FF"/>
                  <w:sz w:val="20"/>
                  <w:u w:val="none"/>
                  <w:effect w:val="non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6a8a7f269c4089b03c14c419c96afc_142">
              <w:r>
                <w:rPr>
                  <w:rStyle w:val="InternetLink"/>
                  <w:rFonts w:ascii="Times New Roman;serif" w:hAnsi="Times New Roman;serif"/>
                  <w:b w:val="false"/>
                  <w:strike w:val="false"/>
                  <w:dstrike w:val="false"/>
                  <w:color w:val="0000FF"/>
                  <w:sz w:val="20"/>
                  <w:u w:val="none"/>
                  <w:effect w:val="none"/>
                </w:rPr>
                <w:t>34</w:t>
              </w:r>
            </w:hyperlink>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300"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 this Quarterly Report on Form 10-Q for the quarter ended June 30, 2026, the following terms and abbreviations have the meanings listed below. “LivaNova” and the “Company” refer to LivaNova PLC and its consolidated subsidiaries. </w:t>
      </w:r>
    </w:p>
    <w:tbl>
      <w:tblPr>
        <w:tblW w:w="10205" w:type="dxa"/>
        <w:jc w:val="left"/>
        <w:tblInd w:w="0" w:type="dxa"/>
        <w:tblLayout w:type="fixed"/>
        <w:tblCellMar>
          <w:top w:w="28" w:type="dxa"/>
          <w:left w:w="28" w:type="dxa"/>
          <w:bottom w:w="28" w:type="dxa"/>
          <w:right w:w="28" w:type="dxa"/>
        </w:tblCellMar>
      </w:tblPr>
      <w:tblGrid>
        <w:gridCol w:w="502"/>
        <w:gridCol w:w="442"/>
        <w:gridCol w:w="443"/>
        <w:gridCol w:w="109"/>
        <w:gridCol w:w="109"/>
        <w:gridCol w:w="109"/>
        <w:gridCol w:w="2716"/>
        <w:gridCol w:w="2388"/>
        <w:gridCol w:w="3387"/>
      </w:tblGrid>
      <w:tr>
        <w:trPr/>
        <w:tc>
          <w:tcPr>
            <w:tcW w:w="5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Abbreviation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r>
      <w:tr>
        <w:trPr/>
        <w:tc>
          <w:tcPr>
            <w:tcW w:w="1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2016 Decision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Decision by the Court of Milan in 2016 to dismiss all legal actions of SNIA and of the Public Administrations and to further require the Public Administrations to pay Sorin €292,000 for legal fees</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First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Lien Credit Agreement between LivaNova PLC and its wholly-owned subsidiary, LivaNova USA, Inc., and Goldman Sachs Bank USA, as First Lien Administrative Agent and First Lien Collateral Agent, entered into on August 13, 2021</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Privately-negotiated capped call transactions entered into with certain financial institutions</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Embedded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bifurcated embedded derivative associated with the 2025 Notes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PLC’s Annual Report on Form 10-K for the year ended December 31, 2025, filed with the SEC on February 25, 2026</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$287.5 million aggregate principal amount 3.00% unsecured cash exchangeable senior notes due December 15, 2025, by private placement to qualified institutional buyers pursuant to Rule 144A under the Securities Act, issued by LivaNova USA on June 17, 2020</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Privately-negotiated capped call transactions entered into with certain financial institutions</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Embedded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bifurcated embedded derivative associated with the 2029 Notes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$345.0 million aggregate principal amount 2.50% unsecured convertible senior notes due 2029 by private placement to qualified institutional buyers pursuant to Rule 144A under the Securities Act, issued by LivaNova PLC on March 8, 2024</w:t>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 of Appeal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Court of Appeal in Milan</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$50.0 million delayed draw term facility under the 2021 First Lien Credit Agreement, resulting from the Incremental Facility Amendment No. 2</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Drug-resistant epilepsy</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Difficult-to-treat Depression - The Company’s broader business and strategic communications reference DTD as the preferred disease state when speaking more broadly about depression treatment, as it is a more inclusive and clinically evolving concept that encompasses patients whose depression continues to cause significant burden despite usual treatment efforts. Meanwhile, LivaNova’s RECOVER clinical study defines the patient population using the inclusion criteria for TRD, typically characterized by major depressive disorder that does not adequately respond to at least two different antidepressant treatments given at an appropriate dose and duration. As a result, the Company uses TRD in the context of the RECOVER study to maintain consistency with the study protocol approved by the U.S. Centers for Medicare &amp; Medicaid Services. References to either term in this filing are context-dependent but describe overlapping populations.</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European Court of Justice</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bifurcated embedded derivatives associated with the 2025 Notes and 2029 Notes, collectively</w:t>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Exchange Act of 1934, as amended</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exchange rate</w:t>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Heart-lung machine</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IEEPA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 Emergency Economic Powers Act</w:t>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ImThera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ImThera Medical, Inc. was a company developing an implantable neurostimulation device system for the treatment of obstructive sleep apnea that LivaNova acquired in 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9"/>
        <w:gridCol w:w="453"/>
        <w:gridCol w:w="454"/>
        <w:gridCol w:w="109"/>
        <w:gridCol w:w="109"/>
        <w:gridCol w:w="109"/>
        <w:gridCol w:w="2812"/>
        <w:gridCol w:w="2264"/>
        <w:gridCol w:w="3216"/>
      </w:tblGrid>
      <w:tr>
        <w:trPr/>
        <w:tc>
          <w:tcPr>
            <w:tcW w:w="67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Abbreviation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Facility Amendment No.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An incremental facility amendment to the 2021 First Lien Credit Agreement, dated July 6, 2022</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Facility Amendment No.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incremental facility amendment to the 2021 First Lien Credit Agreement, dated March 8, 2024</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$300.0 million term facility under the 2021 First Lien Credit Agreement, resulting from the Incremental Facility Amendment No. 2</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National Inspectorate for Nuclear Safety and Radiation Protection, a sub-body of the Italian Ministry of Economic Development</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LivaNova PLC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public limited company organized under the laws of England and Wales on February 20, 2015</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LivaNova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USA, Inc.</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Site Management S.r.l.</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Medical technology</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OBBBA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One Big Beautiful Bill Act</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Obstructive sleep apnea</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Premarket approval</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Administrations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Italian Ministry of the Environment and other Italian government agencies</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Stock appreciation right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Act of 1933, as amended</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SNIA S.p.A.</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SNIA Litigation Guarantee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first demand bank guarantee of €270.0 million in connection with the SNIA environmental litigation</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Sorin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Sorin S.p.A.</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Initial Term Facility, together with the Delayed Draw Term Facility</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Treatment-resistant Depression - LivaNova’s RECOVER clinical study defines the patient population using the inclusion criteria for TRD, typically characterized by major depressive disorder that does not adequately respond to at least two different antidepressant treatments given at an appropriate dose and duration. As a result, the Company uses TRD in the context of the RECOVER study to maintain consistency with the study protocol approved by the U.S. Centers for Medicare &amp; Medicaid Services. Meanwhile, the Company’s broader business and strategic communications reference DTD as the preferred disease state when speaking more broadly about depression treatment, as it is a more inclusive and clinically evolving concept that encompasses patients whose depression continues to cause significant burden despite usual treatment efforts. References to either term in this filing are context-dependent but describe overlapping populations.</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dollar</w:t>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2"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VNS Therapy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Vagus Nerve Stimulation Therapy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center"/>
        <w:rPr>
          <w:rFonts w:ascii="Times New Roman;serif" w:hAnsi="Times New Roman;serif"/>
          <w:b/>
          <w:color w:val="000000"/>
          <w:sz w:val="24"/>
        </w:rPr>
      </w:pPr>
      <w:r>
        <w:rPr>
          <w:rFonts w:ascii="Times New Roman;serif" w:hAnsi="Times New Roman;serif"/>
          <w:b/>
          <w:color w:val="000000"/>
          <w:sz w:val="24"/>
        </w:rPr>
        <w:t>INTELLECTUAL PROPERTY, TRADEMARKS, AND TRADE NAMES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This Report may contain references to LivaNova’s proprietary intellectual property, including among others:</w:t>
      </w:r>
    </w:p>
    <w:p>
      <w:pPr>
        <w:pStyle w:val="TextBody"/>
        <w:bidi w:val="0"/>
        <w:spacing w:lineRule="auto" w:line="300" w:before="0" w:after="120"/>
        <w:ind w:left="0" w:right="0" w:hanging="360"/>
        <w:jc w:val="both"/>
        <w:rPr/>
      </w:pPr>
      <w:r>
        <w:rPr>
          <w:color w:val="000000"/>
        </w:rPr>
        <w:t>•</w:t>
      </w:r>
      <w:r>
        <w:rPr>
          <w:rFonts w:ascii="Times New Roman;serif" w:hAnsi="Times New Roman;serif"/>
          <w:b w:val="false"/>
          <w:color w:val="000000"/>
          <w:sz w:val="20"/>
        </w:rPr>
        <w:t>Trademarks for LivaNova’s Neuromodulation systems, the VNS Therapy</w:t>
      </w:r>
      <w:r>
        <w:rPr>
          <w:color w:val="000000"/>
        </w:rPr>
        <w:t>™ </w:t>
      </w:r>
      <w:r>
        <w:rPr>
          <w:rFonts w:ascii="Times New Roman;serif" w:hAnsi="Times New Roman;serif"/>
          <w:b w:val="false"/>
          <w:color w:val="000000"/>
          <w:sz w:val="20"/>
        </w:rPr>
        <w:t>System, and LivaNova’s proprietary pulse generator products: Model 102 (Pulse</w:t>
      </w:r>
      <w:r>
        <w:rPr>
          <w:color w:val="000000"/>
        </w:rPr>
        <w:t>™</w:t>
      </w:r>
      <w:r>
        <w:rPr>
          <w:rFonts w:ascii="Times New Roman;serif" w:hAnsi="Times New Roman;serif"/>
          <w:b w:val="false"/>
          <w:color w:val="000000"/>
          <w:sz w:val="20"/>
        </w:rPr>
        <w:t>), Model 102R (Pulse Duo</w:t>
      </w:r>
      <w:r>
        <w:rPr>
          <w:color w:val="000000"/>
        </w:rPr>
        <w:t>™</w:t>
      </w:r>
      <w:r>
        <w:rPr>
          <w:rFonts w:ascii="Times New Roman;serif" w:hAnsi="Times New Roman;serif"/>
          <w:b w:val="false"/>
          <w:color w:val="000000"/>
          <w:sz w:val="20"/>
        </w:rPr>
        <w:t>), Model 103 (Demipulse</w:t>
      </w:r>
      <w:r>
        <w:rPr>
          <w:color w:val="000000"/>
        </w:rPr>
        <w:t>™</w:t>
      </w:r>
      <w:r>
        <w:rPr>
          <w:rFonts w:ascii="Times New Roman;serif" w:hAnsi="Times New Roman;serif"/>
          <w:b w:val="false"/>
          <w:color w:val="000000"/>
          <w:sz w:val="20"/>
        </w:rPr>
        <w:t>), Model 104 (Demipulse Duo</w:t>
      </w:r>
      <w:r>
        <w:rPr>
          <w:color w:val="000000"/>
        </w:rPr>
        <w:t>™</w:t>
      </w:r>
      <w:r>
        <w:rPr>
          <w:rFonts w:ascii="Times New Roman;serif" w:hAnsi="Times New Roman;serif"/>
          <w:b w:val="false"/>
          <w:color w:val="000000"/>
          <w:sz w:val="20"/>
        </w:rPr>
        <w:t>), Model 106 (AspireSR</w:t>
      </w:r>
      <w:r>
        <w:rPr>
          <w:color w:val="000000"/>
        </w:rPr>
        <w:t>™</w:t>
      </w:r>
      <w:r>
        <w:rPr>
          <w:rFonts w:ascii="Times New Roman;serif" w:hAnsi="Times New Roman;serif"/>
          <w:b w:val="false"/>
          <w:color w:val="000000"/>
          <w:sz w:val="20"/>
        </w:rPr>
        <w:t>), Model 1000 (SenTiva</w:t>
      </w:r>
      <w:r>
        <w:rPr>
          <w:color w:val="000000"/>
        </w:rPr>
        <w:t>™</w:t>
      </w:r>
      <w:r>
        <w:rPr>
          <w:rFonts w:ascii="Times New Roman;serif" w:hAnsi="Times New Roman;serif"/>
          <w:b w:val="false"/>
          <w:color w:val="000000"/>
          <w:sz w:val="20"/>
        </w:rPr>
        <w:t>), Model 1000-D (SenTiva</w:t>
      </w:r>
      <w:r>
        <w:rPr>
          <w:color w:val="000000"/>
        </w:rPr>
        <w:t xml:space="preserve">™ </w:t>
      </w:r>
      <w:r>
        <w:rPr>
          <w:rFonts w:ascii="Times New Roman;serif" w:hAnsi="Times New Roman;serif"/>
          <w:b w:val="false"/>
          <w:color w:val="000000"/>
          <w:sz w:val="20"/>
        </w:rPr>
        <w:t>Duo), and Model 8103 (Symmetry</w:t>
      </w:r>
      <w:r>
        <w:rPr>
          <w:color w:val="000000"/>
        </w:rPr>
        <w:t>™</w:t>
      </w:r>
      <w:r>
        <w:rPr>
          <w:rFonts w:ascii="Times New Roman;serif" w:hAnsi="Times New Roman;serif"/>
          <w:b w:val="false"/>
          <w:color w:val="000000"/>
          <w:sz w:val="20"/>
        </w:rPr>
        <w:t>).</w:t>
      </w:r>
    </w:p>
    <w:p>
      <w:pPr>
        <w:pStyle w:val="TextBody"/>
        <w:bidi w:val="0"/>
        <w:spacing w:lineRule="auto" w:line="300" w:before="0" w:after="120"/>
        <w:ind w:left="0" w:right="0" w:hanging="360"/>
        <w:jc w:val="both"/>
        <w:rPr/>
      </w:pPr>
      <w:r>
        <w:rPr>
          <w:color w:val="000000"/>
        </w:rPr>
        <w:t>•</w:t>
      </w:r>
      <w:r>
        <w:rPr>
          <w:rFonts w:ascii="Times New Roman;serif" w:hAnsi="Times New Roman;serif"/>
          <w:b w:val="false"/>
          <w:color w:val="000000"/>
          <w:sz w:val="20"/>
        </w:rPr>
        <w:t>Trademarks for LivaNova’s Cardiopulmonary products and systems: Essenz</w:t>
      </w:r>
      <w:r>
        <w:rPr>
          <w:color w:val="000000"/>
        </w:rPr>
        <w:t>™</w:t>
      </w:r>
      <w:r>
        <w:rPr>
          <w:rFonts w:ascii="Times New Roman;serif" w:hAnsi="Times New Roman;serif"/>
          <w:b w:val="false"/>
          <w:color w:val="000000"/>
          <w:sz w:val="20"/>
        </w:rPr>
        <w:t>, S5</w:t>
      </w:r>
      <w:r>
        <w:rPr>
          <w:color w:val="000000"/>
        </w:rPr>
        <w:t>™</w:t>
      </w:r>
      <w:r>
        <w:rPr>
          <w:rFonts w:ascii="Times New Roman;serif" w:hAnsi="Times New Roman;serif"/>
          <w:b w:val="false"/>
          <w:color w:val="000000"/>
          <w:sz w:val="20"/>
        </w:rPr>
        <w:t>, S5 Pro</w:t>
      </w:r>
      <w:r>
        <w:rPr>
          <w:color w:val="000000"/>
        </w:rPr>
        <w:t>™</w:t>
      </w:r>
      <w:r>
        <w:rPr>
          <w:rFonts w:ascii="Times New Roman;serif" w:hAnsi="Times New Roman;serif"/>
          <w:b w:val="false"/>
          <w:color w:val="000000"/>
          <w:sz w:val="20"/>
        </w:rPr>
        <w:t>, B-Capta</w:t>
      </w:r>
      <w:r>
        <w:rPr>
          <w:color w:val="000000"/>
        </w:rPr>
        <w:t>™</w:t>
      </w:r>
      <w:r>
        <w:rPr>
          <w:rFonts w:ascii="Times New Roman;serif" w:hAnsi="Times New Roman;serif"/>
          <w:b w:val="false"/>
          <w:color w:val="000000"/>
          <w:sz w:val="20"/>
        </w:rPr>
        <w:t>, Inspire</w:t>
      </w:r>
      <w:r>
        <w:rPr>
          <w:color w:val="000000"/>
        </w:rPr>
        <w:t>™</w:t>
      </w:r>
      <w:r>
        <w:rPr>
          <w:rFonts w:ascii="Times New Roman;serif" w:hAnsi="Times New Roman;serif"/>
          <w:b w:val="false"/>
          <w:color w:val="000000"/>
          <w:sz w:val="20"/>
        </w:rPr>
        <w:t>, Heartlink</w:t>
      </w:r>
      <w:r>
        <w:rPr>
          <w:color w:val="000000"/>
        </w:rPr>
        <w:t>™</w:t>
      </w:r>
      <w:r>
        <w:rPr>
          <w:rFonts w:ascii="Times New Roman;serif" w:hAnsi="Times New Roman;serif"/>
          <w:b w:val="false"/>
          <w:color w:val="000000"/>
          <w:sz w:val="20"/>
        </w:rPr>
        <w:t>, XTRA</w:t>
      </w:r>
      <w:r>
        <w:rPr>
          <w:color w:val="000000"/>
        </w:rPr>
        <w:t>™</w:t>
      </w:r>
      <w:r>
        <w:rPr>
          <w:rFonts w:ascii="Times New Roman;serif" w:hAnsi="Times New Roman;serif"/>
          <w:b w:val="false"/>
          <w:color w:val="000000"/>
          <w:sz w:val="20"/>
        </w:rPr>
        <w:t>, 3T Heater-Cooler</w:t>
      </w:r>
      <w:r>
        <w:rPr>
          <w:color w:val="000000"/>
        </w:rPr>
        <w:t>™</w:t>
      </w:r>
      <w:r>
        <w:rPr>
          <w:rFonts w:ascii="Times New Roman;serif" w:hAnsi="Times New Roman;serif"/>
          <w:b w:val="false"/>
          <w:color w:val="000000"/>
          <w:sz w:val="20"/>
        </w:rPr>
        <w:t>, Connect</w:t>
      </w:r>
      <w:r>
        <w:rPr>
          <w:color w:val="000000"/>
        </w:rPr>
        <w:t>™</w:t>
      </w:r>
      <w:r>
        <w:rPr>
          <w:rFonts w:ascii="Times New Roman;serif" w:hAnsi="Times New Roman;serif"/>
          <w:b w:val="false"/>
          <w:color w:val="000000"/>
          <w:sz w:val="20"/>
        </w:rPr>
        <w:t>, Revolution</w:t>
      </w:r>
      <w:r>
        <w:rPr>
          <w:color w:val="000000"/>
        </w:rPr>
        <w:t>™</w:t>
      </w:r>
      <w:r>
        <w:rPr>
          <w:rFonts w:ascii="Times New Roman;serif" w:hAnsi="Times New Roman;serif"/>
          <w:b w:val="false"/>
          <w:color w:val="000000"/>
          <w:sz w:val="20"/>
        </w:rPr>
        <w:t>, ProtekDuo</w:t>
      </w:r>
      <w:r>
        <w:rPr>
          <w:color w:val="000000"/>
        </w:rPr>
        <w:t>™</w:t>
      </w:r>
      <w:r>
        <w:rPr>
          <w:rFonts w:ascii="Times New Roman;serif" w:hAnsi="Times New Roman;serif"/>
          <w:b w:val="false"/>
          <w:color w:val="000000"/>
          <w:sz w:val="20"/>
        </w:rPr>
        <w:t>, and TandemHeart</w:t>
      </w:r>
      <w:r>
        <w:rPr>
          <w:color w:val="000000"/>
        </w:rPr>
        <w:t>™</w:t>
      </w:r>
      <w:r>
        <w:rPr>
          <w:rFonts w:ascii="Times New Roman;serif" w:hAnsi="Times New Roman;serif"/>
          <w:b w:val="false"/>
          <w:color w:val="000000"/>
          <w:sz w:val="20"/>
        </w:rPr>
        <w:t>.</w:t>
      </w:r>
    </w:p>
    <w:p>
      <w:pPr>
        <w:pStyle w:val="TextBody"/>
        <w:bidi w:val="0"/>
        <w:spacing w:lineRule="auto" w:line="300" w:before="0" w:after="120"/>
        <w:ind w:left="0" w:right="0" w:hanging="360"/>
        <w:jc w:val="both"/>
        <w:rPr/>
      </w:pPr>
      <w:r>
        <w:rPr>
          <w:color w:val="000000"/>
        </w:rPr>
        <w:t>•</w:t>
      </w:r>
      <w:r>
        <w:rPr>
          <w:rFonts w:ascii="Times New Roman;serif" w:hAnsi="Times New Roman;serif"/>
          <w:b w:val="false"/>
          <w:color w:val="000000"/>
          <w:sz w:val="20"/>
        </w:rPr>
        <w:t>Trademarks for LivaNova’s obstructive sleep apnea system: ImThera</w:t>
      </w:r>
      <w:r>
        <w:rPr>
          <w:color w:val="000000"/>
        </w:rPr>
        <w:t>™</w:t>
      </w:r>
      <w:r>
        <w:rPr>
          <w:rFonts w:ascii="Times New Roman;serif" w:hAnsi="Times New Roman;serif"/>
          <w:b w:val="false"/>
          <w:color w:val="000000"/>
          <w:sz w:val="20"/>
        </w:rPr>
        <w:t>, aura6000</w:t>
      </w:r>
      <w:r>
        <w:rPr>
          <w:color w:val="000000"/>
        </w:rPr>
        <w:t>™</w:t>
      </w:r>
      <w:r>
        <w:rPr>
          <w:rFonts w:ascii="Times New Roman;serif" w:hAnsi="Times New Roman;serif"/>
          <w:b w:val="false"/>
          <w:color w:val="000000"/>
          <w:sz w:val="20"/>
        </w:rPr>
        <w:t>, and PolySync</w:t>
      </w:r>
      <w:r>
        <w:rPr>
          <w:color w:val="000000"/>
        </w:rPr>
        <w:t>™</w:t>
      </w:r>
      <w:r>
        <w:rPr>
          <w:rFonts w:ascii="Times New Roman;serif" w:hAnsi="Times New Roman;serif"/>
          <w:b w:val="false"/>
          <w:color w:val="000000"/>
          <w:sz w:val="20"/>
        </w:rPr>
        <w:t>.</w:t>
      </w:r>
    </w:p>
    <w:p>
      <w:pPr>
        <w:pStyle w:val="TextBody"/>
        <w:bidi w:val="0"/>
        <w:spacing w:lineRule="auto" w:line="300" w:before="0" w:after="120"/>
        <w:jc w:val="both"/>
        <w:rPr/>
      </w:pPr>
      <w:r>
        <w:rPr>
          <w:rFonts w:ascii="Times New Roman;serif" w:hAnsi="Times New Roman;serif"/>
          <w:b w:val="false"/>
          <w:color w:val="000000"/>
          <w:sz w:val="20"/>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color w:val="000000"/>
        </w:rPr>
        <w:t xml:space="preserve">™ </w:t>
      </w:r>
      <w:r>
        <w:rPr>
          <w:rFonts w:ascii="Times New Roman;serif" w:hAnsi="Times New Roman;serif"/>
          <w:b w:val="false"/>
          <w:color w:val="000000"/>
          <w:sz w:val="20"/>
        </w:rPr>
        <w:t>symbol, but such references are not intended to indicate in any way that the Company will not assert, to the fullest extent under applicable law, LivaNova’s rights to these trademarks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120"/>
        <w:jc w:val="center"/>
        <w:rPr>
          <w:rFonts w:ascii="Times New Roman;serif" w:hAnsi="Times New Roman;serif"/>
          <w:b/>
          <w:color w:val="000000"/>
          <w:sz w:val="24"/>
        </w:rPr>
      </w:pPr>
      <w:r>
        <w:rPr>
          <w:rFonts w:ascii="Times New Roman;serif" w:hAnsi="Times New Roman;serif"/>
          <w:b/>
          <w:color w:val="000000"/>
          <w:sz w:val="24"/>
        </w:rPr>
        <w:t>CAUTIONARY NOTE ABOUT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risks associated with doing business globally, including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supply agreements,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factors that could cause LivaNova’s actual results to differ from projected results are described in: (1) “Part II, Item 1A. Risk Factors” and elsewhere in this Report and the Company’s other Quarterly Reports on Form 10-Q, (2) the Company’s 2025 Form 10-K, (3) the Company’s reports and registration statements filed with and furnished from time to time to the SEC, and (4) other announcements LivaNova makes from time to time.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three and six months ended June 30, 2026 are not necessarily indicative of future results, including the full fiscal year. Also refer to the Company’s “Annual Consolidated Financial Statements,” “Notes” thereto, “Management’s Discussion and Analysis of Financial Condition and Results of Operations,” and “Risk Factors” contained in LivaNova’s 2025 Form 10-K and in the Company’s Quarterly Reports on Form 10-Q.</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Financial Information and Currency of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of the financial information included in this Report has been prepared in accordance with U.S. GAAP. The reporting currency of the Company’s condensed consolidated financial statements is USD.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60"/>
        <w:jc w:val="both"/>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60"/>
        <w:jc w:val="both"/>
        <w:rPr>
          <w:rFonts w:ascii="Times New Roman;serif" w:hAnsi="Times New Roman;serif"/>
          <w:b/>
          <w:color w:val="000000"/>
          <w:sz w:val="24"/>
        </w:rPr>
      </w:pPr>
      <w:r>
        <w:rPr>
          <w:rFonts w:ascii="Times New Roman;serif" w:hAnsi="Times New Roman;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60"/>
        <w:jc w:val="center"/>
        <w:rPr>
          <w:rFonts w:ascii="Times New Roman;serif" w:hAnsi="Times New Roman;serif"/>
          <w:b/>
          <w:color w:val="000000"/>
          <w:sz w:val="24"/>
        </w:rPr>
      </w:pPr>
      <w:r>
        <w:rPr>
          <w:rFonts w:ascii="Times New Roman;serif" w:hAnsi="Times New Roman;serif"/>
          <w:b/>
          <w:color w:val="000000"/>
          <w:sz w:val="24"/>
        </w:rPr>
        <w:t>LIVANOVA PLC AND SUBSIDIARIES</w:t>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CONDENSED CONSOLIDATED STATEMENTS OF INCOME (LOSS)</w:t>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9882" w:type="dxa"/>
        <w:jc w:val="left"/>
        <w:tblInd w:w="0" w:type="dxa"/>
        <w:tblLayout w:type="fixed"/>
        <w:tblCellMar>
          <w:top w:w="28" w:type="dxa"/>
          <w:left w:w="28" w:type="dxa"/>
          <w:bottom w:w="28" w:type="dxa"/>
          <w:right w:w="28" w:type="dxa"/>
        </w:tblCellMar>
      </w:tblPr>
      <w:tblGrid>
        <w:gridCol w:w="1401"/>
        <w:gridCol w:w="1233"/>
        <w:gridCol w:w="12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SNIA environmental liability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income/(expense)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7975"/>
                <wp:effectExtent l="0" t="0" r="0" b="0"/>
                <wp:wrapNone/>
                <wp:docPr id="8" name="Frame7"/>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LIVANOVA PLC AND SUBSIDIARIES</w:t>
      </w:r>
    </w:p>
    <w:p>
      <w:pPr>
        <w:pStyle w:val="TextBody"/>
        <w:bidi w:val="0"/>
        <w:spacing w:lineRule="auto" w:line="240" w:before="0" w:after="60"/>
        <w:jc w:val="center"/>
        <w:rPr/>
      </w:pPr>
      <w:r>
        <w:rPr>
          <w:rFonts w:ascii="Times New Roman;serif" w:hAnsi="Times New Roman;serif"/>
          <w:b/>
          <w:color w:val="000000"/>
          <w:sz w:val="24"/>
        </w:rPr>
        <w:t>CONDENSED CONSOLIDATED STATEMENTS OF</w:t>
      </w:r>
      <w:r>
        <w:rPr>
          <w:color w:val="000000"/>
        </w:rPr>
        <w:t xml:space="preserve"> </w:t>
      </w:r>
      <w:r>
        <w:rPr>
          <w:rFonts w:ascii="Times New Roman;serif" w:hAnsi="Times New Roman;serif"/>
          <w:b/>
          <w:color w:val="000000"/>
          <w:sz w:val="24"/>
        </w:rPr>
        <w:t xml:space="preserve">COMPREHENSIVE INCOME (LOSS) </w:t>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(In thousands)</w:t>
      </w:r>
    </w:p>
    <w:tbl>
      <w:tblPr>
        <w:tblW w:w="9342" w:type="dxa"/>
        <w:jc w:val="left"/>
        <w:tblInd w:w="0" w:type="dxa"/>
        <w:tblLayout w:type="fixed"/>
        <w:tblCellMar>
          <w:top w:w="28" w:type="dxa"/>
          <w:left w:w="28" w:type="dxa"/>
          <w:bottom w:w="28" w:type="dxa"/>
          <w:right w:w="28" w:type="dxa"/>
        </w:tblCellMar>
      </w:tblPr>
      <w:tblGrid>
        <w:gridCol w:w="1244"/>
        <w:gridCol w:w="1091"/>
        <w:gridCol w:w="1100"/>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90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7975"/>
                <wp:effectExtent l="0" t="0" r="0" b="0"/>
                <wp:wrapNone/>
                <wp:docPr id="9" name="Frame8"/>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LIVANOVA PLC AND SUBSIDIARIES</w:t>
      </w:r>
    </w:p>
    <w:p>
      <w:pPr>
        <w:pStyle w:val="TextBody"/>
        <w:bidi w:val="0"/>
        <w:spacing w:lineRule="auto" w:line="240" w:before="0" w:after="60"/>
        <w:jc w:val="center"/>
        <w:rPr/>
      </w:pPr>
      <w:r>
        <w:rPr>
          <w:rFonts w:ascii="Times New Roman;serif" w:hAnsi="Times New Roman;serif"/>
          <w:b/>
          <w:color w:val="000000"/>
          <w:sz w:val="24"/>
        </w:rPr>
        <w:t>CONDENSED CONSOLIDATED</w:t>
      </w:r>
      <w:r>
        <w:rPr>
          <w:color w:val="000000"/>
        </w:rPr>
        <w:t xml:space="preserve"> </w:t>
      </w:r>
      <w:r>
        <w:rPr>
          <w:rFonts w:ascii="Times New Roman;serif" w:hAnsi="Times New Roman;serif"/>
          <w:b/>
          <w:color w:val="000000"/>
          <w:sz w:val="24"/>
        </w:rPr>
        <w:t>BALANCE SHEETS</w:t>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900"/>
        <w:gridCol w:w="2011"/>
        <w:gridCol w:w="2017"/>
        <w:gridCol w:w="109"/>
        <w:gridCol w:w="109"/>
        <w:gridCol w:w="109"/>
        <w:gridCol w:w="201"/>
        <w:gridCol w:w="896"/>
        <w:gridCol w:w="112"/>
        <w:gridCol w:w="109"/>
        <w:gridCol w:w="109"/>
        <w:gridCol w:w="109"/>
        <w:gridCol w:w="226"/>
        <w:gridCol w:w="1006"/>
        <w:gridCol w:w="182"/>
      </w:tblGrid>
      <w:tr>
        <w:trPr/>
        <w:tc>
          <w:tcPr>
            <w:tcW w:w="2900"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$10,720 as of June 30, 2026 and $12,527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refundable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6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1,025,045 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1,101,613 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2,640,861 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2,606,053 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SNIA environmental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litigation provision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707,004 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808,072 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employee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1,315,539 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1,406,066 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Ordinary Shares, £1.00 par value: Unlimited shares authorized; 55,601,145 shares issued and 55,051,768 shares outstanding as of June 30, 2026; 55,535,181 shares issued and 54,649,085 shares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2,270,699 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2,254,980 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Treasury shares at cost, 549,377 ordinary shares as of June 30, 2026; 886,096 ordinary shares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1,325,322 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1,199,987 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2,640,861 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2,606,053 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7975"/>
                <wp:effectExtent l="0" t="0" r="0" b="0"/>
                <wp:wrapNone/>
                <wp:docPr id="10" name="Frame9"/>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LIVANOVA PLC AND SUBSIDIARIES</w:t>
      </w:r>
    </w:p>
    <w:p>
      <w:pPr>
        <w:pStyle w:val="TextBody"/>
        <w:bidi w:val="0"/>
        <w:spacing w:lineRule="auto" w:line="240" w:before="0" w:after="60"/>
        <w:jc w:val="center"/>
        <w:rPr/>
      </w:pPr>
      <w:r>
        <w:rPr>
          <w:rFonts w:ascii="Times New Roman;serif" w:hAnsi="Times New Roman;serif"/>
          <w:b/>
          <w:color w:val="000000"/>
          <w:sz w:val="24"/>
        </w:rPr>
        <w:t>CONDENSED CONSOLIDATED STATEMENTS OF</w:t>
      </w:r>
      <w:r>
        <w:rPr>
          <w:color w:val="000000"/>
        </w:rPr>
        <w:t xml:space="preserve"> </w:t>
      </w:r>
      <w:r>
        <w:rPr>
          <w:rFonts w:ascii="Times New Roman;serif" w:hAnsi="Times New Roman;serif"/>
          <w:b/>
          <w:color w:val="000000"/>
          <w:sz w:val="24"/>
        </w:rPr>
        <w:t>CASH FLOWS</w:t>
      </w:r>
    </w:p>
    <w:p>
      <w:pPr>
        <w:pStyle w:val="TextBody"/>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(In thousands)</w:t>
      </w:r>
    </w:p>
    <w:tbl>
      <w:tblPr>
        <w:tblW w:w="9096" w:type="dxa"/>
        <w:jc w:val="left"/>
        <w:tblInd w:w="0" w:type="dxa"/>
        <w:tblLayout w:type="fixed"/>
        <w:tblCellMar>
          <w:top w:w="28" w:type="dxa"/>
          <w:left w:w="28" w:type="dxa"/>
          <w:bottom w:w="28" w:type="dxa"/>
          <w:right w:w="28" w:type="dxa"/>
        </w:tblCellMar>
      </w:tblPr>
      <w:tblGrid>
        <w:gridCol w:w="2259"/>
        <w:gridCol w:w="1989"/>
        <w:gridCol w:w="1992"/>
        <w:gridCol w:w="109"/>
        <w:gridCol w:w="109"/>
        <w:gridCol w:w="109"/>
        <w:gridCol w:w="196"/>
        <w:gridCol w:w="736"/>
        <w:gridCol w:w="109"/>
        <w:gridCol w:w="109"/>
        <w:gridCol w:w="109"/>
        <w:gridCol w:w="109"/>
        <w:gridCol w:w="196"/>
        <w:gridCol w:w="811"/>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contingent consideration to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investment revaluation - Ceribell,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provision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SNIA environmental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(129,918)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593,638 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7975"/>
                <wp:effectExtent l="0" t="0" r="0" b="0"/>
                <wp:wrapNone/>
                <wp:docPr id="11" name="Frame10"/>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LIVANOVA PLC AND SUBSIDIARIES</w:t>
      </w:r>
    </w:p>
    <w:p>
      <w:pPr>
        <w:pStyle w:val="TextBody"/>
        <w:bidi w:val="0"/>
        <w:spacing w:lineRule="auto" w:line="288" w:before="0" w:after="0"/>
        <w:jc w:val="center"/>
        <w:rPr/>
      </w:pPr>
      <w:r>
        <w:rPr>
          <w:rFonts w:ascii="Times New Roman;serif" w:hAnsi="Times New Roman;serif"/>
          <w:b/>
          <w:color w:val="000000"/>
          <w:sz w:val="24"/>
        </w:rPr>
        <w:t>NOTES</w:t>
      </w:r>
      <w:r>
        <w:rPr>
          <w:color w:val="000000"/>
        </w:rPr>
        <w:t xml:space="preserve"> </w:t>
      </w:r>
      <w:r>
        <w:rPr>
          <w:rFonts w:ascii="Times New Roman;serif" w:hAnsi="Times New Roman;serif"/>
          <w:b/>
          <w:color w:val="000000"/>
          <w:sz w:val="24"/>
        </w:rPr>
        <w:t>TO THE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 xml:space="preserve">Note 1. Unaudited Condensed Consolidated Financial Statements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Basis of Presentation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LivaNova and the notes thereto as of and for the three and six months ended June 30, 2026 and 2025 have been prepared in accordance with U.S. GAAP for interim financial information and the instructions to Form 10-Q and Article 10 of Regulation S-X. The accompanying condensed consolidated balance sheet of LivaNova as of December 31, 2025 has been derived from audited consolidated financial statements contained in LivaNova’s 2025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2026, and are not necessarily indicative of the results that may be expected for the year ending December 31, 2026. The financial information presented herein should be read in conjunction with the audited consolidated financial statements and notes thereto accompanying LivaNova’s 2025 Form 10-K. The Company has reclassified certain prior period amounts on the condensed consolidated statements of income (loss) and the condensed consolidated statements of cash flows for comparative purposes.</w:t>
      </w:r>
    </w:p>
    <w:p>
      <w:pPr>
        <w:pStyle w:val="TextBody"/>
        <w:bidi w:val="0"/>
        <w:spacing w:lineRule="auto" w:line="300" w:before="120" w:after="120"/>
        <w:jc w:val="both"/>
        <w:rPr>
          <w:rFonts w:ascii="Times New Roman;serif" w:hAnsi="Times New Roman;serif"/>
          <w:b w:val="false"/>
          <w:color w:val="000000"/>
          <w:sz w:val="22"/>
        </w:rPr>
      </w:pPr>
      <w:r>
        <w:rPr>
          <w:rFonts w:ascii="Times New Roman;serif" w:hAnsi="Times New Roman;serif"/>
          <w:b w:val="false"/>
          <w:color w:val="000000"/>
          <w:sz w:val="22"/>
        </w:rPr>
        <w:t>Significant Accounting Policies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LivaNova’s significant accounting policies are included within “Note 2. Basis of Presentation, Use of Accounting Estimates, and Significant Accounting Policies” and “Note 3. Revenue Recognition” of LivaNova’s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 xml:space="preserve">Note 2. Intangible Assets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Upon receiving PMA from the FDA for the aura6000 System in March 2026, LivaNova reclassified its indefinite-lived IPR&amp;D intangible asset of $112.0 million from the acquisition of ImThera to a finite-lived developed technology intangible asset and commenced amortization over an estimated useful life of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Note 3. Derivatives and Risk Management</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Due to the global nature of LivaNova’s operations, the Company is exposed to FX fluctuations. LivaNova enters into FX derivative contracts to reduce the impact of FX fluctuations on earnings and cash flow.</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is also exposed to equity price risk in connection with its 2029 Notes, including exchange/conversion and settlement provisions based on the price of its ordinary shares at exchange/conversion or maturity of the 2029 Notes. The 2029 Capped Calls associated with the 2029 Notes also include settlement provisions that are based on the price of LivaNova’s ordinary shares, subject to a capped price per share.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These derivatives are intended to serve as economic hedges and follow the cash flows of the economic hedged item. LivaNova does not enter into derivative contracts for speculative purposes.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had no designated hedging instruments as of June 30, 2026 and December 31, 2025.</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Freestanding FX Derivatives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uses freestanding derivative forward contracts to offset the variability of the value associated with intercompany loans denominated in a foreign currency. The gross notional amount of freestanding FX derivative contracts outstanding as of June 30, 2026 and December 31, 2025 was $155.6 million and $113.2 million, respectively. From freestanding derivatives, LivaNova recorded net losses of $1.8 million and net gains of $15.0 million for the three months ended June 30, 2026 and 2025, respectively, and net losses of $4.0 million and net gains of $25.4 million for the six months ended June 30, 2026, and 2025, respectively. These amounts, together with foreign currency remeasurement gains and losses on the underlying intercompany loans, are included in foreign exchange and other income/(expense) in LivaNova’s condensed consolidated statements of income (loss).</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Capped Call Derivatives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at fair value using the Black-Scholes model utilizing observable and unobservable market data, including share price, remaining contractual term, expected volatility, risk-free interest rate, and expected dividend yield, as applicable. For additional information, refer to “Note 4. Fair Value Measurements,” and “Note 12. Supplemental Financial Information.”</w:t>
      </w:r>
    </w:p>
    <w:p>
      <w:pPr>
        <w:pStyle w:val="TextBody"/>
        <w:bidi w:val="0"/>
        <w:spacing w:lineRule="auto" w:line="300" w:before="0" w:after="120"/>
        <w:jc w:val="both"/>
        <w:rPr>
          <w:rFonts w:ascii="Times New Roman;serif" w:hAnsi="Times New Roman;serif"/>
          <w:b w:val="false"/>
          <w:i/>
          <w:color w:val="000000"/>
          <w:sz w:val="22"/>
        </w:rPr>
      </w:pPr>
      <w:r>
        <w:rPr>
          <w:rFonts w:ascii="Times New Roman;serif" w:hAnsi="Times New Roman;serif"/>
          <w:b w:val="false"/>
          <w:i/>
          <w:color w:val="000000"/>
          <w:sz w:val="22"/>
        </w:rPr>
        <w:t>2029 Capped Calls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w:t>
      </w:r>
    </w:p>
    <w:p>
      <w:pPr>
        <w:pStyle w:val="TextBody"/>
        <w:bidi w:val="0"/>
        <w:spacing w:lineRule="auto" w:line="300" w:before="0" w:after="120"/>
        <w:jc w:val="both"/>
        <w:rPr>
          <w:rFonts w:ascii="Times New Roman;serif" w:hAnsi="Times New Roman;serif"/>
          <w:b w:val="false"/>
          <w:i/>
          <w:color w:val="000000"/>
          <w:sz w:val="22"/>
        </w:rPr>
      </w:pPr>
      <w:r>
        <w:rPr>
          <w:rFonts w:ascii="Times New Roman;serif" w:hAnsi="Times New Roman;serif"/>
          <w:b w:val="false"/>
          <w:i/>
          <w:color w:val="000000"/>
          <w:sz w:val="22"/>
        </w:rPr>
        <w:t>2025 Capped Calls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subject to certain adjustments, corresponded to the initial exchange price of the 2025 Notes. The 2025 Capped Calls were intended to offset any cash payments upon exchange of the 2025 Notes in excess of the principal amount.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remaining 2025 Capped Calls expired with a fair value of zero on December 15, 2025.</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Embedded Derivatives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2025 Notes included, and the 2029 Notes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 For additional information, refer to “Note 12. Supplemental Financial Information.”</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Balance Sheet Presentation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and the location of derivative contracts reported on the condensed consolidated balance sheets (in thousands):</w:t>
      </w:r>
    </w:p>
    <w:tbl>
      <w:tblPr>
        <w:tblW w:w="10205" w:type="dxa"/>
        <w:jc w:val="left"/>
        <w:tblInd w:w="0" w:type="dxa"/>
        <w:tblLayout w:type="fixed"/>
        <w:tblCellMar>
          <w:top w:w="28" w:type="dxa"/>
          <w:left w:w="28" w:type="dxa"/>
          <w:bottom w:w="28" w:type="dxa"/>
          <w:right w:w="28" w:type="dxa"/>
        </w:tblCellMar>
      </w:tblPr>
      <w:tblGrid>
        <w:gridCol w:w="1151"/>
        <w:gridCol w:w="806"/>
        <w:gridCol w:w="790"/>
        <w:gridCol w:w="109"/>
        <w:gridCol w:w="109"/>
        <w:gridCol w:w="109"/>
        <w:gridCol w:w="737"/>
        <w:gridCol w:w="689"/>
        <w:gridCol w:w="691"/>
        <w:gridCol w:w="109"/>
        <w:gridCol w:w="109"/>
        <w:gridCol w:w="109"/>
        <w:gridCol w:w="211"/>
        <w:gridCol w:w="721"/>
        <w:gridCol w:w="109"/>
        <w:gridCol w:w="109"/>
        <w:gridCol w:w="109"/>
        <w:gridCol w:w="109"/>
        <w:gridCol w:w="615"/>
        <w:gridCol w:w="567"/>
        <w:gridCol w:w="569"/>
        <w:gridCol w:w="112"/>
        <w:gridCol w:w="112"/>
        <w:gridCol w:w="112"/>
        <w:gridCol w:w="217"/>
        <w:gridCol w:w="851"/>
        <w:gridCol w:w="164"/>
      </w:tblGrid>
      <w:tr>
        <w:trPr/>
        <w:tc>
          <w:tcPr>
            <w:tcW w:w="11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Embedded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derivative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5"/>
        <w:gridCol w:w="869"/>
        <w:gridCol w:w="873"/>
        <w:gridCol w:w="109"/>
        <w:gridCol w:w="109"/>
        <w:gridCol w:w="109"/>
        <w:gridCol w:w="743"/>
        <w:gridCol w:w="696"/>
        <w:gridCol w:w="698"/>
        <w:gridCol w:w="109"/>
        <w:gridCol w:w="109"/>
        <w:gridCol w:w="109"/>
        <w:gridCol w:w="211"/>
        <w:gridCol w:w="721"/>
        <w:gridCol w:w="109"/>
        <w:gridCol w:w="109"/>
        <w:gridCol w:w="109"/>
        <w:gridCol w:w="109"/>
        <w:gridCol w:w="619"/>
        <w:gridCol w:w="572"/>
        <w:gridCol w:w="574"/>
        <w:gridCol w:w="115"/>
        <w:gridCol w:w="115"/>
        <w:gridCol w:w="115"/>
        <w:gridCol w:w="223"/>
        <w:gridCol w:w="765"/>
        <w:gridCol w:w="171"/>
      </w:tblGrid>
      <w:tr>
        <w:trPr/>
        <w:tc>
          <w:tcPr>
            <w:tcW w:w="103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7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Embedded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derivative liabilities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84,003 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Note 4. Fair Value Measurements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for the six months ended June 30, 2026 and 2025.</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Assets and Liabilities Measured at Fair Value on a Recurring Basis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level in the fair value hierarchy at which the Company’s assets and liabilities are measured on a recurring basis (in thousands):</w:t>
      </w:r>
    </w:p>
    <w:tbl>
      <w:tblPr>
        <w:tblW w:w="10205" w:type="dxa"/>
        <w:jc w:val="left"/>
        <w:tblInd w:w="0" w:type="dxa"/>
        <w:tblLayout w:type="fixed"/>
        <w:tblCellMar>
          <w:top w:w="28" w:type="dxa"/>
          <w:left w:w="28" w:type="dxa"/>
          <w:bottom w:w="28" w:type="dxa"/>
          <w:right w:w="28" w:type="dxa"/>
        </w:tblCellMar>
      </w:tblPr>
      <w:tblGrid>
        <w:gridCol w:w="1413"/>
        <w:gridCol w:w="1239"/>
        <w:gridCol w:w="1245"/>
        <w:gridCol w:w="109"/>
        <w:gridCol w:w="109"/>
        <w:gridCol w:w="109"/>
        <w:gridCol w:w="211"/>
        <w:gridCol w:w="826"/>
        <w:gridCol w:w="109"/>
        <w:gridCol w:w="109"/>
        <w:gridCol w:w="109"/>
        <w:gridCol w:w="109"/>
        <w:gridCol w:w="283"/>
        <w:gridCol w:w="545"/>
        <w:gridCol w:w="146"/>
        <w:gridCol w:w="146"/>
        <w:gridCol w:w="146"/>
        <w:gridCol w:w="146"/>
        <w:gridCol w:w="283"/>
        <w:gridCol w:w="626"/>
        <w:gridCol w:w="146"/>
        <w:gridCol w:w="146"/>
        <w:gridCol w:w="146"/>
        <w:gridCol w:w="146"/>
        <w:gridCol w:w="283"/>
        <w:gridCol w:w="1109"/>
        <w:gridCol w:w="211"/>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 Inputs Considered as:</w:t>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freestanding instruments (FX)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assets - 2029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convertible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liabilities - freestanding instruments (FX)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liabilities - 2029 Embedded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ImThera 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195,025 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28"/>
        <w:gridCol w:w="1224"/>
        <w:gridCol w:w="1229"/>
        <w:gridCol w:w="109"/>
        <w:gridCol w:w="109"/>
        <w:gridCol w:w="109"/>
        <w:gridCol w:w="211"/>
        <w:gridCol w:w="826"/>
        <w:gridCol w:w="109"/>
        <w:gridCol w:w="109"/>
        <w:gridCol w:w="109"/>
        <w:gridCol w:w="109"/>
        <w:gridCol w:w="284"/>
        <w:gridCol w:w="547"/>
        <w:gridCol w:w="146"/>
        <w:gridCol w:w="146"/>
        <w:gridCol w:w="146"/>
        <w:gridCol w:w="146"/>
        <w:gridCol w:w="284"/>
        <w:gridCol w:w="629"/>
        <w:gridCol w:w="146"/>
        <w:gridCol w:w="146"/>
        <w:gridCol w:w="146"/>
        <w:gridCol w:w="146"/>
        <w:gridCol w:w="284"/>
        <w:gridCol w:w="1115"/>
        <w:gridCol w:w="213"/>
      </w:tblGrid>
      <w:tr>
        <w:trPr/>
        <w:tc>
          <w:tcPr>
            <w:tcW w:w="142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w:t>
            </w:r>
            <w:r>
              <w:rPr>
                <w:color w:val="000000"/>
              </w:rPr>
              <w:t> </w:t>
            </w:r>
            <w:r>
              <w:rPr>
                <w:rFonts w:ascii="Times New Roman;serif" w:hAnsi="Times New Roman;serif"/>
                <w:b/>
                <w:color w:val="000000"/>
                <w:sz w:val="20"/>
              </w:rPr>
              <w:t>Value Measurements Using Inputs Considered as:</w:t>
            </w:r>
          </w:p>
        </w:tc>
      </w:tr>
      <w:tr>
        <w:trPr/>
        <w:tc>
          <w:tcPr>
            <w:tcW w:w="3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freestanding instruments (FX)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assets - 2029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convertible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39,551 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liabilities - freestanding instruments (FX)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liabilities - 2029 Embedded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ImThera 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175,979 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Reconciliation of Level 3 Assets and Liabilities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reconciliations of recurring fair value measurements that use significant unobservable inputs (Level 3) (in thousands):</w:t>
      </w:r>
    </w:p>
    <w:tbl>
      <w:tblPr>
        <w:tblW w:w="10205" w:type="dxa"/>
        <w:jc w:val="left"/>
        <w:tblInd w:w="0" w:type="dxa"/>
        <w:tblLayout w:type="fixed"/>
        <w:tblCellMar>
          <w:top w:w="28" w:type="dxa"/>
          <w:left w:w="28" w:type="dxa"/>
          <w:bottom w:w="28" w:type="dxa"/>
          <w:right w:w="28" w:type="dxa"/>
        </w:tblCellMar>
      </w:tblPr>
      <w:tblGrid>
        <w:gridCol w:w="511"/>
        <w:gridCol w:w="336"/>
        <w:gridCol w:w="340"/>
        <w:gridCol w:w="109"/>
        <w:gridCol w:w="109"/>
        <w:gridCol w:w="109"/>
        <w:gridCol w:w="341"/>
        <w:gridCol w:w="1166"/>
        <w:gridCol w:w="176"/>
        <w:gridCol w:w="109"/>
        <w:gridCol w:w="109"/>
        <w:gridCol w:w="109"/>
        <w:gridCol w:w="387"/>
        <w:gridCol w:w="1135"/>
        <w:gridCol w:w="202"/>
        <w:gridCol w:w="109"/>
        <w:gridCol w:w="109"/>
        <w:gridCol w:w="109"/>
        <w:gridCol w:w="370"/>
        <w:gridCol w:w="1452"/>
        <w:gridCol w:w="191"/>
        <w:gridCol w:w="109"/>
        <w:gridCol w:w="109"/>
        <w:gridCol w:w="109"/>
        <w:gridCol w:w="404"/>
        <w:gridCol w:w="1584"/>
        <w:gridCol w:w="302"/>
      </w:tblGrid>
      <w:tr>
        <w:trPr/>
        <w:tc>
          <w:tcPr>
            <w:tcW w:w="5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- 2029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in Convertible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- 2029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ImThera Contingent Consideration Arrangements Liability</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93,254 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fair value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152,904 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8"/>
        <w:gridCol w:w="278"/>
        <w:gridCol w:w="281"/>
        <w:gridCol w:w="109"/>
        <w:gridCol w:w="109"/>
        <w:gridCol w:w="109"/>
        <w:gridCol w:w="295"/>
        <w:gridCol w:w="862"/>
        <w:gridCol w:w="152"/>
        <w:gridCol w:w="109"/>
        <w:gridCol w:w="109"/>
        <w:gridCol w:w="109"/>
        <w:gridCol w:w="283"/>
        <w:gridCol w:w="968"/>
        <w:gridCol w:w="146"/>
        <w:gridCol w:w="109"/>
        <w:gridCol w:w="109"/>
        <w:gridCol w:w="109"/>
        <w:gridCol w:w="329"/>
        <w:gridCol w:w="961"/>
        <w:gridCol w:w="171"/>
        <w:gridCol w:w="109"/>
        <w:gridCol w:w="109"/>
        <w:gridCol w:w="109"/>
        <w:gridCol w:w="312"/>
        <w:gridCol w:w="1067"/>
        <w:gridCol w:w="161"/>
        <w:gridCol w:w="109"/>
        <w:gridCol w:w="109"/>
        <w:gridCol w:w="109"/>
        <w:gridCol w:w="355"/>
        <w:gridCol w:w="1215"/>
        <w:gridCol w:w="266"/>
      </w:tblGrid>
      <w:tr>
        <w:trPr/>
        <w:tc>
          <w:tcPr>
            <w:tcW w:w="4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- 2025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- 2029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- 2025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- 2029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ImThera Contingent Consideration Arrangements Liability</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fair value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21,658 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87,927 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4"/>
        <w:gridCol w:w="399"/>
        <w:gridCol w:w="401"/>
        <w:gridCol w:w="109"/>
        <w:gridCol w:w="109"/>
        <w:gridCol w:w="109"/>
        <w:gridCol w:w="338"/>
        <w:gridCol w:w="1157"/>
        <w:gridCol w:w="174"/>
        <w:gridCol w:w="109"/>
        <w:gridCol w:w="109"/>
        <w:gridCol w:w="109"/>
        <w:gridCol w:w="384"/>
        <w:gridCol w:w="1125"/>
        <w:gridCol w:w="200"/>
        <w:gridCol w:w="109"/>
        <w:gridCol w:w="109"/>
        <w:gridCol w:w="109"/>
        <w:gridCol w:w="367"/>
        <w:gridCol w:w="1439"/>
        <w:gridCol w:w="189"/>
        <w:gridCol w:w="109"/>
        <w:gridCol w:w="109"/>
        <w:gridCol w:w="109"/>
        <w:gridCol w:w="439"/>
        <w:gridCol w:w="1502"/>
        <w:gridCol w:w="329"/>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- 2029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in Convertible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- 2029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ImThera Contingent Consideration Arrangements Liability</w:t>
            </w:r>
          </w:p>
        </w:tc>
      </w:tr>
      <w:tr>
        <w:trPr/>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92,075 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fair value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57,293 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152,904 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1"/>
        <w:gridCol w:w="352"/>
        <w:gridCol w:w="354"/>
        <w:gridCol w:w="109"/>
        <w:gridCol w:w="109"/>
        <w:gridCol w:w="109"/>
        <w:gridCol w:w="292"/>
        <w:gridCol w:w="854"/>
        <w:gridCol w:w="151"/>
        <w:gridCol w:w="109"/>
        <w:gridCol w:w="109"/>
        <w:gridCol w:w="109"/>
        <w:gridCol w:w="280"/>
        <w:gridCol w:w="960"/>
        <w:gridCol w:w="145"/>
        <w:gridCol w:w="109"/>
        <w:gridCol w:w="109"/>
        <w:gridCol w:w="109"/>
        <w:gridCol w:w="325"/>
        <w:gridCol w:w="949"/>
        <w:gridCol w:w="169"/>
        <w:gridCol w:w="109"/>
        <w:gridCol w:w="109"/>
        <w:gridCol w:w="109"/>
        <w:gridCol w:w="308"/>
        <w:gridCol w:w="1055"/>
        <w:gridCol w:w="159"/>
        <w:gridCol w:w="109"/>
        <w:gridCol w:w="109"/>
        <w:gridCol w:w="109"/>
        <w:gridCol w:w="351"/>
        <w:gridCol w:w="1201"/>
        <w:gridCol w:w="264"/>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- 2025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Assets - 2029 Capped Calls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- 2025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Derivative Liabilities - 2029 Embedded Derivative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ImThera Contingent Consideration Arrangements Liability</w:t>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84,218 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fair value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87,927 </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Gains and losses are recorded in foreign exchange and other income/(expense) in the condensed consolidated statements of income (loss).</w:t>
      </w:r>
    </w:p>
    <w:p>
      <w:pPr>
        <w:pStyle w:val="TextBody"/>
        <w:bidi w:val="0"/>
        <w:spacing w:lineRule="auto" w:line="300"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For the three months ended June 30, 2026, the contingent consideration changes in fair value resulted in a decrease of $1.0 million and an increase of $0.8 million recorded to cost of sales and R&amp;D, respectively. For the comparable 2025 period, the contingent consideration changes in fair value resulted in increases of $1.5 million and $1.2 million recorded to cost of sales and R&amp;D, respectively. For the six months ended June 30, 2026, the contingent consideration changes in fair value resulted in increases of $0.1 million and $10.4 million recorded to cost of sales and R&amp;D, respectively. For the comparable 2025 period, the contingent consideration changes in fair value resulted in increases of $1.8 million and $1.9 million recorded to cost of sales and R&amp;D, respectively.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Share Price Volatility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share price volatility utilized in determining the fair value of LivaNova’s 2029 Capped Call derivative assets and 2029 Embedded Derivative liability as of June 30, 2026 was 37%. In general, an increase in LivaNova’s share price or share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(loss) depends on how significant inputs, such as share price volatility, and time to the expiration of the derivatives, change in relation to other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Contingent Consideration Arrangements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ImThera acquisition involved contingent consideration arrangements comprised of potential cash payments upon the achievement of a certain regulatory milestone and a sales-based earnout associated with sales of products. In March 2026, the Company received PMA from the FDA for the aura6000 System, thereby achieving the regulatory milestone and, in June 2026, paid $60.5 million, fully satisfying the related regulatory-based contingent consideration liability. Of this payment, $10.0 million was classified as an operating cash outflow in the condensed consolidated statements of cash flows, representing the portion of the payment that exceeded the acquisition-date fair value of the liability, with the remainder classified as a financing cash outflow on the condensed consolidated statements of cash flows. The remaining sales-based earnout is valued using projected sales from LivaNova’s internal strategic plan. These arrangements are Level 3 fair value measurements. The table below presents the significant unobservable inputs of the sales-based earnout arrangement from the ImThera acquisition as of June 30, 2026:</w:t>
      </w:r>
    </w:p>
    <w:tbl>
      <w:tblPr>
        <w:tblW w:w="6421" w:type="dxa"/>
        <w:jc w:val="left"/>
        <w:tblInd w:w="0" w:type="dxa"/>
        <w:tblLayout w:type="fixed"/>
        <w:tblCellMar>
          <w:top w:w="28" w:type="dxa"/>
          <w:left w:w="28" w:type="dxa"/>
          <w:bottom w:w="28" w:type="dxa"/>
          <w:right w:w="28" w:type="dxa"/>
        </w:tblCellMar>
      </w:tblPr>
      <w:tblGrid>
        <w:gridCol w:w="124"/>
        <w:gridCol w:w="109"/>
        <w:gridCol w:w="689"/>
        <w:gridCol w:w="689"/>
        <w:gridCol w:w="691"/>
        <w:gridCol w:w="109"/>
        <w:gridCol w:w="109"/>
        <w:gridCol w:w="109"/>
        <w:gridCol w:w="774"/>
        <w:gridCol w:w="774"/>
        <w:gridCol w:w="777"/>
        <w:gridCol w:w="109"/>
        <w:gridCol w:w="109"/>
        <w:gridCol w:w="109"/>
        <w:gridCol w:w="334"/>
        <w:gridCol w:w="334"/>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Monte-Carlo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risk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 - 7.4%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payment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2028 - 2030</w:t>
            </w:r>
          </w:p>
        </w:tc>
      </w:tr>
    </w:tbl>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Other</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value of LivaNova’s long-term debt, including the current portion as of June 30, 2026 and December 31, 2025, was $290.1 million and $376.1 million, respectively. The fair value of the 2029 Notes, excluding the conversion feature, as of June 30, 2026 and December 31, 2025, was $312.0 million and $315.2 million, respectively. The fair value was estimated using a discounted cash flow model and is classified as Level 2 within the fair value hierarchy. For all other long-term debt obligations, LivaNova believes the carrying value approximates fair value. The fair values and principal values consider the terms of the related debt and exclude the impacts of debt discounts and hedging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Note 5. Financing Arrangements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LivaNova’s long-term debt obligations (in thousands):</w:t>
      </w:r>
    </w:p>
    <w:tbl>
      <w:tblPr>
        <w:tblW w:w="9931" w:type="dxa"/>
        <w:jc w:val="left"/>
        <w:tblInd w:w="0" w:type="dxa"/>
        <w:tblLayout w:type="fixed"/>
        <w:tblCellMar>
          <w:top w:w="28" w:type="dxa"/>
          <w:left w:w="28" w:type="dxa"/>
          <w:bottom w:w="28" w:type="dxa"/>
          <w:right w:w="28" w:type="dxa"/>
        </w:tblCellMar>
      </w:tblPr>
      <w:tblGrid>
        <w:gridCol w:w="1195"/>
        <w:gridCol w:w="1047"/>
        <w:gridCol w:w="1058"/>
        <w:gridCol w:w="109"/>
        <w:gridCol w:w="109"/>
        <w:gridCol w:w="109"/>
        <w:gridCol w:w="234"/>
        <w:gridCol w:w="919"/>
        <w:gridCol w:w="121"/>
        <w:gridCol w:w="109"/>
        <w:gridCol w:w="109"/>
        <w:gridCol w:w="109"/>
        <w:gridCol w:w="317"/>
        <w:gridCol w:w="1244"/>
        <w:gridCol w:w="164"/>
        <w:gridCol w:w="109"/>
        <w:gridCol w:w="109"/>
        <w:gridCol w:w="109"/>
        <w:gridCol w:w="364"/>
        <w:gridCol w:w="364"/>
        <w:gridCol w:w="366"/>
        <w:gridCol w:w="109"/>
        <w:gridCol w:w="109"/>
        <w:gridCol w:w="109"/>
        <w:gridCol w:w="360"/>
        <w:gridCol w:w="360"/>
        <w:gridCol w:w="510"/>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376,063 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289,908 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345,185 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Revolving Credit and Term Facilities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outstanding principal amount of LivaNova’s short-term unsecured revolving credit agreements and other agreements with various banks was $3.4 million and $0.6 million as of June 30, 2026 and December 31, 2025, respectively, with an interest rate of 5.42% as of June 30, 2026.</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On March 8, 2024, LivaNova and LivaNova USA entered into Incremental Facility Amendment No. 3, which provides for LivaNova USA to obtain revolving commitments in an aggregate principal amount of $225.0 million, and matures on March 8, 2029. There were no outstanding borrowings under the revolving facilities under the 2021 First Lien Credit Agreement as of June 30, 2026 and December 31, 2025. As of both June 30, 2026 and December 31, 2025, the applicable commitment fee percentage was 0.25% per annum. As of June 30, 2026, the Company was in compliance with the financial covenants contained in the 2021 First Lien Credit Agreement.</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 2025, LivaNova made a $200.0 million early repayment of principal under the Term Facilities. This repayment resulted in a loss on debt extinguishment of $2.7 million recognized for the three and six months ended June 30, 2025, associated with the write-off of unamortized debt issuance costs. On January 8, 2026, LivaNova made a $95.9 million early repayment of the remaining outstanding balance under the Term Facilities. This repayment resulted in a loss on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extinguishment of $0.9 million recognized for the six months ended June 30, 2026, associated with the write-off of the remaining unamortized debt issuance costs. Loss on debt extinguishment is included in interest expense in the condensed consolidated statements of income (loss).</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2029 Notes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of the 2029 Notes was 9.84% as of June 30, 2026. The unamortized debt discount and issuance costs related to the 2029 Notes as of June 30, 2026 and December 31, 2025 were $60.1 million and $69.4 million, respectively. The initial conversion rate for the 2029 Notes is 14.4085 ordinary shares per $1,000 principal amount of notes, which is equivalent to an initial conversion price of $69.40 per share. Although the Company’s ordinary share price met or exceeded the initial conversion price during portions of the quarter and through the filing date, the conditions required for conversion were not met as of June 30, 2026. Under the terms of the indenture, holders may convert the 2029 Notes during a calendar quarter only if, among other circumstances, the last reported sale price of the Company’s ordinary shares equals or exceeds 130% of the conversion price, or $90.22 per share, for at least 20 trading days (whether or not consecutive) during a period of 30 consecutive trading days ending on the last trading day of the immediately preceding calendar quarter. Accordingly, the Company included its obligations from the 2029 Notes and the associated embedded derivative as long-term liabilities in the condensed consolidated balance sheet as of June 30, 2026, and the 2029 Notes are not convertible for the three months ending September 30, 2026. For additional information regarding the 2029 Notes and related 2029 Capped Calls, refer to LivaNova’s 2025 Form 10-K and “Note 3. Derivatives and 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 xml:space="preserve">Note 6. Commitments and Contingencies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Saluggia Site Hazardous Substances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June 30, 2026 was $41.5 million (€36.4 million), which represented the estimated low end of the range of loss, with an estimated maximum end of the range of loss of $52.4 million (€46.0 million). The estimated liability as of December 31, 2025 was $41.8 million (€35.6 million).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SNIA Environmental Litigation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Sorin was created as a result of a spin-off from SNIA in 2004. SNIA subsequently became insolvent, and the Public Administrations sought compensation from SNIA in an aggregate amount of approximately $3.9 billion for remediation costs relating to the environmental damage at chemical sites previously operated by SNIA’s other subsidiaries. 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2015, Sorin was merged into LivaNova.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2016, the Court of Milan dismissed all legal actions of SNIA and of the Public Administrations, further requiring the Public Administrations to pay Sorin €292,000 ($332,820 as of June 30, 2026) for legal fees. The Public Administrations appealed the 2016 Decision to the Court of Appeal. In March 2019, the Court of Appeal issued a partial decision on the merits declaring LivaNova jointly liable with SNIA for SNIA’s environmental liabilities in an amount up to the fair value of the net worth received by Sorin because of the spin-off of Sorin from SNIA in 2004, an estimated €572.1 million ($652.1 million as of June 30, 2026). LivaNova appealed the partial decision on liability to the Italian Supreme Court in August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2021, the Court of Appeal delivered the remainder of its decision, ordering LivaNova to pay damages of €453.6 million ($517.0 million as of June 30, 2026). LivaNova appealed the decision on damages in December 2021. In February 2022, the Court of Appeal notified the Company that it granted the Company a suspension with respect to the payment of damages until a decision was reached on the appeal to the Italian Supreme Court, subject to LivaNova providing a first demand bank guarantee of €270.0 million ($307.7 million as of June 30, 2026); LivaNova delivered the SNIA Litigation Guarantee in March 2022.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November 2022, the Italian Supreme Court issued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In July 2024, the ECJ issued a judgment, stating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($179.2 million as of June 30, 2026). The case was referred back to the Court of Appeal to implement the decisions respecting costs and damages in accordance with the judgment of the Italian Supreme Court.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On March 31, 2025, as a result of the decision by the Italian Supreme Court, the SNIA Litigation Guarantee was terminated, and the restriction on the cash deposit held as collateral was released. For additional information on the financing of the guarantee, refer to “Note 12. Supplemental Financial Information.”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On May 15, 2025, as a procedural step, the Public Administrations served the Company with a filing to return the proceedings to the Court of Appeal. In addition to seeking a return of the case to the Court of Appeal, the Public Administrations asserted that the Court of Appeal forgo an examination of the amounts disapproved by the Italian Supreme Court and instead impose costs of €108.8 million ($124.0 million as of June 30, 2026) at a minimum. These assertions are counter to the decision of the Italian Supreme Court’s judgment, which disapproved costs of €157.3 million ($179.2 million as of June 30, 2026). The Public Administrations’ filing is not a legal judgment or demand for payment.</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a hearing on June 24, 2026, the Court of Appeal scheduled a hearing for December 9, 2026 to allow the parties to discuss a possible out-of-court resolution of the matter. Discussions remain ongoing, and there can be no assurance that they will result in a settlement.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March 14, 2025 decision by the Italian Supreme Court, the Company recorded a current liability in the first quarter of 2025. As of June 30, 2026, the current liability on the consolidated balance sheet was €337.8 million ($385.0 million), representing the Company’s best estimate inclusive of estimated costs, fees, interest, and taxes. These estimated costs do not include the Company’s legal fees, which are expensed as incurred and included in SG&amp;A in LivaNova’s condensed consolidated statements of income (loss). As of the date of this filing, the Company believes the amount recorded for the SNIA matter remains its best estimate and has determined that it has sufficient resources to satisfy the liability.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Product Liability Litigation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be involved in litigation involving LivaNova’s 3T device. The litigation includes the cases remaining in the federal multi-district litigation in the U.S. District Court for the Middle District of Pennsylvania and various U.S. state courts, as well as claims in jurisdictions outside the United States. As of August 5, 2026,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provision for these matters was $23.1 million and $15.6 million, respectively. While the amount accrued represents LivaNova’s best estimate for those worldwide filed and unfiled claims of which LivaNova is aware and believes are both probable and estimable at this time, the actual liability for resolution of these matters may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from the Company’s provision. A provision has not been recorded for any claims where a potential loss is not determined to be probable, or a potential loss or range of potential loss is not reasonably estimable at this time.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litigation provision liability for the six months ended June 30, 2026 (in thousands):</w:t>
      </w:r>
    </w:p>
    <w:tbl>
      <w:tblPr>
        <w:tblW w:w="4862" w:type="dxa"/>
        <w:jc w:val="left"/>
        <w:tblInd w:w="0" w:type="dxa"/>
        <w:tblLayout w:type="fixed"/>
        <w:tblCellMar>
          <w:top w:w="28" w:type="dxa"/>
          <w:left w:w="28" w:type="dxa"/>
          <w:bottom w:w="28" w:type="dxa"/>
          <w:right w:w="28" w:type="dxa"/>
        </w:tblCellMar>
      </w:tblPr>
      <w:tblGrid>
        <w:gridCol w:w="1249"/>
        <w:gridCol w:w="1099"/>
        <w:gridCol w:w="1101"/>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portion as of June 30,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Adjustments to the litigation provision are included in other operating expense on the condensed consolidated statements of income (loss).</w:t>
      </w:r>
    </w:p>
    <w:p>
      <w:pPr>
        <w:pStyle w:val="TextBody"/>
        <w:bidi w:val="0"/>
        <w:spacing w:lineRule="auto" w:line="300"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Included in other long-term liabilities on the condensed consolidated balance sheets.</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Italian MedTech Payback Measure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2024, the Constitutional Court upheld the payback law, and it entered into force in August 2025. In June 2025, the Italian government introduced a settlement mechanism for 2015-2018 obligations, in which the Company elected to participate. In September 2025, the Company paid €3.5 million ($4.0 million as of June 30, 2026), representing full settlement of its obligations for that period, and reversed the remaining $3.8 million reserve associated with those years. As of June 30, 2026 and December 31, 2025, the Company had a reserve of $13.9 million and $12.8 million, respectively, reflecting its best estimate of the full potential obligation for 2019 to present; however, the actual liability could vary. The reserve is included in accrued liabilities and other in the condensed consolidated balance sheets. Amounts recognized associated with the Italian MedTech payback measure are recorded as a reduction to net revenue in the condensed consolidated statements of income (loss).</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Other Matters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is the subject of various pending or threatened legal actions and proceedings that arise in the ordinary course of LivaNova’s business. These matters are subject to many uncertainties and outcomes that are not predictable and may not be known for extended periods of time. Since the outcome of these matters cannot be predicted with certainty, the costs associated with them could have a material adverse effect on LivaNova’s consolidated results of operations, financial condition,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Note 7. Shareholders’ Equity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the condensed consolidated statements of shareholders’ equity as of and for the three and six months ended June 30, 2026 and 2025 (in thousands):</w:t>
      </w:r>
    </w:p>
    <w:tbl>
      <w:tblPr>
        <w:tblW w:w="11783" w:type="dxa"/>
        <w:jc w:val="left"/>
        <w:tblInd w:w="0" w:type="dxa"/>
        <w:tblLayout w:type="fixed"/>
        <w:tblCellMar>
          <w:top w:w="28" w:type="dxa"/>
          <w:left w:w="28" w:type="dxa"/>
          <w:bottom w:w="28" w:type="dxa"/>
          <w:right w:w="28" w:type="dxa"/>
        </w:tblCellMar>
      </w:tblPr>
      <w:tblGrid>
        <w:gridCol w:w="601"/>
        <w:gridCol w:w="447"/>
        <w:gridCol w:w="303"/>
        <w:gridCol w:w="109"/>
        <w:gridCol w:w="109"/>
        <w:gridCol w:w="109"/>
        <w:gridCol w:w="439"/>
        <w:gridCol w:w="282"/>
        <w:gridCol w:w="266"/>
        <w:gridCol w:w="109"/>
        <w:gridCol w:w="109"/>
        <w:gridCol w:w="109"/>
        <w:gridCol w:w="211"/>
        <w:gridCol w:w="721"/>
        <w:gridCol w:w="109"/>
        <w:gridCol w:w="109"/>
        <w:gridCol w:w="109"/>
        <w:gridCol w:w="109"/>
        <w:gridCol w:w="211"/>
        <w:gridCol w:w="976"/>
        <w:gridCol w:w="109"/>
        <w:gridCol w:w="109"/>
        <w:gridCol w:w="109"/>
        <w:gridCol w:w="109"/>
        <w:gridCol w:w="242"/>
        <w:gridCol w:w="847"/>
        <w:gridCol w:w="127"/>
        <w:gridCol w:w="109"/>
        <w:gridCol w:w="109"/>
        <w:gridCol w:w="109"/>
        <w:gridCol w:w="211"/>
        <w:gridCol w:w="991"/>
        <w:gridCol w:w="109"/>
        <w:gridCol w:w="109"/>
        <w:gridCol w:w="109"/>
        <w:gridCol w:w="109"/>
        <w:gridCol w:w="211"/>
        <w:gridCol w:w="631"/>
        <w:gridCol w:w="109"/>
        <w:gridCol w:w="109"/>
        <w:gridCol w:w="109"/>
        <w:gridCol w:w="109"/>
        <w:gridCol w:w="211"/>
        <w:gridCol w:w="976"/>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 -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55,538 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55,601 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55,499 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83" w:type="dxa"/>
        <w:jc w:val="left"/>
        <w:tblInd w:w="0" w:type="dxa"/>
        <w:tblLayout w:type="fixed"/>
        <w:tblCellMar>
          <w:top w:w="28" w:type="dxa"/>
          <w:left w:w="28" w:type="dxa"/>
          <w:bottom w:w="28" w:type="dxa"/>
          <w:right w:w="28" w:type="dxa"/>
        </w:tblCellMar>
      </w:tblPr>
      <w:tblGrid>
        <w:gridCol w:w="703"/>
        <w:gridCol w:w="350"/>
        <w:gridCol w:w="298"/>
        <w:gridCol w:w="109"/>
        <w:gridCol w:w="109"/>
        <w:gridCol w:w="109"/>
        <w:gridCol w:w="439"/>
        <w:gridCol w:w="282"/>
        <w:gridCol w:w="266"/>
        <w:gridCol w:w="109"/>
        <w:gridCol w:w="109"/>
        <w:gridCol w:w="109"/>
        <w:gridCol w:w="211"/>
        <w:gridCol w:w="721"/>
        <w:gridCol w:w="109"/>
        <w:gridCol w:w="109"/>
        <w:gridCol w:w="109"/>
        <w:gridCol w:w="109"/>
        <w:gridCol w:w="211"/>
        <w:gridCol w:w="976"/>
        <w:gridCol w:w="109"/>
        <w:gridCol w:w="109"/>
        <w:gridCol w:w="109"/>
        <w:gridCol w:w="109"/>
        <w:gridCol w:w="242"/>
        <w:gridCol w:w="847"/>
        <w:gridCol w:w="127"/>
        <w:gridCol w:w="109"/>
        <w:gridCol w:w="109"/>
        <w:gridCol w:w="109"/>
        <w:gridCol w:w="211"/>
        <w:gridCol w:w="991"/>
        <w:gridCol w:w="109"/>
        <w:gridCol w:w="109"/>
        <w:gridCol w:w="109"/>
        <w:gridCol w:w="109"/>
        <w:gridCol w:w="211"/>
        <w:gridCol w:w="631"/>
        <w:gridCol w:w="109"/>
        <w:gridCol w:w="109"/>
        <w:gridCol w:w="109"/>
        <w:gridCol w:w="109"/>
        <w:gridCol w:w="211"/>
        <w:gridCol w:w="976"/>
        <w:gridCol w:w="154"/>
      </w:tblGrid>
      <w:tr>
        <w:trPr/>
        <w:tc>
          <w:tcPr>
            <w:tcW w:w="7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 -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55,535 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1,199,987 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55,601 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55,499 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the changes in AOCI, net of tax, for the six months ended June 30, 2026 and 2025 (in thousands):</w:t>
      </w:r>
    </w:p>
    <w:tbl>
      <w:tblPr>
        <w:tblW w:w="9748" w:type="dxa"/>
        <w:jc w:val="left"/>
        <w:tblInd w:w="0" w:type="dxa"/>
        <w:tblLayout w:type="fixed"/>
        <w:tblCellMar>
          <w:top w:w="28" w:type="dxa"/>
          <w:left w:w="28" w:type="dxa"/>
          <w:bottom w:w="28" w:type="dxa"/>
          <w:right w:w="28" w:type="dxa"/>
        </w:tblCellMar>
      </w:tblPr>
      <w:tblGrid>
        <w:gridCol w:w="1797"/>
        <w:gridCol w:w="1580"/>
        <w:gridCol w:w="1588"/>
        <w:gridCol w:w="109"/>
        <w:gridCol w:w="109"/>
        <w:gridCol w:w="109"/>
        <w:gridCol w:w="109"/>
        <w:gridCol w:w="109"/>
        <w:gridCol w:w="790"/>
        <w:gridCol w:w="2771"/>
        <w:gridCol w:w="414"/>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Foreign Currency Translation Adjustments </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amounts from AOCI,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Taxes were not provided for foreign currency translation adjustments, as translation adjustments are related to earnings that are intended to be reinvested in the countries where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tbl>
      <w:tblPr>
        <w:tblW w:w="10033" w:type="dxa"/>
        <w:jc w:val="left"/>
        <w:tblInd w:w="0" w:type="dxa"/>
        <w:tblLayout w:type="fixed"/>
        <w:tblCellMar>
          <w:top w:w="28" w:type="dxa"/>
          <w:left w:w="28" w:type="dxa"/>
          <w:bottom w:w="28" w:type="dxa"/>
          <w:right w:w="28" w:type="dxa"/>
        </w:tblCellMar>
      </w:tblPr>
      <w:tblGrid>
        <w:gridCol w:w="1900"/>
        <w:gridCol w:w="1670"/>
        <w:gridCol w:w="1680"/>
        <w:gridCol w:w="109"/>
        <w:gridCol w:w="109"/>
        <w:gridCol w:w="109"/>
        <w:gridCol w:w="109"/>
        <w:gridCol w:w="109"/>
        <w:gridCol w:w="790"/>
        <w:gridCol w:w="2771"/>
        <w:gridCol w:w="414"/>
        <w:gridCol w:w="109"/>
        <w:gridCol w:w="154"/>
      </w:tblGrid>
      <w:tr>
        <w:trPr/>
        <w:tc>
          <w:tcPr>
            <w:tcW w:w="190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Foreign Currency Translation Adjustments </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(80,170)</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amounts from AOCI,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88,283 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Taxes were not provided for foreign currency translation adjustments, as translation adjustments are related to earnings that are intended to be reinvested in the countries where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Note 8. Share-Based Incentive Plans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of share-based compensation expense recognized in LivaNova’s condensed consolidated statements of income (loss) by type of arrangement (in thousands):</w:t>
      </w:r>
    </w:p>
    <w:tbl>
      <w:tblPr>
        <w:tblW w:w="8411"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SARs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performance-based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performance-based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Share-based compensation granted for the six months ended June 30, 2026, representing potential shares and their weighted average grant date fair values by type, is as follows (shares in thousands, fair value in dollars):</w:t>
      </w:r>
    </w:p>
    <w:tbl>
      <w:tblPr>
        <w:tblW w:w="7822"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33"/>
        <w:gridCol w:w="233"/>
        <w:gridCol w:w="226"/>
        <w:gridCol w:w="193"/>
        <w:gridCol w:w="193"/>
        <w:gridCol w:w="193"/>
        <w:gridCol w:w="789"/>
        <w:gridCol w:w="2310"/>
        <w:gridCol w:w="575"/>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Performance-based RSUs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36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Awards cliff vest after three years and are subject to performance conditions, including the rank of LivaNova’s total shareholder return for the three-year period ending December 31, 2028 relative to the total shareholder returns of the S&amp;P Healthcare Equipment Select Constituents index, as well as the achievement of specified cumulative revenue growth and adjusted earnings per share performance thresholds.</w:t>
      </w:r>
    </w:p>
    <w:p>
      <w:pPr>
        <w:pStyle w:val="TextBody"/>
        <w:bidi w:val="0"/>
        <w:spacing w:lineRule="auto" w:line="300"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shares based on an assumed 100% performance achievement. Performance-based RSU awards have a minimum and maximum possible achievement level of 0% and 200%,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Note 9. Income Taxes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LivaNova’s effective income tax rate for the three and six months ended June 30, 2026 was (488.1)% and (186.8)%, respectively, compared to 18.5% and (6.3)% for the three and six months ended June 30, 2025, respectively. The changes in the effective tax rates for the three and six months ended June 30, 2026, compared to the prior year period, were primarily attributable to year-over-year changes in income before income tax in countries with varying statutory tax rates, certain discrete tax items, including the SNIA environmental liability recognized in 2025 and the discrete tax benefit resulting from the Italian tax ruling recognized in 2026 (further described below), and changes in valuation allowances.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available evidence (both positive and negative) in determining whether a valuation allowance is required on deferred tax assets. Depending on operating results in the future, a release of a valuation allowance could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within the next 12 months. The timing and amount of the valuation allowance release could vary based on the Company’s assessment of all available evidence.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Italian tax authority, Agenzia delle Entrate, issued a ruling on the deductibility of the SNIA environmental liability expense, resulting in a discrete tax benefit for the three and six months ended June 30, 2026 of €81.8 million ($95.4 million) and an estimated deferred tax asset of €80.0 million ($93.3 million), as of June 30, 2026. LivaNova determined that the Italian deferred tax assets are more likely than not realizable and, accordingly, did not record a valuation allowance.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OBBBA was enacted in the U.S. in July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 xml:space="preserve">Note 10. Earnings (Loss) Per Share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basic and diluted earnings (loss) per share:</w:t>
      </w:r>
    </w:p>
    <w:tbl>
      <w:tblPr>
        <w:tblW w:w="7467" w:type="dxa"/>
        <w:jc w:val="left"/>
        <w:tblInd w:w="0" w:type="dxa"/>
        <w:tblLayout w:type="fixed"/>
        <w:tblCellMar>
          <w:top w:w="28" w:type="dxa"/>
          <w:left w:w="28" w:type="dxa"/>
          <w:bottom w:w="28" w:type="dxa"/>
          <w:right w:w="28" w:type="dxa"/>
        </w:tblCellMar>
      </w:tblPr>
      <w:tblGrid>
        <w:gridCol w:w="984"/>
        <w:gridCol w:w="864"/>
        <w:gridCol w:w="867"/>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8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reconciliations of net income (loss) and weighted average shares outstanding used in the calculations of basic and diluted earnings (loss) per share (in thousands):</w:t>
      </w:r>
    </w:p>
    <w:tbl>
      <w:tblPr>
        <w:tblW w:w="10205" w:type="dxa"/>
        <w:jc w:val="left"/>
        <w:tblInd w:w="0" w:type="dxa"/>
        <w:tblLayout w:type="fixed"/>
        <w:tblCellMar>
          <w:top w:w="28" w:type="dxa"/>
          <w:left w:w="28" w:type="dxa"/>
          <w:bottom w:w="28" w:type="dxa"/>
          <w:right w:w="28" w:type="dxa"/>
        </w:tblCellMar>
      </w:tblPr>
      <w:tblGrid>
        <w:gridCol w:w="1627"/>
        <w:gridCol w:w="1345"/>
        <w:gridCol w:w="1354"/>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71"/>
        <w:gridCol w:w="156"/>
      </w:tblGrid>
      <w:tr>
        <w:trPr/>
        <w:tc>
          <w:tcPr>
            <w:tcW w:w="162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Numerator </w:t>
            </w:r>
            <w:r>
              <w:rPr>
                <w:rFonts w:ascii="Times New Roman;serif" w:hAnsi="Times New Roman;serif"/>
                <w:b/>
                <w:color w:val="000000"/>
                <w:sz w:val="13"/>
              </w:rPr>
              <w:t>(1)</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Dilutive effect of share-based compensation and convertible debt instruments</w:t>
            </w:r>
            <w:r>
              <w:rPr>
                <w:color w:val="000000"/>
              </w:rPr>
              <w:t xml:space="preserve"> </w:t>
            </w:r>
            <w:r>
              <w:rPr>
                <w:rFonts w:ascii="Times New Roman;serif" w:hAnsi="Times New Roman;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For the three and six months ended June 30, 2026 and 2025, the 2029 Notes were outstanding and potentially dilutive securities but were excluded from the computation of diluted earnings (loss) per share because their effect would have been anti-dilutive under the if-converted method. Anti-dilution from the 2029 Notes was 0.1 million shares for the three months ended June 30, 2026.</w:t>
      </w:r>
    </w:p>
    <w:p>
      <w:pPr>
        <w:pStyle w:val="TextBody"/>
        <w:bidi w:val="0"/>
        <w:spacing w:lineRule="auto" w:line="300"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Excluded from the computation of diluted earnings (loss) per share were shares underlying stock options, SARs, and RSUs totaling 0.1 million and 0.6 million for the three months ended June 30, 2026 and 2025, respectively, and 0.1 million and 3.0 million for the six months ended June 30, 2026 and 2025, respectively, because to include them would have been anti-dilutive under the treasury stock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Note 11. Segment and Geographic Information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Segment Information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 identifies operating segments based on how it manages, evaluates, and internally reports its business activities to allocate resources, develop and execute its strategy, and assess performance. LivaNova has two reportable segments: Cardiopulmonary and Neuromodulation.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LivaNova’s Neuromodulation segment is engaged in the design, development, manufacture, marketing, and sale of devices that deliver neuromodulation therapy for treating DRE and DTD. Neuromodulation products include the VNS Therapy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which consists of an implantable pulse generator, a lead that connects the generator to the vagus nerve, and other accessories. This segment also includes the design and development of neurostimulation devices for treating OSA.</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by operating segment and geographic region (in thousands):</w:t>
      </w:r>
    </w:p>
    <w:tbl>
      <w:tblPr>
        <w:tblW w:w="7603"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Neuromodulation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Revenue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color w:val="000000"/>
        </w:rPr>
        <w:t>“</w:t>
      </w:r>
      <w:r>
        <w:rPr>
          <w:rFonts w:ascii="Times New Roman;serif" w:hAnsi="Times New Roman;serif"/>
          <w:b w:val="false"/>
          <w:color w:val="000000"/>
          <w:sz w:val="18"/>
        </w:rPr>
        <w:t xml:space="preserve">Europe” includes the UK, Germany, France, Italy, the Netherlands, Spain, Belgium, Poland, Sweden, Switzerland, Austria, Norway, Portugal, Finland, and Denmark. Excluding Europe and the U.S., “Rest of World” includes all other countries where LivaNova operates. </w:t>
      </w:r>
    </w:p>
    <w:p>
      <w:pPr>
        <w:pStyle w:val="TextBody"/>
        <w:bidi w:val="0"/>
        <w:spacing w:lineRule="auto" w:line="300" w:before="0" w:after="120"/>
        <w:ind w:left="0" w:right="0" w:hanging="360"/>
        <w:jc w:val="both"/>
        <w:rPr/>
      </w:pPr>
      <w:r>
        <w:rPr>
          <w:rFonts w:ascii="Times New Roman;serif" w:hAnsi="Times New Roman;serif"/>
          <w:b w:val="false"/>
          <w:color w:val="000000"/>
          <w:sz w:val="12"/>
        </w:rPr>
        <w:t>(2)</w:t>
      </w:r>
      <w:r>
        <w:rPr>
          <w:color w:val="000000"/>
        </w:rPr>
        <w:t>“</w:t>
      </w:r>
      <w:r>
        <w:rPr>
          <w:rFonts w:ascii="Times New Roman;serif" w:hAnsi="Times New Roman;serif"/>
          <w:b w:val="false"/>
          <w:color w:val="000000"/>
          <w:sz w:val="18"/>
        </w:rPr>
        <w:t xml:space="preserve">Other Revenue” includes rental and site services income not allocated to segments.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and rental income.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segment income to consolidated income (loss) before income tax (in thousands):</w:t>
      </w:r>
    </w:p>
    <w:tbl>
      <w:tblPr>
        <w:tblW w:w="9567" w:type="dxa"/>
        <w:jc w:val="left"/>
        <w:tblInd w:w="0" w:type="dxa"/>
        <w:tblLayout w:type="fixed"/>
        <w:tblCellMar>
          <w:top w:w="28" w:type="dxa"/>
          <w:left w:w="28" w:type="dxa"/>
          <w:bottom w:w="28" w:type="dxa"/>
          <w:right w:w="28" w:type="dxa"/>
        </w:tblCellMar>
      </w:tblPr>
      <w:tblGrid>
        <w:gridCol w:w="1401"/>
        <w:gridCol w:w="1232"/>
        <w:gridCol w:w="123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0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SNIA environmental liability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color w:val="000000"/>
        </w:rPr>
        <w:t>“</w:t>
      </w:r>
      <w:r>
        <w:rPr>
          <w:rFonts w:ascii="Times New Roman;serif" w:hAnsi="Times New Roman;serif"/>
          <w:b w:val="false"/>
          <w:color w:val="000000"/>
          <w:sz w:val="18"/>
        </w:rPr>
        <w:t>Interest expense” includes contractual interest expense associated with LivaNova’s short- and long-term financing arrangements and the amortization of debt discount and issuance costs of $4.9 million and $9.7 million for the three and six months ended June 30, 2026, respectively, and $5.7 million and $11.4 million for the three and six months ended June 30, 2025, respectively.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segment income, including significant expenses, of LivaNova’s reportable segments (in thousands):</w:t>
      </w:r>
    </w:p>
    <w:tbl>
      <w:tblPr>
        <w:tblW w:w="9046" w:type="dxa"/>
        <w:jc w:val="left"/>
        <w:tblInd w:w="0" w:type="dxa"/>
        <w:tblLayout w:type="fixed"/>
        <w:tblCellMar>
          <w:top w:w="28" w:type="dxa"/>
          <w:left w:w="28" w:type="dxa"/>
          <w:bottom w:w="28" w:type="dxa"/>
          <w:right w:w="28" w:type="dxa"/>
        </w:tblCellMar>
      </w:tblPr>
      <w:tblGrid>
        <w:gridCol w:w="1083"/>
        <w:gridCol w:w="955"/>
        <w:gridCol w:w="9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Neuromodulation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3T litigation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Neuromodulation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3T litigation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by reportable segment (in thousands):</w:t>
      </w:r>
    </w:p>
    <w:tbl>
      <w:tblPr>
        <w:tblW w:w="5280" w:type="dxa"/>
        <w:jc w:val="left"/>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976"/>
        <w:gridCol w:w="109"/>
        <w:gridCol w:w="109"/>
        <w:gridCol w:w="109"/>
        <w:gridCol w:w="109"/>
        <w:gridCol w:w="278"/>
        <w:gridCol w:w="1288"/>
        <w:gridCol w:w="203"/>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1,045,189 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2,640,861 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2,606,053 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color w:val="000000"/>
        </w:rPr>
        <w:t>“</w:t>
      </w:r>
      <w:r>
        <w:rPr>
          <w:rFonts w:ascii="Times New Roman;serif" w:hAnsi="Times New Roman;serif"/>
          <w:b w:val="false"/>
          <w:color w:val="000000"/>
          <w:sz w:val="18"/>
        </w:rPr>
        <w:t>Other assets” primarily include corporate assets not allocated to segments.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by segment (in thousands):</w:t>
      </w:r>
    </w:p>
    <w:tbl>
      <w:tblPr>
        <w:tblW w:w="7992" w:type="dxa"/>
        <w:jc w:val="left"/>
        <w:tblInd w:w="0" w:type="dxa"/>
        <w:tblLayout w:type="fixed"/>
        <w:tblCellMar>
          <w:top w:w="28" w:type="dxa"/>
          <w:left w:w="28" w:type="dxa"/>
          <w:bottom w:w="28" w:type="dxa"/>
          <w:right w:w="28" w:type="dxa"/>
        </w:tblCellMar>
      </w:tblPr>
      <w:tblGrid>
        <w:gridCol w:w="896"/>
        <w:gridCol w:w="788"/>
        <w:gridCol w:w="79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capital expenditures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color w:val="000000"/>
        </w:rPr>
        <w:t>“</w:t>
      </w:r>
      <w:r>
        <w:rPr>
          <w:rFonts w:ascii="Times New Roman;serif" w:hAnsi="Times New Roman;serif"/>
          <w:b w:val="false"/>
          <w:color w:val="000000"/>
          <w:sz w:val="18"/>
        </w:rPr>
        <w:t>Other capital expenditures” primarily includes corporate capital expenditures not allocated to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carrying amount of goodwill by reportable segment for the six months ended June 30, 2026 (in thousands):</w:t>
      </w:r>
    </w:p>
    <w:tbl>
      <w:tblPr>
        <w:tblW w:w="7949"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303"/>
        <w:gridCol w:w="1189"/>
        <w:gridCol w:w="159"/>
        <w:gridCol w:w="109"/>
        <w:gridCol w:w="109"/>
        <w:gridCol w:w="109"/>
        <w:gridCol w:w="295"/>
        <w:gridCol w:w="1157"/>
        <w:gridCol w:w="154"/>
        <w:gridCol w:w="109"/>
        <w:gridCol w:w="109"/>
        <w:gridCol w:w="109"/>
        <w:gridCol w:w="211"/>
        <w:gridCol w:w="82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394,086 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380,390 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Geographic Information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property, plant, and equipment, net by geographic region (in thousands):</w:t>
      </w:r>
    </w:p>
    <w:tbl>
      <w:tblPr>
        <w:tblW w:w="4942"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34"/>
        <w:gridCol w:w="919"/>
        <w:gridCol w:w="121"/>
        <w:gridCol w:w="109"/>
        <w:gridCol w:w="109"/>
        <w:gridCol w:w="109"/>
        <w:gridCol w:w="313"/>
        <w:gridCol w:w="1228"/>
        <w:gridCol w:w="228"/>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273,335 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242,603 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Note 12. Supplemental Financial Information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inventories (in thousands):</w:t>
      </w:r>
    </w:p>
    <w:tbl>
      <w:tblPr>
        <w:tblW w:w="5153" w:type="dxa"/>
        <w:jc w:val="left"/>
        <w:tblInd w:w="0" w:type="dxa"/>
        <w:tblLayout w:type="fixed"/>
        <w:tblCellMar>
          <w:top w:w="28" w:type="dxa"/>
          <w:left w:w="28" w:type="dxa"/>
          <w:bottom w:w="28" w:type="dxa"/>
          <w:right w:w="28" w:type="dxa"/>
        </w:tblCellMar>
      </w:tblPr>
      <w:tblGrid>
        <w:gridCol w:w="527"/>
        <w:gridCol w:w="462"/>
        <w:gridCol w:w="467"/>
        <w:gridCol w:w="109"/>
        <w:gridCol w:w="109"/>
        <w:gridCol w:w="109"/>
        <w:gridCol w:w="234"/>
        <w:gridCol w:w="919"/>
        <w:gridCol w:w="121"/>
        <w:gridCol w:w="109"/>
        <w:gridCol w:w="109"/>
        <w:gridCol w:w="109"/>
        <w:gridCol w:w="313"/>
        <w:gridCol w:w="1228"/>
        <w:gridCol w:w="22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164,701 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inventories included adjustments totaling $19.4 million and $18.0 million, respectively, to record balances at the lower of cost or net realizable value.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accrued liabilities and other (in thousands):</w:t>
      </w:r>
    </w:p>
    <w:tbl>
      <w:tblPr>
        <w:tblW w:w="7229" w:type="dxa"/>
        <w:jc w:val="left"/>
        <w:tblInd w:w="0" w:type="dxa"/>
        <w:tblLayout w:type="fixed"/>
        <w:tblCellMar>
          <w:top w:w="28" w:type="dxa"/>
          <w:left w:w="28" w:type="dxa"/>
          <w:bottom w:w="28" w:type="dxa"/>
          <w:right w:w="28" w:type="dxa"/>
        </w:tblCellMar>
      </w:tblPr>
      <w:tblGrid>
        <w:gridCol w:w="1200"/>
        <w:gridCol w:w="1056"/>
        <w:gridCol w:w="1058"/>
        <w:gridCol w:w="109"/>
        <w:gridCol w:w="109"/>
        <w:gridCol w:w="109"/>
        <w:gridCol w:w="234"/>
        <w:gridCol w:w="919"/>
        <w:gridCol w:w="121"/>
        <w:gridCol w:w="109"/>
        <w:gridCol w:w="109"/>
        <w:gridCol w:w="109"/>
        <w:gridCol w:w="349"/>
        <w:gridCol w:w="1195"/>
        <w:gridCol w:w="180"/>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Italian MedTech payback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 for agents, returns,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94,573 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contract liabilities totaling $18.6 million and $17.9 million, respectively, were included in accrued liabilities and other long-term liabilities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items included in foreign exchange and other income/(expense) on the condensed consolidated statements of income (loss) (in thousands):</w:t>
      </w:r>
    </w:p>
    <w:tbl>
      <w:tblPr>
        <w:tblW w:w="10107" w:type="dxa"/>
        <w:jc w:val="left"/>
        <w:tblInd w:w="0" w:type="dxa"/>
        <w:tblLayout w:type="fixed"/>
        <w:tblCellMar>
          <w:top w:w="28" w:type="dxa"/>
          <w:left w:w="28" w:type="dxa"/>
          <w:bottom w:w="28" w:type="dxa"/>
          <w:right w:w="28" w:type="dxa"/>
        </w:tblCellMar>
      </w:tblPr>
      <w:tblGrid>
        <w:gridCol w:w="1620"/>
        <w:gridCol w:w="1423"/>
        <w:gridCol w:w="1427"/>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61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adjustment - 2029 Embedded Derivative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adjustment - 2029 Capped Calls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sale of investment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fluctuations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 revaluation - Ceribell, Inc.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adjustment - 2025 Embedded Derivative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adjustment - 2025 Capped Calls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Refer to “Note 4. Fair Value Measurements.”</w:t>
      </w:r>
    </w:p>
    <w:p>
      <w:pPr>
        <w:pStyle w:val="TextBody"/>
        <w:bidi w:val="0"/>
        <w:spacing w:lineRule="auto" w:line="300"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During the three months ended June 30, 2026, one of LivaNova’s equity investments was acquired by a third party, resulting in consideration receivable of $17.1 million and the recognition of a gain on sale of $13.6 million. As of June 30, 2026, $14.9 million of the consideration receivable is included within prepaid expenses and other current assets and $2.2 million is included within other assets on the condensed consolidated balance sheet.</w:t>
      </w:r>
    </w:p>
    <w:p>
      <w:pPr>
        <w:pStyle w:val="TextBody"/>
        <w:bidi w:val="0"/>
        <w:spacing w:lineRule="auto" w:line="300"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During the three months ended June 30, 2025, LivaNova liquidated its investment in Ceribell, Inc., consisting of 391,952 common shares, in a series of transactions with an average sales price of $16.69 per common share, resulting in net proceeds of $6.5 million from an initial investment in 2018 of $3.0 million.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to the condensed consolidated statements of cash flows (in thousands):</w:t>
      </w:r>
    </w:p>
    <w:tbl>
      <w:tblPr>
        <w:tblW w:w="7626" w:type="dxa"/>
        <w:jc w:val="left"/>
        <w:tblInd w:w="0" w:type="dxa"/>
        <w:tblLayout w:type="fixed"/>
        <w:tblCellMar>
          <w:top w:w="28" w:type="dxa"/>
          <w:left w:w="28" w:type="dxa"/>
          <w:bottom w:w="28" w:type="dxa"/>
          <w:right w:w="28" w:type="dxa"/>
        </w:tblCellMar>
      </w:tblPr>
      <w:tblGrid>
        <w:gridCol w:w="1868"/>
        <w:gridCol w:w="1642"/>
        <w:gridCol w:w="1650"/>
        <w:gridCol w:w="109"/>
        <w:gridCol w:w="109"/>
        <w:gridCol w:w="109"/>
        <w:gridCol w:w="211"/>
        <w:gridCol w:w="721"/>
        <w:gridCol w:w="109"/>
        <w:gridCol w:w="109"/>
        <w:gridCol w:w="109"/>
        <w:gridCol w:w="109"/>
        <w:gridCol w:w="211"/>
        <w:gridCol w:w="406"/>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sale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120" w:after="120"/>
        <w:jc w:val="both"/>
        <w:rPr>
          <w:rFonts w:ascii="Times New Roman;serif" w:hAnsi="Times New Roman;serif"/>
          <w:b/>
          <w:color w:val="000000"/>
          <w:sz w:val="22"/>
        </w:rPr>
      </w:pPr>
      <w:r>
        <w:rPr>
          <w:rFonts w:ascii="Times New Roman;serif" w:hAnsi="Times New Roman;serif"/>
          <w:b/>
          <w:color w:val="000000"/>
          <w:sz w:val="22"/>
        </w:rPr>
        <w:t xml:space="preserve">Note 13. New Accounting Pronouncements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description of future adoptions of new ASUs issued by the FASB that may have an impact on LivaNova’s consolidated financial statements when adopted:</w:t>
      </w:r>
    </w:p>
    <w:tbl>
      <w:tblPr>
        <w:tblW w:w="10205" w:type="dxa"/>
        <w:jc w:val="left"/>
        <w:tblInd w:w="0" w:type="dxa"/>
        <w:tblLayout w:type="fixed"/>
        <w:tblCellMar>
          <w:top w:w="28" w:type="dxa"/>
          <w:left w:w="28" w:type="dxa"/>
          <w:bottom w:w="28" w:type="dxa"/>
          <w:right w:w="28" w:type="dxa"/>
        </w:tblCellMar>
      </w:tblPr>
      <w:tblGrid>
        <w:gridCol w:w="965"/>
        <w:gridCol w:w="654"/>
        <w:gridCol w:w="579"/>
        <w:gridCol w:w="109"/>
        <w:gridCol w:w="109"/>
        <w:gridCol w:w="109"/>
        <w:gridCol w:w="1424"/>
        <w:gridCol w:w="909"/>
        <w:gridCol w:w="918"/>
        <w:gridCol w:w="109"/>
        <w:gridCol w:w="109"/>
        <w:gridCol w:w="109"/>
        <w:gridCol w:w="717"/>
        <w:gridCol w:w="674"/>
        <w:gridCol w:w="681"/>
        <w:gridCol w:w="109"/>
        <w:gridCol w:w="109"/>
        <w:gridCol w:w="109"/>
        <w:gridCol w:w="496"/>
        <w:gridCol w:w="496"/>
        <w:gridCol w:w="711"/>
      </w:tblGrid>
      <w:tr>
        <w:trPr/>
        <w:tc>
          <w:tcPr>
            <w:tcW w:w="96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 Date &amp; 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Assessment</w:t>
            </w:r>
          </w:p>
        </w:tc>
      </w:tr>
      <w:tr>
        <w:trPr/>
        <w:tc>
          <w:tcPr>
            <w:tcW w:w="21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November 2024 ASU No. 2024-03, </w:t>
            </w:r>
            <w:r>
              <w:rPr>
                <w:rFonts w:ascii="Times New Roman;serif" w:hAnsi="Times New Roman;serif"/>
                <w:b w:val="false"/>
                <w:i/>
                <w:color w:val="000000"/>
                <w:sz w:val="19"/>
              </w:rPr>
              <w:t>Income Statement—Reporting Comprehensive Income—Expense Disaggregation Disclosures (Subtopic 220-40):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This ASU requires disclosure in the notes to financial statements of additional information disaggregating specific expense categories underlying certain income statement expense line items, including employee compensation, depreciation, and intangible asset amortization, as well as certain other disclosures to provide enhanced transparency into the nature and function of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This ASU will be effective for annual periods beginning after December 15, 2026, and interim periods beginning after December 15, 2027. This ASU may be applied on either a prospective or retrospective basis, with early adoption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LivaNova is currently evaluating the effect this standard will have on the Company’s consolidated financial statements and related disclosures.</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September 2025 ASU No. 2025-06, </w:t>
            </w:r>
            <w:r>
              <w:rPr>
                <w:rFonts w:ascii="Times New Roman;serif" w:hAnsi="Times New Roman;serif"/>
                <w:b w:val="false"/>
                <w:i/>
                <w:color w:val="000000"/>
                <w:sz w:val="19"/>
              </w:rPr>
              <w:t>Intangibles—Goodwill and Other—Internal-Use Software (Subtopic 350-40): Targeted Improvements to the Accounting for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This ASU updates the cost capitalization threshold for internal-use software development costs by removing all references to software project development stages and providing new guidance on how to evaluate whether the probable-to-complete recognition threshold has been met.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This ASU will be effective for annual periods beginning after December 15, 2027, and interim periods within those annual reporting periods, with early adoption permitted. The transition method may be prospective, modified, or retrospective.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LivaNova is currently evaluating the effect this standard will have on the Company’s consolidated financial statements and related disclosures.</w:t>
            </w:r>
          </w:p>
        </w:tc>
      </w:tr>
      <w:tr>
        <w:trPr/>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condensed consolidated financial statements and related notes, which appear elsewhere in this Report, and with LivaNova’s 2025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2025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are defined in the “Definitions” section and in the notes to LivaNova’s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Description of the Business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with a registered office in Gloucester, England. LivaNova’s ordinary shares are listed for trading on the Nasdaq under the symbol “LIVN.”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Macroeconomic Environment and Global Supply Chain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macroeconomic environment, including FX volatility, inflationary pressures, and geopolitical instability, and global supply chain challenges have impacted and may continue to impact LivaNova’s business, consolidated results of operations, financial condition, and/or cash flows.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including through entry into supply agreements where possible. While LivaNova has business continuity plans in place, the impact of the ongoing challenges the Company is navigating, along with their potential escalation, may adversely affect its business.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In early 2025, the U.S. government imposed tariffs under the IEEPA, which impacted the Company. However, the U.S. Supreme Court ruled the IEEPA tariffs unlawful, resulting in a refund process with U.S. Customs and Border Protection. While the Company recognized net IEEPA tariff refunds that impacted segment income by $5.8 million ($7.7 million reducing cost of sales and $1.9 million reducing net revenue) for the three and six months ended June 30, 2026, adverse changes in export and import costs, including the potential for new or expanded trade restrictions and additional global tariffs, could result in future increased costs or supply chain disruptions. The Company continues to monitor developments in global trade policy and assess potential implications for sourcing, pricing, and logistics.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“Part I, Item 1A. Risk Factors” of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Business Segments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identifies operating segments based on how it manages, evaluates, and internally reports its business activities to allocate resources, develop, and execute its strategy and assess performance. 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Cardiopulmonary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cardiopulmonary bypass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on the Cardiopulmonary segment that could potentially impact LivaNova’s condensed consolidated financial statements and related disclosures is incorporated by reference to “Note 6. Commitments and Contingencies: Product Liability Litigation” in the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Neuromodulation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LivaNova’s Neuromodulation segment is engaged in the design, development, manufacture, marketing, and sale of devices that deliver neuromodulation therapy for treating DRE and DTD, as well as the design and development of neurostimulation devices for treating OSA.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segment’s principal product for DRE and DTD, the VNS Therapy System, consists of an implantable pulse generator and connective lead that stimulates the left vagus nerve, surgical equipment to assist with the implant procedure, and equipment and instruction manuals that enable a treating healthcare professional to set parameters for a patient’s pulse generator. The lead does not need to be removed to replace a generator with a depleted battery.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Neuromodulation segment also includes devices for the treatment of OSA, which are designed to stimulate the hypoglossal nerve and activate specific tongue and palate muscles to help keep the airway open during sleep. On March 18, 2026, the FDA granted PMA for the aura6000 System for the treatment of adult patients with moderate to severe OSA who have failed, do not tolerate, or are ineligible for first-line therapies, such as positive airway pressure.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Critical Accounting Estimates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LivaNova’s critical accounting estimates, see “Management’s Discussion and Analysis of Financial Condition and Results of Operations” included in the 2025 Form 10-K. For the six months ended June 30, 2026, there were no material changes to the application of critical accounting policies and estimates previously disclosed in LivaNova’s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LivaNova’s condensed consolidated results of operations (in thousands):</w:t>
      </w:r>
    </w:p>
    <w:tbl>
      <w:tblPr>
        <w:tblW w:w="9882" w:type="dxa"/>
        <w:jc w:val="left"/>
        <w:tblInd w:w="0" w:type="dxa"/>
        <w:tblLayout w:type="fixed"/>
        <w:tblCellMar>
          <w:top w:w="28" w:type="dxa"/>
          <w:left w:w="28" w:type="dxa"/>
          <w:bottom w:w="28" w:type="dxa"/>
          <w:right w:w="28" w:type="dxa"/>
        </w:tblCellMar>
      </w:tblPr>
      <w:tblGrid>
        <w:gridCol w:w="1401"/>
        <w:gridCol w:w="1233"/>
        <w:gridCol w:w="12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SNIA environmental liability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income/(expense)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Net Revenue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by operating segment and geographic region (in thousands):</w:t>
      </w:r>
    </w:p>
    <w:tbl>
      <w:tblPr>
        <w:tblW w:w="10835"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211"/>
        <w:gridCol w:w="826"/>
        <w:gridCol w:w="109"/>
        <w:gridCol w:w="109"/>
        <w:gridCol w:w="109"/>
        <w:gridCol w:w="109"/>
        <w:gridCol w:w="211"/>
        <w:gridCol w:w="826"/>
        <w:gridCol w:w="109"/>
        <w:gridCol w:w="109"/>
        <w:gridCol w:w="109"/>
        <w:gridCol w:w="109"/>
        <w:gridCol w:w="109"/>
        <w:gridCol w:w="109"/>
        <w:gridCol w:w="255"/>
        <w:gridCol w:w="256"/>
        <w:gridCol w:w="551"/>
        <w:gridCol w:w="109"/>
        <w:gridCol w:w="109"/>
        <w:gridCol w:w="109"/>
        <w:gridCol w:w="211"/>
        <w:gridCol w:w="826"/>
        <w:gridCol w:w="109"/>
        <w:gridCol w:w="109"/>
        <w:gridCol w:w="109"/>
        <w:gridCol w:w="109"/>
        <w:gridCol w:w="211"/>
        <w:gridCol w:w="826"/>
        <w:gridCol w:w="109"/>
        <w:gridCol w:w="109"/>
        <w:gridCol w:w="109"/>
        <w:gridCol w:w="109"/>
        <w:gridCol w:w="109"/>
        <w:gridCol w:w="109"/>
        <w:gridCol w:w="255"/>
        <w:gridCol w:w="256"/>
        <w:gridCol w:w="61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70" w:type="dxa"/>
            <w:gridSpan w:val="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Neuromodulation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Revenue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 of World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00" w:before="0" w:after="0"/>
        <w:ind w:left="0" w:right="0" w:hanging="360"/>
        <w:jc w:val="both"/>
        <w:rPr/>
      </w:pPr>
      <w:r>
        <w:rPr>
          <w:rFonts w:ascii="Times New Roman;serif" w:hAnsi="Times New Roman;serif"/>
          <w:b w:val="false"/>
          <w:color w:val="000000"/>
          <w:sz w:val="12"/>
        </w:rPr>
        <w:t>(1)</w:t>
      </w:r>
      <w:r>
        <w:rPr>
          <w:color w:val="000000"/>
        </w:rPr>
        <w:t>“</w:t>
      </w:r>
      <w:r>
        <w:rPr>
          <w:rFonts w:ascii="Times New Roman;serif" w:hAnsi="Times New Roman;serif"/>
          <w:b w:val="false"/>
          <w:color w:val="000000"/>
          <w:sz w:val="18"/>
        </w:rPr>
        <w:t xml:space="preserve">Europe” includes the UK, Germany, France, Italy, the Netherlands, Spain, Belgium, Poland, Sweden, Switzerland, Austria, Norway, Portugal, Finland, and Denmark. Excluding Europe and the U.S., “Rest of World” includes all other countries where LivaNova operates. </w:t>
      </w:r>
    </w:p>
    <w:p>
      <w:pPr>
        <w:pStyle w:val="TextBody"/>
        <w:bidi w:val="0"/>
        <w:spacing w:lineRule="auto" w:line="300" w:before="0" w:after="120"/>
        <w:ind w:left="0" w:right="0" w:hanging="360"/>
        <w:jc w:val="both"/>
        <w:rPr/>
      </w:pPr>
      <w:r>
        <w:rPr>
          <w:rFonts w:ascii="Times New Roman;serif" w:hAnsi="Times New Roman;serif"/>
          <w:b w:val="false"/>
          <w:color w:val="000000"/>
          <w:sz w:val="12"/>
        </w:rPr>
        <w:t>(2)</w:t>
      </w:r>
      <w:r>
        <w:rPr>
          <w:color w:val="000000"/>
        </w:rPr>
        <w:t>“</w:t>
      </w:r>
      <w:r>
        <w:rPr>
          <w:rFonts w:ascii="Times New Roman;serif" w:hAnsi="Times New Roman;serif"/>
          <w:b w:val="false"/>
          <w:color w:val="000000"/>
          <w:sz w:val="18"/>
        </w:rPr>
        <w:t>Other Revenue” includes rental and site services income not allocated to segments.</w:t>
      </w:r>
    </w:p>
    <w:p>
      <w:pPr>
        <w:pStyle w:val="TextBody"/>
        <w:bidi w:val="0"/>
        <w:spacing w:lineRule="auto" w:line="300" w:before="0" w:after="120"/>
        <w:jc w:val="both"/>
        <w:rPr/>
      </w:pPr>
      <w:r>
        <w:rPr>
          <w:rFonts w:ascii="Times New Roman;serif" w:hAnsi="Times New Roman;serif"/>
          <w:b w:val="false"/>
          <w:color w:val="000000"/>
          <w:sz w:val="20"/>
        </w:rPr>
        <w:t xml:space="preserve">The following table presents segment income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thousands):</w:t>
      </w:r>
    </w:p>
    <w:tbl>
      <w:tblPr>
        <w:tblW w:w="10446" w:type="dxa"/>
        <w:jc w:val="left"/>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721"/>
        <w:gridCol w:w="109"/>
        <w:gridCol w:w="109"/>
        <w:gridCol w:w="109"/>
        <w:gridCol w:w="109"/>
        <w:gridCol w:w="211"/>
        <w:gridCol w:w="721"/>
        <w:gridCol w:w="109"/>
        <w:gridCol w:w="109"/>
        <w:gridCol w:w="109"/>
        <w:gridCol w:w="109"/>
        <w:gridCol w:w="109"/>
        <w:gridCol w:w="109"/>
        <w:gridCol w:w="263"/>
        <w:gridCol w:w="263"/>
        <w:gridCol w:w="551"/>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211"/>
        <w:gridCol w:w="61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81" w:type="dxa"/>
            <w:gridSpan w:val="8"/>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Neuromodulation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For a reconciliation of segment income to consolidated income (loss) before income tax, refer to “Note 11. Segment and Geographic Information” in the condensed consolidated financial statements in this Report.</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Cardiopulmonary</w:t>
      </w:r>
    </w:p>
    <w:p>
      <w:pPr>
        <w:pStyle w:val="TextBody"/>
        <w:bidi w:val="0"/>
        <w:spacing w:lineRule="auto" w:line="300" w:before="0" w:after="120"/>
        <w:jc w:val="both"/>
        <w:rPr/>
      </w:pPr>
      <w:r>
        <w:rPr>
          <w:rFonts w:ascii="Times New Roman;serif" w:hAnsi="Times New Roman;serif"/>
          <w:b w:val="false"/>
          <w:color w:val="000000"/>
          <w:sz w:val="20"/>
        </w:rPr>
        <w:t>Cardiopulmonary net revenue for the three and six months ended June 30, 2026 increased 11.2% to $221.6 million and 14.5% to $430.2 million compared to the three and six months ended June 30, 2025, driven by growth in Europe, primarily reflecting Essenz</w:t>
      </w:r>
      <w:r>
        <w:rPr>
          <w:color w:val="000000"/>
        </w:rPr>
        <w:t xml:space="preserve"> </w:t>
      </w:r>
      <w:r>
        <w:rPr>
          <w:rFonts w:ascii="Times New Roman;serif" w:hAnsi="Times New Roman;serif"/>
          <w:b w:val="false"/>
          <w:color w:val="000000"/>
          <w:sz w:val="20"/>
        </w:rPr>
        <w:t>Perfusion System sales, strong consumables demand, and favorable realized price.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Cardiopulmonary segment income for the three and six months ended June 30, 2026 was $28.2 million and $58.2 million, respectively, compared to segment income of $31.4 million and $56.1 million for the three and six months ended June 30, 2025, respectively. The decrease in segment income for the three-month comparative period primarily resulted from an increase of $11.4 million in the amount recorded for the litigation provision related to LivaNova’s 3T Heater-Cooler device, partially offset by an increase in net revenue, as described above, and $5.8 million from net tariff refunds. The increase in segment income for the six-month comparative period primarily resulted from an increase in net revenue, as described above, and $5.8 million from net tariff refunds, partially offset by an increase of $10.7 million in the amount recorded for the litigation provision related to LivaNova’s 3T Heater-Cooler device.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Neuromodulation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Neuromodulation net revenue for the three and six months ended June 30, 2026 increased 10.1% to $166.9 million and 9.7% to $318.7 million, respectively, compared to the three and six months ended June 30, 2025, with growth across all regions, driven by volume growth and favorable realized price.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Neuromodulation segment income for the three and six months ended June 30, 2026 was $60.9 million and $105.1 million, respectively, compared to $56.0 million and $108.4 million for the three and six months ended June 30, 2025, respectively. The increase in segment income for the three-month comparative period primarily resulted from an increase in net revenue, as described above. The decrease in segment income for the six-month comparative period primarily resulted from a $9.7 million increase in R&amp;D expense associated with the design and development of neurostimulation devices for treating OSA, and $6.8 million of higher expense from the net unfavorable changes in fair value of contingent consideration arrangements associated with the ImThera acquisition, partially offset by an increase in net revenue, as described above.</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Cost of Sales and Expenses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costs and expenses as a percentage of net revenue:</w:t>
      </w:r>
    </w:p>
    <w:tbl>
      <w:tblPr>
        <w:tblW w:w="10205" w:type="dxa"/>
        <w:jc w:val="left"/>
        <w:tblInd w:w="0" w:type="dxa"/>
        <w:tblLayout w:type="fixed"/>
        <w:tblCellMar>
          <w:top w:w="28" w:type="dxa"/>
          <w:left w:w="28" w:type="dxa"/>
          <w:bottom w:w="28" w:type="dxa"/>
          <w:right w:w="28" w:type="dxa"/>
        </w:tblCellMar>
      </w:tblPr>
      <w:tblGrid>
        <w:gridCol w:w="685"/>
        <w:gridCol w:w="600"/>
        <w:gridCol w:w="609"/>
        <w:gridCol w:w="109"/>
        <w:gridCol w:w="109"/>
        <w:gridCol w:w="109"/>
        <w:gridCol w:w="292"/>
        <w:gridCol w:w="219"/>
        <w:gridCol w:w="303"/>
        <w:gridCol w:w="122"/>
        <w:gridCol w:w="122"/>
        <w:gridCol w:w="122"/>
        <w:gridCol w:w="292"/>
        <w:gridCol w:w="219"/>
        <w:gridCol w:w="303"/>
        <w:gridCol w:w="122"/>
        <w:gridCol w:w="122"/>
        <w:gridCol w:w="122"/>
        <w:gridCol w:w="489"/>
        <w:gridCol w:w="489"/>
        <w:gridCol w:w="490"/>
        <w:gridCol w:w="109"/>
        <w:gridCol w:w="109"/>
        <w:gridCol w:w="109"/>
        <w:gridCol w:w="264"/>
        <w:gridCol w:w="247"/>
        <w:gridCol w:w="291"/>
        <w:gridCol w:w="117"/>
        <w:gridCol w:w="117"/>
        <w:gridCol w:w="117"/>
        <w:gridCol w:w="264"/>
        <w:gridCol w:w="247"/>
        <w:gridCol w:w="291"/>
        <w:gridCol w:w="117"/>
        <w:gridCol w:w="117"/>
        <w:gridCol w:w="117"/>
        <w:gridCol w:w="443"/>
        <w:gridCol w:w="443"/>
        <w:gridCol w:w="637"/>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Point Change</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Cost of Sales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Cost of sales consists of direct labor, allocated manufacturing overhead, and the acquisition of raw materials and components.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Cost of sales as a percentage of net revenue was 29.9% and 31.3% for the three and six months ended June 30, 2026, respectively, representing decreases of 2.3 and 0.7 percentage points compared to the three and six months ended June 30, 2025, respectively, primarily as a result of recognizing $7.7 million in tariff refunds, partially offset by unfavorable product mix.</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SG&amp;A expense consists of sales, marketing, general, and administrative activities.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SG&amp;A expense as a percentage of net revenue was 40.5% and 40.1% for the three and six months ended June 30, 2026, respectively, representing increases of 1.4 and 0.2 percentage points compared to the three and six months ended June 30, 2025, respectively, primarily driven by increased share-based compensation expense resulting primarily from accelerated recognition of expense for retirement-eligible employees. The six-month comparative period was partially offset by fixed cost leverage.</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R&amp;D expense consists of product design and development efforts, clinical study programs, and regulatory activities.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R&amp;D expense as a percentage of net revenue was 13.7% and 14.9% for the three and six months ended June 30, 2026, respectively, representing increases of 0.3 and 2.2 percentage points compared to the three and six months ended June 30, 2025, respectively. The increase in the six-month comparative period was primarily due to a $9.7 million increase in costs associated with the design and development of neurostimulation devices for treating OSA, as well as $8.5 million of higher expense from the net unfavorable changes in fair value of the milestone-based contingent consideration arrangement associated with the ImThera acquisition.</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Other Operating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primarily consists of the provision for litigation involving LivaNova’s 3T Heater-Cooler device and the Saluggia site remediation provision.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as a percentage of net revenue was 3.2% and 1.6% for the three and six months ended June 30, 2026, respectively, representing increases of 3.2 and 1.5 percentage points compared to the three and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respectively, primarily due to increases of $11.4 million and $10.7 million in the amount recorded for the litigation provision related to LivaNova’s 3T Heater-Cooler device for the three- and six-month comparative periods, respectively.</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SNIA Environmental Liability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€333.3 million ($362.1 million) as SNIA environmental liability expense for the six months ended June 30, 2025. For additional information, refer to “Note 6. Commitments and Contingencies” in the condensed consolidated financial statements in this Report.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Interest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to $7.2 million and $15.5 million for the three and six months ended June 30, 2026, respectively, compared to $14.9 million and $30.2 million for the three and six months ended June 30, 2025, respectively, primarily due to repaying the Term Facilities and 2025 Notes. For additional information, refer to “Note 5. Financing Arrangements” in the condensed consolidated financial statements in this Report.</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Foreign Exchange and Other Income/(Expense)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Foreign exchange and other income/(expense) was expense of $23.8 million and $29.5 million for the three and six months ended June 30, 2026, respectively, compared to expense of $4.3 million and income of $7.2 million for the three and six months ended June 30, 2025, respectively. For additional information, refer to “Note 12. Supplemental Financial Information” in the condensed consolidated financial statements in this Report.</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Income Tax Expense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LivaNova’s effective income tax rate for the three and six months ended June 30, 2026 was (488.1)% and (186.8)%, respectively, compared to 18.5% and (6.3)% for the three and six months ended June 30, 2025, respectively. The changes in the effective tax rates for the three and six months ended June 30, 2026, compared to the prior year period, were primarily attributable to year-over-year changes in income before income tax in countries with varying statutory tax rates, certain discrete tax items, including the SNIA environmental liability recognized in 2025 and the discrete tax benefit resulting from the Italian tax ruling recognized in 2026 (further described below), and changes in valuation allowances.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available evidence (both positive and negative) in determining whether a valuation allowance is required on deferred tax assets. Depending on operating results in the future, a release of a valuation allowance could occur within the next 12 months. The timing and amount of the valuation allowance release could vary based on the Company’s assessment of all available evidence.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the Italian tax authority, Agenzia delle Entrate, issued a ruling on the deductibility of the SNIA environmental liability expense, resulting in a discrete tax benefit for the three and six months ended June 30, 2026 of €81.8 million ($95.4 million) and an estimated deferred tax asset of €80.0 million ($93.3 million), as of June 30, 2026. LivaNova determined that the Italian deferred tax assets are more likely than not realizable and, accordingly, did not record a valuation allowance.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OBBBA was enacted in the U.S. in July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necessary. LivaNova’s liquidity could be adversely affected by the factors affecting future operating results, including those referred to in “Part I, Item 1A. Risk Factors” in the 2025 Form 10-K, as well as “Note 6. Commitments and Contingencies” in the condensed consolidated financial statements in this Report.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LivaNova’s operating and working capital obligations primarily consist of liabilities arising from the normal course of business, including inventory supply contracts, the future settlement of derivative instruments, future payments of operating leases, as well as contingent consideration arrangements resulting from acquisitions, and obligations associated with legal and other accruals.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related to LivaNova’s liquidity (in thousands):</w:t>
      </w:r>
    </w:p>
    <w:tbl>
      <w:tblPr>
        <w:tblW w:w="8593" w:type="dxa"/>
        <w:jc w:val="left"/>
        <w:tblInd w:w="0" w:type="dxa"/>
        <w:tblLayout w:type="fixed"/>
        <w:tblCellMar>
          <w:top w:w="28" w:type="dxa"/>
          <w:left w:w="28" w:type="dxa"/>
          <w:bottom w:w="28" w:type="dxa"/>
          <w:right w:w="28" w:type="dxa"/>
        </w:tblCellMar>
      </w:tblPr>
      <w:tblGrid>
        <w:gridCol w:w="1767"/>
        <w:gridCol w:w="1549"/>
        <w:gridCol w:w="1558"/>
        <w:gridCol w:w="109"/>
        <w:gridCol w:w="109"/>
        <w:gridCol w:w="109"/>
        <w:gridCol w:w="211"/>
        <w:gridCol w:w="976"/>
        <w:gridCol w:w="109"/>
        <w:gridCol w:w="109"/>
        <w:gridCol w:w="109"/>
        <w:gridCol w:w="109"/>
        <w:gridCol w:w="249"/>
        <w:gridCol w:w="1153"/>
        <w:gridCol w:w="367"/>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Available Short-term Liquidity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Availability under the 2021 First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860,552 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1,101,613 </w:t>
            </w:r>
          </w:p>
        </w:tc>
        <w:tc>
          <w:tcPr>
            <w:tcW w:w="36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293,541 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80"/>
              <w:jc w:val="left"/>
              <w:rPr/>
            </w:pPr>
            <w:r>
              <w:rPr>
                <w:rFonts w:ascii="Times New Roman;serif" w:hAnsi="Times New Roman;serif"/>
                <w:b w:val="false"/>
                <w:color w:val="000000"/>
                <w:sz w:val="20"/>
              </w:rPr>
              <w:t xml:space="preserve">Current portion of long-term debt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30,878 </w:t>
            </w:r>
          </w:p>
        </w:tc>
        <w:tc>
          <w:tcPr>
            <w:tcW w:w="36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unsecured borrowing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80"/>
              <w:jc w:val="left"/>
              <w:rPr/>
            </w:pPr>
            <w:r>
              <w:rPr>
                <w:rFonts w:ascii="Times New Roman;serif" w:hAnsi="Times New Roman;serif"/>
                <w:b w:val="false"/>
                <w:color w:val="000000"/>
                <w:sz w:val="20"/>
              </w:rPr>
              <w:t xml:space="preserve">Long-term debt obligations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345,185 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376,657 </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On January 8, 2026, LivaNova made a $95.9 million early repayment of the remaining outstanding balance under the Term Facilities.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on LivaNova’s debt obligations, refer to “Note 5. Financing Arrangements” in the condensed consolidated financial statements in this Report. </w:t>
      </w:r>
    </w:p>
    <w:p>
      <w:pPr>
        <w:pStyle w:val="TextBody"/>
        <w:bidi w:val="0"/>
        <w:spacing w:lineRule="auto" w:line="300" w:before="0" w:after="120"/>
        <w:jc w:val="both"/>
        <w:rPr>
          <w:rFonts w:ascii="Times New Roman;serif" w:hAnsi="Times New Roman;serif"/>
          <w:b w:val="false"/>
          <w:color w:val="000000"/>
          <w:sz w:val="22"/>
        </w:rPr>
      </w:pPr>
      <w:r>
        <w:rPr>
          <w:rFonts w:ascii="Times New Roman;serif" w:hAnsi="Times New Roman;serif"/>
          <w:b w:val="false"/>
          <w:color w:val="000000"/>
          <w:sz w:val="22"/>
        </w:rPr>
        <w:t>Cash Flows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cash, cash equivalents, and restricted cash provided by (used in) operating, investing, and financing activities and the net decrease in the balance of cash, cash equivalents, and restricted cash (in thousands):</w:t>
      </w:r>
    </w:p>
    <w:tbl>
      <w:tblPr>
        <w:tblW w:w="9734" w:type="dxa"/>
        <w:jc w:val="left"/>
        <w:tblInd w:w="0" w:type="dxa"/>
        <w:tblLayout w:type="fixed"/>
        <w:tblCellMar>
          <w:top w:w="28" w:type="dxa"/>
          <w:left w:w="28" w:type="dxa"/>
          <w:bottom w:w="28" w:type="dxa"/>
          <w:right w:w="28" w:type="dxa"/>
        </w:tblCellMar>
      </w:tblPr>
      <w:tblGrid>
        <w:gridCol w:w="2308"/>
        <w:gridCol w:w="2026"/>
        <w:gridCol w:w="2041"/>
        <w:gridCol w:w="109"/>
        <w:gridCol w:w="109"/>
        <w:gridCol w:w="109"/>
        <w:gridCol w:w="211"/>
        <w:gridCol w:w="901"/>
        <w:gridCol w:w="109"/>
        <w:gridCol w:w="109"/>
        <w:gridCol w:w="109"/>
        <w:gridCol w:w="109"/>
        <w:gridCol w:w="211"/>
        <w:gridCol w:w="901"/>
        <w:gridCol w:w="109"/>
        <w:gridCol w:w="109"/>
        <w:gridCol w:w="154"/>
      </w:tblGrid>
      <w:tr>
        <w:trPr/>
        <w:tc>
          <w:tcPr>
            <w:tcW w:w="2308"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decrease in cash, cash equivalents, and restricted cash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On March 31, 2025, as a result of the decision by the Italian Supreme Court, the SNIA Litigation Guarantee was terminated, and the restriction on the cash deposit held as collateral was released. For additional information, refer to “Note 6. Commitments and Contingencies” in the condensed consolidated financial statements in this Report.</w:t>
      </w:r>
    </w:p>
    <w:p>
      <w:pPr>
        <w:pStyle w:val="TextBody"/>
        <w:bidi w:val="0"/>
        <w:spacing w:lineRule="auto" w:line="300" w:before="0" w:after="1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for the six months ended June 30, 2026 decreased by $5.1 million, compared to the same prior year period, primarily due to increases in payments to employees and vendors, as well as $10.0 million from the June 2026 payment satisfying the ImThera regulatory-based contingent consideration liability, partially offset by higher customer collections resulting from an increase in sales and a decrease in cash paid for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2026 increased $26.9 million, compared to the same prior year period, primarily due to an increase in purchases of property, plant, and equipment of $19.9 million, principally related to purchases and development of internal-use software, as well as a decrease in proceeds from investments of $6.5 million.</w:t>
      </w:r>
    </w:p>
    <w:p>
      <w:pPr>
        <w:pStyle w:val="TextBody"/>
        <w:bidi w:val="0"/>
        <w:spacing w:lineRule="auto" w:line="300" w:before="0" w:after="1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six months ended June 30, 2026 decreased $62.7 million, compared to the same prior year period, primarily due to a decrease of $114.3 million in repayments of long-term debt obligations, partially offset by $50.4 million from the June 2026 payment satisfying the ImThera regulatory-based contingent consideration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LivaNova is exposed to certain market risks as part of its ongoing business operations, including risks from foreign currency exchange and interest rates, as well as credit risk, that could adversely affect LivaNova’s consolidated results of operations, financial condition, and/or cash flows. The Company manages these risks through regular operating and financing activities and derivative financial instruments. Quantitative and qualitative disclosures about these risks are included in this Report in “Part I, Item 1. Financial Statements, Note 3. Derivatives and Risk Management,” “Part I, Item 2. Management’s Discussion and Analysis of Financial Condition and Results of Operations,” and in LivaNova’s 2025 Form 10-K in “Part II, Item 7. Management’s Discussion and Analysis of Financial Condition and Results of Operations” and “Part 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June 30, 2026, the design and operation of the Company’s disclosure controls and procedures were effective to accomplish their objectives at the reasonable assurance level.</w:t>
      </w: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LivaNova’s internal control over financial reporting (as defined in Rules 13a-15(f) and 15d-15(f) under the Exchange Act) during the quarter ended June 30, 2026 that have materially affected, or are reasonably likely to materially affect, LivaNova’s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For a description of LivaNova’s material pending legal and regulatory proceedings and settlements, refer to “Note 6. Commitments and Contingencies” in the Company’s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LivaNova’s risk factors from those disclosed in Part I, Item 1A of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pPr>
      <w:r>
        <w:rPr>
          <w:rFonts w:ascii="Times New Roman;serif" w:hAnsi="Times New Roman;serif"/>
          <w:b/>
          <w:color w:val="000000"/>
          <w:sz w:val="24"/>
        </w:rPr>
        <w:t>ITEM 2.</w:t>
      </w:r>
      <w:r>
        <w:rPr>
          <w:color w:val="000000"/>
        </w:rPr>
        <w:t xml:space="preserve"> </w:t>
      </w:r>
      <w:r>
        <w:rPr>
          <w:rFonts w:ascii="Times New Roman;serif" w:hAnsi="Times New Roman;serif"/>
          <w:b/>
          <w:color w:val="000000"/>
          <w:sz w:val="24"/>
        </w:rPr>
        <w:t>UNREGISTERED SALES OF EQUITY SECURITIES AND USE OF PROCEEDS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 xml:space="preserve">Disclosure Pursuant to Section 13(r) of the Exchange Act of 1934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LivaNova’s gross revenue and net profits attributable to the above-mentioned Iranian activities were $1.8 million and $0.9 million for the three months ended June 30, 2026, respectively, and $3.4 million and $1.7 million for the six months ended June 30, 2026, respectively.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LivaNova believes its activities are consistent with applicable law, including U.S., UK, European Union, and other applicable sanctions laws, though such laws are complex and continue to evolve rapidly. The Company intends to continue its business in Iran.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w:anchor="livn-2026630xex311.htm">
              <w:r>
                <w:rPr>
                  <w:rStyle w:val="InternetLink"/>
                  <w:rFonts w:ascii="Times New Roman;serif" w:hAnsi="Times New Roman;serif"/>
                  <w:b w:val="false"/>
                  <w:color w:val="0000FF"/>
                  <w:sz w:val="20"/>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 of LivaNova PLC pursuant to Section 302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ivn-2026630xex312.htm">
              <w:r>
                <w:rPr>
                  <w:rStyle w:val="InternetLink"/>
                  <w:rFonts w:ascii="Times New Roman;serif" w:hAnsi="Times New Roman;serif"/>
                  <w:b w:val="false"/>
                  <w:color w:val="0000FF"/>
                  <w:sz w:val="20"/>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of LivaNova PLC pursuant to Section 302 of the Sarbanes-Oxley Act of 2002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ivn-2026630xex321.htm">
              <w:r>
                <w:rPr>
                  <w:rStyle w:val="InternetLink"/>
                  <w:rFonts w:ascii="Times New Roman;serif" w:hAnsi="Times New Roman;serif"/>
                  <w:b w:val="false"/>
                  <w:color w:val="0000FF"/>
                  <w:sz w:val="20"/>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 and Chief Financial Officer of LivaNova PLC pursuant to Section 906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 formatted in Inline XBRL: (i) the Condensed Consolidated Statements of Income (Loss) for the three and six months ended June 30, 2026 and 2025, (ii) the Condensed Consolidated Statements of Comprehensive Income (Loss) for the three and six months ended June 30, 2026 and 2025, (iii) the Condensed Consolidated Balance Sheets as of June 30, 2026 and December 31, 2025, (iv) the Condensed Consolidated Statements of Cash Flows for the six months ended June 30, 2026 and 2025, and (v) the Notes to the Condensed Consolidated Financial Statements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2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30" w:type="dxa"/>
        <w:jc w:val="left"/>
        <w:tblInd w:w="0" w:type="dxa"/>
        <w:tblLayout w:type="fixed"/>
        <w:tblCellMar>
          <w:top w:w="28" w:type="dxa"/>
          <w:left w:w="28" w:type="dxa"/>
          <w:bottom w:w="28" w:type="dxa"/>
          <w:right w:w="28" w:type="dxa"/>
        </w:tblCellMar>
      </w:tblPr>
      <w:tblGrid>
        <w:gridCol w:w="667"/>
        <w:gridCol w:w="587"/>
        <w:gridCol w:w="590"/>
        <w:gridCol w:w="239"/>
        <w:gridCol w:w="239"/>
        <w:gridCol w:w="239"/>
        <w:gridCol w:w="773"/>
        <w:gridCol w:w="773"/>
        <w:gridCol w:w="112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VLADIMIR MAKATSARIA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Vladimir Makatsaria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6431" w:type="dxa"/>
        <w:jc w:val="left"/>
        <w:tblInd w:w="0" w:type="dxa"/>
        <w:tblLayout w:type="fixed"/>
        <w:tblCellMar>
          <w:top w:w="28" w:type="dxa"/>
          <w:left w:w="28" w:type="dxa"/>
          <w:bottom w:w="28" w:type="dxa"/>
          <w:right w:w="28" w:type="dxa"/>
        </w:tblCellMar>
      </w:tblPr>
      <w:tblGrid>
        <w:gridCol w:w="667"/>
        <w:gridCol w:w="587"/>
        <w:gridCol w:w="590"/>
        <w:gridCol w:w="239"/>
        <w:gridCol w:w="239"/>
        <w:gridCol w:w="239"/>
        <w:gridCol w:w="1121"/>
        <w:gridCol w:w="1121"/>
        <w:gridCol w:w="16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ALEX SHVARTSBURG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Alex Shvartsburg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417"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417"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417"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12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Vladimir Makatsaria, certify that: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LivaNova PLC and its consolidated subsidiaries;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firstLine="540"/>
        <w:jc w:val="both"/>
        <w:rPr/>
      </w:pPr>
      <w:r>
        <w:rPr/>
      </w:r>
    </w:p>
    <w:p>
      <w:pPr>
        <w:pStyle w:val="TextBody"/>
        <w:bidi w:val="0"/>
        <w:spacing w:lineRule="auto" w:line="417"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3012" w:type="dxa"/>
        <w:jc w:val="center"/>
        <w:tblInd w:w="0" w:type="dxa"/>
        <w:tblLayout w:type="fixed"/>
        <w:tblCellMar>
          <w:top w:w="28" w:type="dxa"/>
          <w:left w:w="28" w:type="dxa"/>
          <w:bottom w:w="28" w:type="dxa"/>
          <w:right w:w="28" w:type="dxa"/>
        </w:tblCellMar>
      </w:tblPr>
      <w:tblGrid>
        <w:gridCol w:w="124"/>
        <w:gridCol w:w="109"/>
        <w:gridCol w:w="109"/>
        <w:gridCol w:w="781"/>
        <w:gridCol w:w="781"/>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3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Alex Shvartsburg, certify that: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LivaNova PLC and its consolidated subsidiaries;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firstLine="540"/>
        <w:jc w:val="both"/>
        <w:rPr/>
      </w:pPr>
      <w:r>
        <w:rPr/>
      </w:r>
    </w:p>
    <w:p>
      <w:pPr>
        <w:pStyle w:val="TextBody"/>
        <w:bidi w:val="0"/>
        <w:spacing w:lineRule="auto" w:line="417"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212" w:type="dxa"/>
        <w:jc w:val="center"/>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0" w:after="12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417"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CERTIFICATION OF THE</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CHIEF EXECUTIVE OFFICER AND</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OF LIVANOVA PLC</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556"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120"/>
        <w:ind w:left="0" w:right="0" w:firstLine="360"/>
        <w:jc w:val="both"/>
        <w:rPr/>
      </w:pPr>
      <w:r>
        <w:rPr/>
      </w:r>
    </w:p>
    <w:p>
      <w:pPr>
        <w:pStyle w:val="TextBody"/>
        <w:bidi w:val="0"/>
        <w:spacing w:lineRule="auto" w:line="417"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pStyle w:val="TextBody"/>
        <w:bidi w:val="0"/>
        <w:spacing w:before="0" w:after="120"/>
        <w:jc w:val="both"/>
        <w:rPr/>
      </w:pPr>
      <w:r>
        <w:rPr/>
      </w:r>
    </w:p>
    <w:p>
      <w:pPr>
        <w:pStyle w:val="TextBody"/>
        <w:bidi w:val="0"/>
        <w:spacing w:lineRule="auto" w:line="417" w:before="0" w:after="120"/>
        <w:ind w:left="0" w:right="0" w:firstLine="585"/>
        <w:jc w:val="both"/>
        <w:rPr>
          <w:rFonts w:ascii="Times New Roman;serif" w:hAnsi="Times New Roman;serif"/>
          <w:b w:val="false"/>
          <w:color w:val="000000"/>
          <w:sz w:val="20"/>
        </w:rPr>
      </w:pPr>
      <w:r>
        <w:rPr>
          <w:rFonts w:ascii="Times New Roman;serif" w:hAnsi="Times New Roman;serif"/>
          <w:b w:val="false"/>
          <w:color w:val="000000"/>
          <w:sz w:val="20"/>
        </w:rPr>
        <w:t>(a)  the Quarterly Report on Form 10-Q of the Company and its consolidated subsidiaries for the quarterly period ended June 30, 2026, as filed with the Securities and Exchange Commission on the date hereof (the “Report”) fully complies with the requirements of Section 13(a) or 15(d) of the Securities Exchange Act of 1934, as amended; and</w:t>
      </w:r>
    </w:p>
    <w:p>
      <w:pPr>
        <w:pStyle w:val="TextBody"/>
        <w:bidi w:val="0"/>
        <w:spacing w:before="0" w:after="120"/>
        <w:jc w:val="both"/>
        <w:rPr/>
      </w:pPr>
      <w:r>
        <w:rPr/>
      </w:r>
    </w:p>
    <w:p>
      <w:pPr>
        <w:pStyle w:val="TextBody"/>
        <w:bidi w:val="0"/>
        <w:spacing w:lineRule="auto" w:line="417" w:before="0" w:after="120"/>
        <w:ind w:left="0" w:right="0" w:firstLine="585"/>
        <w:jc w:val="both"/>
        <w:rPr>
          <w:rFonts w:ascii="Times New Roman;serif" w:hAnsi="Times New Roman;serif"/>
          <w:b w:val="false"/>
          <w:color w:val="000000"/>
          <w:sz w:val="20"/>
        </w:rPr>
      </w:pPr>
      <w:r>
        <w:rPr>
          <w:rFonts w:ascii="Times New Roman;serif" w:hAnsi="Times New Roman;serif"/>
          <w:b w:val="false"/>
          <w:color w:val="000000"/>
          <w:sz w:val="20"/>
        </w:rPr>
        <w:t>(b)  the information contained in the Report fairly presents, in all material respects, the financial condition and results of operations of the Company.</w:t>
      </w:r>
    </w:p>
    <w:p>
      <w:pPr>
        <w:pStyle w:val="TextBody"/>
        <w:bidi w:val="0"/>
        <w:spacing w:before="0" w:after="120"/>
        <w:jc w:val="both"/>
        <w:rPr/>
      </w:pPr>
      <w:r>
        <w:rPr/>
      </w:r>
    </w:p>
    <w:p>
      <w:pPr>
        <w:pStyle w:val="TextBody"/>
        <w:bidi w:val="0"/>
        <w:spacing w:lineRule="auto" w:line="288" w:before="0" w:after="260"/>
        <w:ind w:left="0" w:right="0" w:firstLine="585"/>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3012" w:type="dxa"/>
        <w:jc w:val="center"/>
        <w:tblInd w:w="0" w:type="dxa"/>
        <w:tblLayout w:type="fixed"/>
        <w:tblCellMar>
          <w:top w:w="28" w:type="dxa"/>
          <w:left w:w="28" w:type="dxa"/>
          <w:bottom w:w="28" w:type="dxa"/>
          <w:right w:w="28" w:type="dxa"/>
        </w:tblCellMar>
      </w:tblPr>
      <w:tblGrid>
        <w:gridCol w:w="124"/>
        <w:gridCol w:w="109"/>
        <w:gridCol w:w="109"/>
        <w:gridCol w:w="781"/>
        <w:gridCol w:w="781"/>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100" w:after="283"/>
        <w:ind w:left="0" w:right="0" w:firstLine="360"/>
        <w:jc w:val="center"/>
        <w:rPr/>
      </w:pPr>
      <w:r>
        <w:rPr/>
      </w:r>
    </w:p>
    <w:tbl>
      <w:tblPr>
        <w:tblW w:w="4212" w:type="dxa"/>
        <w:jc w:val="center"/>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180" w:after="120"/>
        <w:jc w:val="both"/>
        <w:rPr/>
      </w:pPr>
      <w:r>
        <w:rPr/>
      </w:r>
    </w:p>
    <w:p>
      <w:pPr>
        <w:pStyle w:val="TextBody"/>
        <w:bidi w:val="0"/>
        <w:spacing w:lineRule="auto" w:line="300"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00"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a part of this report or on a separate disclosure document.</w:t>
      </w:r>
    </w:p>
    <w:p>
      <w:pPr>
        <w:pStyle w:val="TextBody"/>
        <w:bidi w:val="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17323</Words>
  <Characters>99301</Characters>
  <CharactersWithSpaces>115166</CharactersWithSpaces>
  <Paragraphs>2577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