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640"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0"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22"/>
          <w:szCs w:val="22"/>
          <w:color w:val="auto"/>
        </w:rPr>
        <w:t>Emerging growth company</w:t>
      </w:r>
      <w:r>
        <w:rPr>
          <w:sz w:val="20"/>
          <w:szCs w:val="20"/>
          <w:color w:val="auto"/>
        </w:rPr>
        <w:tab/>
      </w:r>
      <w:r>
        <w:rPr>
          <w:rFonts w:ascii="Arial" w:cs="Arial" w:eastAsia="Arial" w:hAnsi="Arial"/>
          <w:sz w:val="16"/>
          <w:szCs w:val="16"/>
          <w:color w:val="auto"/>
        </w:rPr>
        <w:t>o</w:t>
      </w:r>
    </w:p>
    <w:p>
      <w:pPr>
        <w:spacing w:after="0" w:line="24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2017, at the 2017 Annual General Meeting of Shareholders (the “AGM”) of LivaNova PLC (the “Company” or “LivaNova”), the shareholders of the Company approved a proposal to amend the Company’s Articles of Association. The purpose of the amendment is to allow for general meetings to be held electronically as well as physically in accordance with the UK Companies (Shareholders’ Rights) Regulations 2009 and the UK Companies Act 2006. In addition, the amendment will remove a provision relating to record dates for general meetings that is no longer applicable to the Company following its delisting from the London Stock Exchange.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above is qualified in its entirety by reference to the actual terms of the amended Articles of Association attached hereto as Exhibit 3.1 and which exhibit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14, 2017, LivaNova held its 2017 AGM in London, 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Company’s AGM, LivaNova’s shareholders considered seven proposals as more fully described in the Company’s 2017 Proxy Statement and as summarized below. Each of the ordinary resolutions 1-7 were adopted. The number of votes cast for and against, as well as the number of abstentions as to each such resolution, are set forth below.</w:t>
      </w:r>
    </w:p>
    <w:p>
      <w:pPr>
        <w:spacing w:after="0" w:line="181" w:lineRule="exact"/>
        <w:rPr>
          <w:sz w:val="20"/>
          <w:szCs w:val="20"/>
          <w:color w:val="auto"/>
        </w:rPr>
      </w:pPr>
    </w:p>
    <w:p>
      <w:pPr>
        <w:ind w:right="20" w:firstLine="8"/>
        <w:spacing w:after="0" w:line="277"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the period ended December 31, 2016, together with the reports of the directors and the auditors thereon (the “UK annual report and accounts”).</w:t>
      </w:r>
    </w:p>
    <w:p>
      <w:pPr>
        <w:spacing w:after="0" w:line="329"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33,575,991</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230"/>
              <w:spacing w:after="0"/>
              <w:rPr>
                <w:sz w:val="20"/>
                <w:szCs w:val="20"/>
                <w:color w:val="auto"/>
              </w:rPr>
            </w:pPr>
            <w:r>
              <w:rPr>
                <w:rFonts w:ascii="Arial" w:cs="Arial" w:eastAsia="Arial" w:hAnsi="Arial"/>
                <w:sz w:val="18"/>
                <w:szCs w:val="18"/>
                <w:color w:val="auto"/>
              </w:rPr>
              <w:t>4,948</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750"/>
              <w:spacing w:after="0"/>
              <w:rPr>
                <w:sz w:val="20"/>
                <w:szCs w:val="20"/>
                <w:color w:val="auto"/>
              </w:rPr>
            </w:pPr>
            <w:r>
              <w:rPr>
                <w:rFonts w:ascii="Arial" w:cs="Arial" w:eastAsia="Arial" w:hAnsi="Arial"/>
                <w:sz w:val="18"/>
                <w:szCs w:val="18"/>
                <w:color w:val="auto"/>
              </w:rPr>
              <w:t>23,015</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2" w:lineRule="exact"/>
        <w:rPr>
          <w:sz w:val="20"/>
          <w:szCs w:val="20"/>
          <w:color w:val="auto"/>
        </w:rPr>
      </w:pPr>
    </w:p>
    <w:p>
      <w:pPr>
        <w:ind w:right="400" w:firstLine="8"/>
        <w:spacing w:after="0" w:line="277"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approve the directors’ remuneration report in the form set out in the Company’s UK annual report and accounts for the period ended December 31, 2016.</w:t>
      </w:r>
    </w:p>
    <w:p>
      <w:pPr>
        <w:spacing w:after="0" w:line="329"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29,346,001</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090"/>
              <w:spacing w:after="0"/>
              <w:rPr>
                <w:sz w:val="20"/>
                <w:szCs w:val="20"/>
                <w:color w:val="auto"/>
              </w:rPr>
            </w:pPr>
            <w:r>
              <w:rPr>
                <w:rFonts w:ascii="Arial" w:cs="Arial" w:eastAsia="Arial" w:hAnsi="Arial"/>
                <w:sz w:val="18"/>
                <w:szCs w:val="18"/>
                <w:color w:val="auto"/>
              </w:rPr>
              <w:t>4,231,992</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750"/>
              <w:spacing w:after="0"/>
              <w:rPr>
                <w:sz w:val="20"/>
                <w:szCs w:val="20"/>
                <w:color w:val="auto"/>
              </w:rPr>
            </w:pPr>
            <w:r>
              <w:rPr>
                <w:rFonts w:ascii="Arial" w:cs="Arial" w:eastAsia="Arial" w:hAnsi="Arial"/>
                <w:sz w:val="18"/>
                <w:szCs w:val="18"/>
                <w:color w:val="auto"/>
              </w:rPr>
              <w:t>25,961</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2" w:lineRule="exact"/>
        <w:rPr>
          <w:sz w:val="20"/>
          <w:szCs w:val="20"/>
          <w:color w:val="auto"/>
        </w:rPr>
      </w:pPr>
    </w:p>
    <w:p>
      <w:pPr>
        <w:ind w:right="160" w:firstLine="8"/>
        <w:spacing w:after="0" w:line="308"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Ordinary resolution to re-appoint PricewaterhouseCoopers LP as the Company’s UK statutory auditor under the UK Companies Act 2006 to hold office from the conclusion of the AGM until the conclusion of the next general meeting at which the annual report and accounts are laid.</w:t>
      </w:r>
    </w:p>
    <w:p>
      <w:pPr>
        <w:spacing w:after="0" w:line="305"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33,585,379</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310"/>
              <w:spacing w:after="0"/>
              <w:rPr>
                <w:sz w:val="20"/>
                <w:szCs w:val="20"/>
                <w:color w:val="auto"/>
              </w:rPr>
            </w:pPr>
            <w:r>
              <w:rPr>
                <w:rFonts w:ascii="Arial" w:cs="Arial" w:eastAsia="Arial" w:hAnsi="Arial"/>
                <w:sz w:val="18"/>
                <w:szCs w:val="18"/>
                <w:color w:val="auto"/>
              </w:rPr>
              <w:t>738</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750"/>
              <w:spacing w:after="0"/>
              <w:rPr>
                <w:sz w:val="20"/>
                <w:szCs w:val="20"/>
                <w:color w:val="auto"/>
              </w:rPr>
            </w:pPr>
            <w:r>
              <w:rPr>
                <w:rFonts w:ascii="Arial" w:cs="Arial" w:eastAsia="Arial" w:hAnsi="Arial"/>
                <w:sz w:val="18"/>
                <w:szCs w:val="18"/>
                <w:color w:val="auto"/>
              </w:rPr>
              <w:t>17,837</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2" w:lineRule="exact"/>
        <w:rPr>
          <w:sz w:val="20"/>
          <w:szCs w:val="20"/>
          <w:color w:val="auto"/>
        </w:rPr>
      </w:pPr>
    </w:p>
    <w:p>
      <w:pPr>
        <w:ind w:right="120" w:firstLine="8"/>
        <w:spacing w:after="0" w:line="27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S.p.A. as the Company’s independent registered public accounting firm for the year ended December 31, 2017.</w:t>
      </w:r>
    </w:p>
    <w:p>
      <w:pPr>
        <w:spacing w:after="0" w:line="329"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35,163,877</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230"/>
              <w:spacing w:after="0"/>
              <w:rPr>
                <w:sz w:val="20"/>
                <w:szCs w:val="20"/>
                <w:color w:val="auto"/>
              </w:rPr>
            </w:pPr>
            <w:r>
              <w:rPr>
                <w:rFonts w:ascii="Arial" w:cs="Arial" w:eastAsia="Arial" w:hAnsi="Arial"/>
                <w:sz w:val="18"/>
                <w:szCs w:val="18"/>
                <w:color w:val="auto"/>
              </w:rPr>
              <w:t>2,466</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750"/>
              <w:spacing w:after="0"/>
              <w:rPr>
                <w:sz w:val="20"/>
                <w:szCs w:val="20"/>
                <w:color w:val="auto"/>
              </w:rPr>
            </w:pPr>
            <w:r>
              <w:rPr>
                <w:rFonts w:ascii="Arial" w:cs="Arial" w:eastAsia="Arial" w:hAnsi="Arial"/>
                <w:sz w:val="18"/>
                <w:szCs w:val="18"/>
                <w:color w:val="auto"/>
              </w:rPr>
              <w:t>17,856</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20"/>
          </w:cols>
          <w:pgMar w:left="240" w:top="364" w:right="239" w:bottom="1440" w:gutter="0" w:footer="0" w:header="0"/>
        </w:sectPr>
      </w:pPr>
    </w:p>
    <w:bookmarkStart w:id="2" w:name="page3"/>
    <w:bookmarkEnd w:id="2"/>
    <w:p>
      <w:pPr>
        <w:ind w:right="940" w:firstLine="8"/>
        <w:spacing w:after="0" w:line="308"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Ordinary resolution to authorize the directors and/or the Audit &amp; Compliance Committee of the Company to determine the remuneration of PricewaterhouseCoopers LLP, in its capacity as the Company’s UK statutory auditor under the UK Companies Act 2006.</w:t>
      </w:r>
    </w:p>
    <w:p>
      <w:pPr>
        <w:spacing w:after="0" w:line="305"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33,570,161</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230"/>
              <w:spacing w:after="0"/>
              <w:rPr>
                <w:sz w:val="20"/>
                <w:szCs w:val="20"/>
                <w:color w:val="auto"/>
              </w:rPr>
            </w:pPr>
            <w:r>
              <w:rPr>
                <w:rFonts w:ascii="Arial" w:cs="Arial" w:eastAsia="Arial" w:hAnsi="Arial"/>
                <w:sz w:val="18"/>
                <w:szCs w:val="18"/>
                <w:color w:val="auto"/>
              </w:rPr>
              <w:t>9,846</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750"/>
              <w:spacing w:after="0"/>
              <w:rPr>
                <w:sz w:val="20"/>
                <w:szCs w:val="20"/>
                <w:color w:val="auto"/>
              </w:rPr>
            </w:pPr>
            <w:r>
              <w:rPr>
                <w:rFonts w:ascii="Arial" w:cs="Arial" w:eastAsia="Arial" w:hAnsi="Arial"/>
                <w:sz w:val="18"/>
                <w:szCs w:val="18"/>
                <w:color w:val="auto"/>
              </w:rPr>
              <w:t>23,947</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2" w:lineRule="exact"/>
        <w:rPr>
          <w:sz w:val="20"/>
          <w:szCs w:val="20"/>
          <w:color w:val="auto"/>
        </w:rPr>
      </w:pPr>
    </w:p>
    <w:p>
      <w:pPr>
        <w:ind w:right="140" w:firstLine="8"/>
        <w:spacing w:after="0" w:line="27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resolution to approve the form of share repurchase contracts and the counterparties through which the Company may conduct repurchases on the NASDAQ Global Market, as described more fully in the proxy statement accompanying the notice of the AGM.</w:t>
      </w:r>
    </w:p>
    <w:p>
      <w:pPr>
        <w:spacing w:after="0" w:line="329"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30,680,882</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090"/>
              <w:spacing w:after="0"/>
              <w:rPr>
                <w:sz w:val="20"/>
                <w:szCs w:val="20"/>
                <w:color w:val="auto"/>
              </w:rPr>
            </w:pPr>
            <w:r>
              <w:rPr>
                <w:rFonts w:ascii="Arial" w:cs="Arial" w:eastAsia="Arial" w:hAnsi="Arial"/>
                <w:sz w:val="18"/>
                <w:szCs w:val="18"/>
                <w:color w:val="auto"/>
              </w:rPr>
              <w:t>1,110,316</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630"/>
              <w:spacing w:after="0"/>
              <w:rPr>
                <w:sz w:val="20"/>
                <w:szCs w:val="20"/>
                <w:color w:val="auto"/>
              </w:rPr>
            </w:pPr>
            <w:r>
              <w:rPr>
                <w:rFonts w:ascii="Arial" w:cs="Arial" w:eastAsia="Arial" w:hAnsi="Arial"/>
                <w:sz w:val="18"/>
                <w:szCs w:val="18"/>
                <w:color w:val="auto"/>
              </w:rPr>
              <w:t>1,812,756</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Special resolution to adopt new Articles of Association of the Company.</w:t>
      </w:r>
    </w:p>
    <w:p>
      <w:pPr>
        <w:spacing w:after="0" w:line="383"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3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3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r>
      <w:tr>
        <w:trPr>
          <w:trHeight w:val="27"/>
        </w:trPr>
        <w:tc>
          <w:tcPr>
            <w:tcW w:w="2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8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rPr>
              <w:t>33,566,081</w:t>
            </w:r>
          </w:p>
        </w:tc>
        <w:tc>
          <w:tcPr>
            <w:tcW w:w="380" w:type="dxa"/>
            <w:vAlign w:val="bottom"/>
          </w:tcPr>
          <w:p>
            <w:pPr>
              <w:spacing w:after="0"/>
              <w:rPr>
                <w:sz w:val="21"/>
                <w:szCs w:val="21"/>
                <w:color w:val="auto"/>
              </w:rPr>
            </w:pPr>
          </w:p>
        </w:tc>
        <w:tc>
          <w:tcPr>
            <w:tcW w:w="3060" w:type="dxa"/>
            <w:vAlign w:val="bottom"/>
            <w:shd w:val="clear" w:color="auto" w:fill="CCECFF"/>
          </w:tcPr>
          <w:p>
            <w:pPr>
              <w:jc w:val="right"/>
              <w:ind w:right="1190"/>
              <w:spacing w:after="0"/>
              <w:rPr>
                <w:sz w:val="20"/>
                <w:szCs w:val="20"/>
                <w:color w:val="auto"/>
              </w:rPr>
            </w:pPr>
            <w:r>
              <w:rPr>
                <w:rFonts w:ascii="Arial" w:cs="Arial" w:eastAsia="Arial" w:hAnsi="Arial"/>
                <w:sz w:val="18"/>
                <w:szCs w:val="18"/>
                <w:color w:val="auto"/>
              </w:rPr>
              <w:t>10,364</w:t>
            </w:r>
          </w:p>
        </w:tc>
        <w:tc>
          <w:tcPr>
            <w:tcW w:w="360" w:type="dxa"/>
            <w:vAlign w:val="bottom"/>
          </w:tcPr>
          <w:p>
            <w:pPr>
              <w:spacing w:after="0"/>
              <w:rPr>
                <w:sz w:val="21"/>
                <w:szCs w:val="21"/>
                <w:color w:val="auto"/>
              </w:rPr>
            </w:pPr>
          </w:p>
        </w:tc>
        <w:tc>
          <w:tcPr>
            <w:tcW w:w="2160" w:type="dxa"/>
            <w:vAlign w:val="bottom"/>
            <w:shd w:val="clear" w:color="auto" w:fill="CCECFF"/>
          </w:tcPr>
          <w:p>
            <w:pPr>
              <w:jc w:val="right"/>
              <w:ind w:right="750"/>
              <w:spacing w:after="0"/>
              <w:rPr>
                <w:sz w:val="20"/>
                <w:szCs w:val="20"/>
                <w:color w:val="auto"/>
              </w:rPr>
            </w:pPr>
            <w:r>
              <w:rPr>
                <w:rFonts w:ascii="Arial" w:cs="Arial" w:eastAsia="Arial" w:hAnsi="Arial"/>
                <w:sz w:val="18"/>
                <w:szCs w:val="18"/>
                <w:color w:val="auto"/>
              </w:rPr>
              <w:t>27,509</w:t>
            </w:r>
          </w:p>
        </w:tc>
      </w:tr>
      <w:tr>
        <w:trPr>
          <w:trHeight w:val="27"/>
        </w:trPr>
        <w:tc>
          <w:tcPr>
            <w:tcW w:w="2800" w:type="dxa"/>
            <w:vAlign w:val="bottom"/>
            <w:shd w:val="clear" w:color="auto" w:fill="CCECFF"/>
          </w:tcPr>
          <w:p>
            <w:pPr>
              <w:spacing w:after="0"/>
              <w:rPr>
                <w:sz w:val="2"/>
                <w:szCs w:val="2"/>
                <w:color w:val="auto"/>
              </w:rPr>
            </w:pPr>
          </w:p>
        </w:tc>
        <w:tc>
          <w:tcPr>
            <w:tcW w:w="380" w:type="dxa"/>
            <w:vAlign w:val="bottom"/>
          </w:tcPr>
          <w:p>
            <w:pPr>
              <w:spacing w:after="0"/>
              <w:rPr>
                <w:sz w:val="2"/>
                <w:szCs w:val="2"/>
                <w:color w:val="auto"/>
              </w:rPr>
            </w:pPr>
          </w:p>
        </w:tc>
        <w:tc>
          <w:tcPr>
            <w:tcW w:w="3060" w:type="dxa"/>
            <w:vAlign w:val="bottom"/>
            <w:shd w:val="clear" w:color="auto" w:fill="CCECFF"/>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shd w:val="clear" w:color="auto" w:fill="CCEC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disclosed under this Item 7.01 is being furnished and shall not be deemed “filed” for purposes of Section 18 of the United States Securities Exchange Act of 1934, as amended (the “Exchange Act”),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9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92"/>
              </w:rPr>
              <w:t>Amended Articles of Association</w:t>
            </w:r>
          </w:p>
        </w:tc>
      </w:tr>
    </w:tbl>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300"/>
          </w:cols>
          <w:pgMar w:left="240" w:top="36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580" w:type="dxa"/>
            <w:vAlign w:val="bottom"/>
            <w:gridSpan w:val="2"/>
          </w:tcPr>
          <w:p>
            <w:pPr>
              <w:ind w:left="2360"/>
              <w:spacing w:after="0"/>
              <w:rPr>
                <w:sz w:val="20"/>
                <w:szCs w:val="20"/>
                <w:color w:val="auto"/>
              </w:rPr>
            </w:pPr>
            <w:r>
              <w:rPr>
                <w:rFonts w:ascii="Arial" w:cs="Arial" w:eastAsia="Arial" w:hAnsi="Arial"/>
                <w:sz w:val="18"/>
                <w:szCs w:val="18"/>
                <w:color w:val="auto"/>
              </w:rPr>
              <w:t>LivaNova PLC</w:t>
            </w:r>
          </w:p>
        </w:tc>
        <w:tc>
          <w:tcPr>
            <w:tcW w:w="0" w:type="dxa"/>
            <w:vAlign w:val="bottom"/>
          </w:tcPr>
          <w:p>
            <w:pPr>
              <w:spacing w:after="0"/>
              <w:rPr>
                <w:sz w:val="1"/>
                <w:szCs w:val="1"/>
                <w:color w:val="auto"/>
              </w:rPr>
            </w:pPr>
          </w:p>
        </w:tc>
      </w:tr>
      <w:tr>
        <w:trPr>
          <w:trHeight w:val="567"/>
        </w:trPr>
        <w:tc>
          <w:tcPr>
            <w:tcW w:w="3800" w:type="dxa"/>
            <w:vAlign w:val="bottom"/>
          </w:tcPr>
          <w:p>
            <w:pPr>
              <w:spacing w:after="0"/>
              <w:rPr>
                <w:sz w:val="20"/>
                <w:szCs w:val="20"/>
                <w:color w:val="auto"/>
              </w:rPr>
            </w:pPr>
            <w:r>
              <w:rPr>
                <w:rFonts w:ascii="Arial" w:cs="Arial" w:eastAsia="Arial" w:hAnsi="Arial"/>
                <w:sz w:val="18"/>
                <w:szCs w:val="18"/>
                <w:color w:val="auto"/>
              </w:rPr>
              <w:t>Date: June 15, 2017</w:t>
            </w:r>
          </w:p>
        </w:tc>
        <w:tc>
          <w:tcPr>
            <w:tcW w:w="3240" w:type="dxa"/>
            <w:vAlign w:val="bottom"/>
          </w:tcPr>
          <w:p>
            <w:pPr>
              <w:ind w:left="2480"/>
              <w:spacing w:after="0"/>
              <w:rPr>
                <w:sz w:val="20"/>
                <w:szCs w:val="20"/>
                <w:color w:val="auto"/>
              </w:rPr>
            </w:pPr>
            <w:r>
              <w:rPr>
                <w:rFonts w:ascii="Arial" w:cs="Arial" w:eastAsia="Arial" w:hAnsi="Arial"/>
                <w:sz w:val="18"/>
                <w:szCs w:val="18"/>
                <w:color w:val="auto"/>
              </w:rPr>
              <w:t>By:</w:t>
            </w:r>
          </w:p>
        </w:tc>
        <w:tc>
          <w:tcPr>
            <w:tcW w:w="4340" w:type="dxa"/>
            <w:vAlign w:val="bottom"/>
          </w:tcPr>
          <w:p>
            <w:pPr>
              <w:ind w:left="40"/>
              <w:spacing w:after="0"/>
              <w:rPr>
                <w:sz w:val="20"/>
                <w:szCs w:val="20"/>
                <w:color w:val="auto"/>
              </w:rPr>
            </w:pPr>
            <w:r>
              <w:rPr>
                <w:rFonts w:ascii="Arial" w:cs="Arial" w:eastAsia="Arial" w:hAnsi="Arial"/>
                <w:sz w:val="18"/>
                <w:szCs w:val="18"/>
                <w:color w:val="auto"/>
              </w:rPr>
              <w:t>/s/ Catherine Moroz</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240" w:type="dxa"/>
            <w:vAlign w:val="bottom"/>
            <w:vMerge w:val="restart"/>
          </w:tcPr>
          <w:p>
            <w:pPr>
              <w:ind w:left="24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3240" w:type="dxa"/>
            <w:vAlign w:val="bottom"/>
            <w:vMerge w:val="continue"/>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Catherine Moroz</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3240" w:type="dxa"/>
            <w:vAlign w:val="bottom"/>
          </w:tcPr>
          <w:p>
            <w:pPr>
              <w:ind w:left="2480"/>
              <w:spacing w:after="0"/>
              <w:rPr>
                <w:sz w:val="20"/>
                <w:szCs w:val="20"/>
                <w:color w:val="auto"/>
              </w:rPr>
            </w:pPr>
            <w:r>
              <w:rPr>
                <w:rFonts w:ascii="Arial" w:cs="Arial" w:eastAsia="Arial" w:hAnsi="Arial"/>
                <w:sz w:val="18"/>
                <w:szCs w:val="18"/>
                <w:color w:val="auto"/>
              </w:rPr>
              <w:t>Title</w:t>
            </w:r>
          </w:p>
        </w:tc>
        <w:tc>
          <w:tcPr>
            <w:tcW w:w="4340" w:type="dxa"/>
            <w:vAlign w:val="bottom"/>
          </w:tcPr>
          <w:p>
            <w:pPr>
              <w:ind w:left="40"/>
              <w:spacing w:after="0"/>
              <w:rPr>
                <w:sz w:val="20"/>
                <w:szCs w:val="20"/>
                <w:color w:val="auto"/>
              </w:rPr>
            </w:pPr>
            <w:r>
              <w:rPr>
                <w:rFonts w:ascii="Arial" w:cs="Arial" w:eastAsia="Arial" w:hAnsi="Arial"/>
                <w:sz w:val="18"/>
                <w:szCs w:val="18"/>
                <w:color w:val="auto"/>
              </w:rPr>
              <w:t>Company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420"/>
          </w:cols>
          <w:pgMar w:left="240" w:top="364" w:right="2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3240" w:type="dxa"/>
            <w:vAlign w:val="bottom"/>
            <w:gridSpan w:val="3"/>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3240" w:type="dxa"/>
            <w:vAlign w:val="bottom"/>
            <w:gridSpan w:val="3"/>
          </w:tcPr>
          <w:p>
            <w:pPr>
              <w:ind w:left="840"/>
              <w:spacing w:after="0"/>
              <w:rPr>
                <w:sz w:val="20"/>
                <w:szCs w:val="20"/>
                <w:color w:val="auto"/>
              </w:rPr>
            </w:pPr>
            <w:r>
              <w:rPr>
                <w:rFonts w:ascii="Arial" w:cs="Arial" w:eastAsia="Arial" w:hAnsi="Arial"/>
                <w:sz w:val="18"/>
                <w:szCs w:val="18"/>
                <w:color w:val="auto"/>
                <w:w w:val="92"/>
              </w:rPr>
              <w:t>Amended Articles of Association</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79"/>
          </w:cols>
          <w:pgMar w:left="280" w:top="445"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ARTICLES OF ASSOCIATION</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PUBLIC LIMITED COMPANY</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the “Company”</w:t>
      </w: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(effective as from 14 June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ARTICLES OF ASSOCIATION</w:t>
      </w:r>
    </w:p>
    <w:p>
      <w:pPr>
        <w:sectPr>
          <w:pgSz w:w="11900" w:h="16838" w:orient="portrait"/>
          <w:cols w:equalWidth="0" w:num="1">
            <w:col w:w="10220"/>
          </w:cols>
          <w:pgMar w:left="14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820" w:type="dxa"/>
            <w:vAlign w:val="bottom"/>
          </w:tcPr>
          <w:p>
            <w:pPr>
              <w:spacing w:after="0"/>
              <w:rPr>
                <w:sz w:val="22"/>
                <w:szCs w:val="22"/>
                <w:color w:val="auto"/>
              </w:rPr>
            </w:pPr>
          </w:p>
        </w:tc>
        <w:tc>
          <w:tcPr>
            <w:tcW w:w="8620" w:type="dxa"/>
            <w:vAlign w:val="bottom"/>
          </w:tcPr>
          <w:p>
            <w:pPr>
              <w:ind w:left="4340"/>
              <w:spacing w:after="0"/>
              <w:rPr>
                <w:sz w:val="20"/>
                <w:szCs w:val="20"/>
                <w:color w:val="auto"/>
              </w:rPr>
            </w:pPr>
            <w:r>
              <w:rPr>
                <w:rFonts w:ascii="Arial" w:cs="Arial" w:eastAsia="Arial" w:hAnsi="Arial"/>
                <w:sz w:val="20"/>
                <w:szCs w:val="20"/>
                <w:b w:val="1"/>
                <w:bCs w:val="1"/>
                <w:color w:val="auto"/>
              </w:rPr>
              <w:t>CONTENTS</w:t>
            </w:r>
          </w:p>
        </w:tc>
        <w:tc>
          <w:tcPr>
            <w:tcW w:w="1980" w:type="dxa"/>
            <w:vAlign w:val="bottom"/>
          </w:tcPr>
          <w:p>
            <w:pPr>
              <w:spacing w:after="0"/>
              <w:rPr>
                <w:sz w:val="22"/>
                <w:szCs w:val="22"/>
                <w:color w:val="auto"/>
              </w:rPr>
            </w:pPr>
          </w:p>
        </w:tc>
      </w:tr>
      <w:tr>
        <w:trPr>
          <w:trHeight w:val="56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Clause</w:t>
            </w:r>
          </w:p>
        </w:tc>
        <w:tc>
          <w:tcPr>
            <w:tcW w:w="8620" w:type="dxa"/>
            <w:vAlign w:val="bottom"/>
          </w:tcPr>
          <w:p>
            <w:pPr>
              <w:spacing w:after="0"/>
              <w:rPr>
                <w:sz w:val="24"/>
                <w:szCs w:val="24"/>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Page</w:t>
            </w:r>
          </w:p>
        </w:tc>
      </w:tr>
      <w:tr>
        <w:trPr>
          <w:trHeight w:val="392"/>
        </w:trPr>
        <w:tc>
          <w:tcPr>
            <w:tcW w:w="8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MODEL ARTICLES NOT TO APPLY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INTERPRETATION</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LIABILITY OF MEMBERS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4.</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SHARES AND SHARE CAPITAL</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5.</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AUTHORITY TO ALLOT SHARES AND DISAPPLICATION OF PRE-EMPTION RIGHTS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6.</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VARIATION OF RIGHTS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7.</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SHARE CERTIFICATES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8.</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LIEN</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9.</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CALLS ON SHARES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10.</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FORFEITURE AND SURRENDER</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11.</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TRANSFER OF SHARES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12.</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TRANSMISSION OF SHARES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13.</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SHARE WARRANTS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14.</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UNTRACED MEMBERS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15.</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ALTERATION OF CAPITAL</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16.</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GENERAL MEETINGS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17.</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NOTICE OF GENERAL MEETINGS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18.</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PROCEEDINGS AT GENERAL MEETINGS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19.</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AMENDMENTS TO RESOLUTIONS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20.</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PROPOSED MEMBER RESOLUTIONS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21.</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VOTES OF MEMBERS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22.</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PROXIES AND CORPORATE REPRESENTATIVES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23.</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NUMBER AND CLASSIFICATION OF DIRECTORS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24.</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APPOINTMENT OF DIRECTORS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24"/>
        </w:trPr>
        <w:tc>
          <w:tcPr>
            <w:tcW w:w="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25.</w:t>
            </w:r>
          </w:p>
        </w:tc>
        <w:tc>
          <w:tcPr>
            <w:tcW w:w="86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DIRECTORS’ FEES AND EXPENSES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82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26.</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[RESERVED]</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bl>
    <w:p>
      <w:pPr>
        <w:sectPr>
          <w:pgSz w:w="11900" w:h="16838" w:orient="portrait"/>
          <w:cols w:equalWidth="0" w:num="1">
            <w:col w:w="11420"/>
          </w:cols>
          <w:pgMar w:left="240" w:top="360" w:right="239" w:bottom="873" w:gutter="0" w:footer="0" w:header="0"/>
        </w:sectPr>
      </w:pPr>
    </w:p>
    <w:bookmarkStart w:id="7" w:name="page8"/>
    <w:bookmarkEnd w:id="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27.</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POWERS OF THE BOARD</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28.</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COMPLIANCE WITH NASDAQ RULES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29.</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DELEGATION OF DIRECTORS’ POWERS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30.</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DISQUALIFICATION AND REMOVAL OF DIRECTORS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31.</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EXECUTIVE DIRECTORS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32.</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DIRECTORS’ INTERESTS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33.</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DIRECTORS’ INTERESTS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34.</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MINUTES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35.</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SECRETARY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36.</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THE SEAL</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37.</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REGISTERS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38.</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DIVIDENDS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39.</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SCRIP DIVIDENDS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40.</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CAPITALISATION OF PROFITS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41.</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RETURN OF CAPITAL</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42.</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CHANGE OF THE COMPANY’S NAME</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43.</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RECORD DATES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44.</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ACCOUNTS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45.</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NOTICES AND OTHER COMMUNICATIONS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46.</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DESTRUCTION OF DOCUMENTS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47.</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WINDING UP</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48.</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INDEMNITY AND INSURANCE</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6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24"/>
        </w:trPr>
        <w:tc>
          <w:tcPr>
            <w:tcW w:w="6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49.</w:t>
            </w: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DISPUTE RESOLUTION</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6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518" w:right="239" w:bottom="1440" w:gutter="0" w:footer="0" w:header="0"/>
        </w:sectPr>
      </w:pPr>
    </w:p>
    <w:bookmarkStart w:id="9" w:name="page10"/>
    <w:bookmarkEnd w:id="9"/>
    <w:p>
      <w:pPr>
        <w:ind w:left="620" w:hanging="612"/>
        <w:spacing w:after="0"/>
        <w:tabs>
          <w:tab w:leader="none" w:pos="6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MODEL ARTICLES NOT TO APPLY</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The regulations in the relevant model articles shall not apply to the Company.</w:t>
      </w:r>
    </w:p>
    <w:p>
      <w:pPr>
        <w:spacing w:after="0" w:line="182" w:lineRule="exact"/>
        <w:rPr>
          <w:rFonts w:ascii="Arial" w:cs="Arial" w:eastAsia="Arial" w:hAnsi="Arial"/>
          <w:sz w:val="20"/>
          <w:szCs w:val="20"/>
          <w:b w:val="1"/>
          <w:bCs w:val="1"/>
          <w:color w:val="auto"/>
        </w:rPr>
      </w:pPr>
    </w:p>
    <w:p>
      <w:pPr>
        <w:ind w:left="620" w:hanging="612"/>
        <w:spacing w:after="0"/>
        <w:tabs>
          <w:tab w:leader="none" w:pos="6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In these Articles (if not inconsistent with the subject or context) the following words shall bear the following meanings:</w:t>
      </w:r>
    </w:p>
    <w:p>
      <w:pPr>
        <w:spacing w:after="0" w:line="183" w:lineRule="exact"/>
        <w:rPr>
          <w:sz w:val="20"/>
          <w:szCs w:val="20"/>
          <w:color w:val="auto"/>
        </w:rPr>
      </w:pPr>
    </w:p>
    <w:p>
      <w:pPr>
        <w:jc w:val="both"/>
        <w:ind w:left="6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Affiliates</w:t>
      </w:r>
      <w:r>
        <w:rPr>
          <w:rFonts w:ascii="Arial" w:cs="Arial" w:eastAsia="Arial" w:hAnsi="Arial"/>
          <w:sz w:val="20"/>
          <w:szCs w:val="20"/>
          <w:color w:val="auto"/>
        </w:rPr>
        <w:t>” means, with respect to any specified Person, any other Person that, directly or indirectly, through one or more intermediaries, Controls, is Controlled by or is under common Control with such specified Person;</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Articles</w:t>
      </w:r>
      <w:r>
        <w:rPr>
          <w:rFonts w:ascii="Arial" w:cs="Arial" w:eastAsia="Arial" w:hAnsi="Arial"/>
          <w:sz w:val="20"/>
          <w:szCs w:val="20"/>
          <w:color w:val="auto"/>
        </w:rPr>
        <w:t>” means the articles of association for the time being of the Company;</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 from time to time;</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British Pounds Sterling</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United Kingdom;</w:t>
      </w:r>
    </w:p>
    <w:p>
      <w:pPr>
        <w:spacing w:after="0" w:line="189" w:lineRule="exact"/>
        <w:rPr>
          <w:sz w:val="20"/>
          <w:szCs w:val="20"/>
          <w:color w:val="auto"/>
        </w:rPr>
      </w:pPr>
    </w:p>
    <w:p>
      <w:pPr>
        <w:jc w:val="both"/>
        <w:ind w:left="6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certificated share</w:t>
      </w:r>
      <w:r>
        <w:rPr>
          <w:rFonts w:ascii="Arial" w:cs="Arial" w:eastAsia="Arial" w:hAnsi="Arial"/>
          <w:sz w:val="20"/>
          <w:szCs w:val="20"/>
          <w:color w:val="auto"/>
        </w:rPr>
        <w:t>” means a share in the capital of the Company which is not an uncertificated share and references in these Articles to a share being held in certificated form shall be construed accordingly;</w:t>
      </w:r>
    </w:p>
    <w:p>
      <w:pPr>
        <w:spacing w:after="0" w:line="137" w:lineRule="exact"/>
        <w:rPr>
          <w:sz w:val="20"/>
          <w:szCs w:val="20"/>
          <w:color w:val="auto"/>
        </w:rPr>
      </w:pPr>
    </w:p>
    <w:p>
      <w:pPr>
        <w:jc w:val="both"/>
        <w:ind w:left="62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 days</w:t>
      </w:r>
      <w:r>
        <w:rPr>
          <w:rFonts w:ascii="Arial" w:cs="Arial" w:eastAsia="Arial" w:hAnsi="Arial"/>
          <w:sz w:val="20"/>
          <w:szCs w:val="20"/>
          <w:color w:val="auto"/>
        </w:rPr>
        <w:t>” means, in relation to the period of a notice, that period excluding the day on which a notice is given or deemed to be given and the day for which it is given or which it is to take effect;</w:t>
      </w:r>
    </w:p>
    <w:p>
      <w:pPr>
        <w:spacing w:after="0" w:line="137"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LivaNova PLC (company number 09451374);</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Companies Act</w:t>
      </w:r>
      <w:r>
        <w:rPr>
          <w:rFonts w:ascii="Arial" w:cs="Arial" w:eastAsia="Arial" w:hAnsi="Arial"/>
          <w:sz w:val="19"/>
          <w:szCs w:val="19"/>
          <w:color w:val="auto"/>
        </w:rPr>
        <w:t>” means the Companies Act 2006 including any modifications or re-enactment of it for the time being in</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force;</w:t>
      </w:r>
    </w:p>
    <w:p>
      <w:pPr>
        <w:spacing w:after="0" w:line="167" w:lineRule="exact"/>
        <w:rPr>
          <w:sz w:val="20"/>
          <w:szCs w:val="20"/>
          <w:color w:val="auto"/>
        </w:rPr>
      </w:pPr>
    </w:p>
    <w:p>
      <w:pPr>
        <w:jc w:val="both"/>
        <w:ind w:left="6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w:t>
      </w:r>
      <w:r>
        <w:rPr>
          <w:rFonts w:ascii="Arial" w:cs="Arial" w:eastAsia="Arial" w:hAnsi="Arial"/>
          <w:sz w:val="20"/>
          <w:szCs w:val="20"/>
          <w:color w:val="auto"/>
        </w:rPr>
        <w:t>” means, as to any Person, any contract, lease, easement, license, instrument or understanding to which the applicable Person is a party;</w:t>
      </w:r>
    </w:p>
    <w:p>
      <w:pPr>
        <w:spacing w:after="0" w:line="137" w:lineRule="exact"/>
        <w:rPr>
          <w:sz w:val="20"/>
          <w:szCs w:val="20"/>
          <w:color w:val="auto"/>
        </w:rPr>
      </w:pPr>
    </w:p>
    <w:p>
      <w:pPr>
        <w:jc w:val="both"/>
        <w:ind w:left="62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possession, directly or indirectly or as trustee or executor, of the power to direct or 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117" w:lineRule="exact"/>
        <w:rPr>
          <w:sz w:val="20"/>
          <w:szCs w:val="20"/>
          <w:color w:val="auto"/>
        </w:rPr>
      </w:pPr>
    </w:p>
    <w:p>
      <w:pPr>
        <w:jc w:val="both"/>
        <w:ind w:left="6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Depositary</w:t>
      </w:r>
      <w:r>
        <w:rPr>
          <w:rFonts w:ascii="Arial" w:cs="Arial" w:eastAsia="Arial" w:hAnsi="Arial"/>
          <w:sz w:val="20"/>
          <w:szCs w:val="20"/>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137" w:lineRule="exact"/>
        <w:rPr>
          <w:sz w:val="20"/>
          <w:szCs w:val="20"/>
          <w:color w:val="auto"/>
        </w:rPr>
      </w:pPr>
    </w:p>
    <w:p>
      <w:pPr>
        <w:ind w:left="620" w:right="5080" w:firstLine="648"/>
        <w:spacing w:after="0" w:line="4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means a director of the Company from time to time; “</w:t>
      </w:r>
      <w:r>
        <w:rPr>
          <w:rFonts w:ascii="Arial" w:cs="Arial" w:eastAsia="Arial" w:hAnsi="Arial"/>
          <w:sz w:val="20"/>
          <w:szCs w:val="20"/>
          <w:b w:val="1"/>
          <w:bCs w:val="1"/>
          <w:color w:val="auto"/>
        </w:rPr>
        <w:t>dividend</w:t>
      </w:r>
      <w:r>
        <w:rPr>
          <w:rFonts w:ascii="Arial" w:cs="Arial" w:eastAsia="Arial" w:hAnsi="Arial"/>
          <w:sz w:val="20"/>
          <w:szCs w:val="20"/>
          <w:color w:val="auto"/>
        </w:rPr>
        <w:t>” means dividend or bonus;</w:t>
      </w:r>
    </w:p>
    <w:p>
      <w:pPr>
        <w:spacing w:after="0" w:line="2" w:lineRule="exact"/>
        <w:rPr>
          <w:sz w:val="20"/>
          <w:szCs w:val="20"/>
          <w:color w:val="auto"/>
        </w:rPr>
      </w:pPr>
    </w:p>
    <w:p>
      <w:pPr>
        <w:jc w:val="both"/>
        <w:ind w:left="6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electronic address</w:t>
      </w:r>
      <w:r>
        <w:rPr>
          <w:rFonts w:ascii="Arial" w:cs="Arial" w:eastAsia="Arial" w:hAnsi="Arial"/>
          <w:sz w:val="20"/>
          <w:szCs w:val="20"/>
          <w:color w:val="auto"/>
        </w:rPr>
        <w:t>” means any number or address used for the purposes of sending or receiving notices, documents or information by electronic means;</w:t>
      </w:r>
    </w:p>
    <w:p>
      <w:pPr>
        <w:spacing w:after="0" w:line="137" w:lineRule="exact"/>
        <w:rPr>
          <w:sz w:val="20"/>
          <w:szCs w:val="20"/>
          <w:color w:val="auto"/>
        </w:rPr>
      </w:pPr>
    </w:p>
    <w:p>
      <w:pPr>
        <w:jc w:val="both"/>
        <w:ind w:left="6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security</w:t>
      </w:r>
      <w:r>
        <w:rPr>
          <w:rFonts w:ascii="Arial" w:cs="Arial" w:eastAsia="Arial" w:hAnsi="Arial"/>
          <w:sz w:val="20"/>
          <w:szCs w:val="20"/>
          <w:color w:val="auto"/>
        </w:rPr>
        <w:t>” shall have the meaning given to such term in Rule 405 under the United States Securities Act of 1933, as amended, and the rules and regulations promulgated thereunder;</w:t>
      </w:r>
    </w:p>
    <w:p>
      <w:pPr>
        <w:sectPr>
          <w:pgSz w:w="11900" w:h="16838" w:orient="portrait"/>
          <w:cols w:equalWidth="0" w:num="1">
            <w:col w:w="11420"/>
          </w:cols>
          <w:pgMar w:left="240" w:top="576" w:right="239" w:bottom="1440" w:gutter="0" w:footer="0" w:header="0"/>
        </w:sectPr>
      </w:pPr>
    </w:p>
    <w:bookmarkStart w:id="10" w:name="page11"/>
    <w:bookmarkEnd w:id="10"/>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 from time to time, and the regulations promulgated thereunder;</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executed</w:t>
      </w:r>
      <w:r>
        <w:rPr>
          <w:rFonts w:ascii="Arial" w:cs="Arial" w:eastAsia="Arial" w:hAnsi="Arial"/>
          <w:sz w:val="20"/>
          <w:szCs w:val="20"/>
          <w:color w:val="auto"/>
        </w:rPr>
        <w:t>” means any mode of execution;</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institution</w:t>
      </w:r>
      <w:r>
        <w:rPr>
          <w:rFonts w:ascii="Arial" w:cs="Arial" w:eastAsia="Arial" w:hAnsi="Arial"/>
          <w:sz w:val="20"/>
          <w:szCs w:val="20"/>
          <w:color w:val="auto"/>
        </w:rPr>
        <w:t>” means a recognised clearing house or a nominee of a recognised clearing house or of a recognised investment exchange who is designated within the meaning of section 778(2) of the Companies Act;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FSMA</w:t>
      </w:r>
      <w:r>
        <w:rPr>
          <w:rFonts w:ascii="Arial" w:cs="Arial" w:eastAsia="Arial" w:hAnsi="Arial"/>
          <w:sz w:val="20"/>
          <w:szCs w:val="20"/>
          <w:color w:val="auto"/>
        </w:rPr>
        <w:t>” means the Financial Services and Market Act 2000;</w:t>
      </w:r>
    </w:p>
    <w:p>
      <w:pPr>
        <w:spacing w:after="0" w:line="189"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Fully Diluted Interest</w:t>
      </w:r>
      <w:r>
        <w:rPr>
          <w:rFonts w:ascii="Arial" w:cs="Arial" w:eastAsia="Arial" w:hAnsi="Arial"/>
          <w:sz w:val="16"/>
          <w:szCs w:val="16"/>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1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13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w:t>
      </w:r>
      <w:r>
        <w:rPr>
          <w:rFonts w:ascii="Arial" w:cs="Arial" w:eastAsia="Arial" w:hAnsi="Arial"/>
          <w:sz w:val="20"/>
          <w:szCs w:val="20"/>
          <w:color w:val="auto"/>
        </w:rPr>
        <w:t>” means, in relation to a share in the capital of the Company, the member whose name is entered in the register of members as the holder of that share;</w:t>
      </w:r>
    </w:p>
    <w:p>
      <w:pPr>
        <w:spacing w:after="0" w:line="13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Director</w:t>
      </w:r>
      <w:r>
        <w:rPr>
          <w:rFonts w:ascii="Arial" w:cs="Arial" w:eastAsia="Arial" w:hAnsi="Arial"/>
          <w:sz w:val="20"/>
          <w:szCs w:val="20"/>
          <w:color w:val="auto"/>
        </w:rPr>
        <w:t>” means a director who meets the independence standards of the NASDAQ applicable to non-controlled domestic US issuers;</w:t>
      </w:r>
    </w:p>
    <w:p>
      <w:pPr>
        <w:spacing w:after="0" w:line="13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any federal, state, provincial, municipal, local or foreign law, statute, code, ordinance, rule, regulation, circular, order, judgment, writ, stipulation, award, injunction, decree or arbitration award or finding;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member</w:t>
      </w:r>
      <w:r>
        <w:rPr>
          <w:rFonts w:ascii="Arial" w:cs="Arial" w:eastAsia="Arial" w:hAnsi="Arial"/>
          <w:sz w:val="20"/>
          <w:szCs w:val="20"/>
          <w:color w:val="auto"/>
        </w:rPr>
        <w:t>” means a member of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NASDAQ</w:t>
      </w:r>
      <w:r>
        <w:rPr>
          <w:rFonts w:ascii="Arial" w:cs="Arial" w:eastAsia="Arial" w:hAnsi="Arial"/>
          <w:sz w:val="20"/>
          <w:szCs w:val="20"/>
          <w:color w:val="auto"/>
        </w:rPr>
        <w:t>” means the National Association of Securities Dealers Automated Quotations;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w:t>
      </w:r>
      <w:r>
        <w:rPr>
          <w:rFonts w:ascii="Arial" w:cs="Arial" w:eastAsia="Arial" w:hAnsi="Arial"/>
          <w:sz w:val="20"/>
          <w:szCs w:val="20"/>
          <w:color w:val="auto"/>
        </w:rPr>
        <w:t>” means the registered office of the Company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officer</w:t>
      </w:r>
      <w:r>
        <w:rPr>
          <w:rFonts w:ascii="Arial" w:cs="Arial" w:eastAsia="Arial" w:hAnsi="Arial"/>
          <w:sz w:val="20"/>
          <w:szCs w:val="20"/>
          <w:color w:val="auto"/>
        </w:rPr>
        <w:t>” includes a Director, manager and the secretary, but shall not include an auditor;</w:t>
      </w:r>
    </w:p>
    <w:p>
      <w:pPr>
        <w:spacing w:after="0" w:line="18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Official List</w:t>
      </w:r>
      <w:r>
        <w:rPr>
          <w:rFonts w:ascii="Arial" w:cs="Arial" w:eastAsia="Arial" w:hAnsi="Arial"/>
          <w:sz w:val="20"/>
          <w:szCs w:val="20"/>
          <w:color w:val="auto"/>
        </w:rPr>
        <w:t>” means the list of securities that have been admitted to listing which is maintained by the Financial Conduct Authority in accordance with section 74(1) of FSMA;</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Operator</w:t>
      </w:r>
      <w:r>
        <w:rPr>
          <w:rFonts w:ascii="Arial" w:cs="Arial" w:eastAsia="Arial" w:hAnsi="Arial"/>
          <w:sz w:val="20"/>
          <w:szCs w:val="20"/>
          <w:color w:val="auto"/>
        </w:rPr>
        <w:t>” means Euroclear UK and Ireland Limited or such other person as may for the time being be approved by HM Treasury as Operator under the Uncertificated Securities Rules;</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Shares</w:t>
      </w:r>
      <w:r>
        <w:rPr>
          <w:rFonts w:ascii="Arial" w:cs="Arial" w:eastAsia="Arial" w:hAnsi="Arial"/>
          <w:sz w:val="20"/>
          <w:szCs w:val="20"/>
          <w:color w:val="auto"/>
        </w:rPr>
        <w:t>” means the ordinary shares in the capital of the Company from time to time, identified in Article 4.1(a) and with the rights set out therein and these Articles generally;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paid</w:t>
      </w:r>
      <w:r>
        <w:rPr>
          <w:rFonts w:ascii="Arial" w:cs="Arial" w:eastAsia="Arial" w:hAnsi="Arial"/>
          <w:sz w:val="20"/>
          <w:szCs w:val="20"/>
          <w:color w:val="auto"/>
        </w:rPr>
        <w:t>” means paid or credited as paid;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class</w:t>
      </w:r>
      <w:r>
        <w:rPr>
          <w:rFonts w:ascii="Arial" w:cs="Arial" w:eastAsia="Arial" w:hAnsi="Arial"/>
          <w:sz w:val="16"/>
          <w:szCs w:val="16"/>
          <w:color w:val="auto"/>
        </w:rPr>
        <w:t>” means a class of shares title to which is permitted by the operator to be transferred by means of a relevant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system;</w:t>
      </w:r>
    </w:p>
    <w:p>
      <w:pPr>
        <w:spacing w:after="0" w:line="200" w:lineRule="exact"/>
        <w:rPr>
          <w:sz w:val="20"/>
          <w:szCs w:val="20"/>
          <w:color w:val="auto"/>
        </w:rPr>
      </w:pPr>
    </w:p>
    <w:p>
      <w:pPr>
        <w:spacing w:after="0" w:line="21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860" w:top="360" w:right="239" w:bottom="1440" w:gutter="0" w:footer="0" w:header="0"/>
        </w:sectPr>
      </w:pPr>
    </w:p>
    <w:bookmarkStart w:id="11" w:name="page12"/>
    <w:bookmarkEnd w:id="11"/>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Percentage Interest</w:t>
      </w:r>
      <w:r>
        <w:rPr>
          <w:rFonts w:ascii="Arial" w:cs="Arial" w:eastAsia="Arial" w:hAnsi="Arial"/>
          <w:sz w:val="20"/>
          <w:szCs w:val="20"/>
          <w:color w:val="auto"/>
        </w:rPr>
        <w:t>” means, with respect to any member, the percentage of the total outstanding Ordinary Shares of owned by that member;</w:t>
      </w:r>
    </w:p>
    <w:p>
      <w:pPr>
        <w:spacing w:after="0" w:line="1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present</w:t>
      </w:r>
      <w:r>
        <w:rPr>
          <w:rFonts w:ascii="Arial" w:cs="Arial" w:eastAsia="Arial" w:hAnsi="Arial"/>
          <w:sz w:val="20"/>
          <w:szCs w:val="20"/>
          <w:color w:val="auto"/>
        </w:rPr>
        <w:t>” means for the purposes of physical general meetings, present in person or, for the purposes of electronic general meetings, present by electronic means;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 (b) for so long as any of the Company’s Shares 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means the register of members of the Company;</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system</w:t>
      </w:r>
      <w:r>
        <w:rPr>
          <w:rFonts w:ascii="Arial" w:cs="Arial" w:eastAsia="Arial" w:hAnsi="Arial"/>
          <w:sz w:val="20"/>
          <w:szCs w:val="20"/>
          <w:color w:val="auto"/>
        </w:rPr>
        <w:t>” means a computer-based system which allows units of securities without written instruments to be transferred and endorsed pursuant to the Uncertificated Securities Rules;</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seal</w:t>
      </w:r>
      <w:r>
        <w:rPr>
          <w:rFonts w:ascii="Arial" w:cs="Arial" w:eastAsia="Arial" w:hAnsi="Arial"/>
          <w:sz w:val="20"/>
          <w:szCs w:val="20"/>
          <w:color w:val="auto"/>
        </w:rPr>
        <w:t>” means the common seal (if any) of the Company and includes an official seal (if any) kept by the Company by virtue of section 49 or 50 of the Companies Act;</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secretary</w:t>
      </w:r>
      <w:r>
        <w:rPr>
          <w:rFonts w:ascii="Arial" w:cs="Arial" w:eastAsia="Arial" w:hAnsi="Arial"/>
          <w:sz w:val="20"/>
          <w:szCs w:val="20"/>
          <w:color w:val="auto"/>
        </w:rPr>
        <w:t>” means the secretary of the Company and includes a joint, assistant, deputy or temporary secretary and any other person appointed to perform the duties of the secretary of the Company;</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158" w:lineRule="exact"/>
        <w:rPr>
          <w:sz w:val="20"/>
          <w:szCs w:val="20"/>
          <w:color w:val="auto"/>
        </w:rPr>
      </w:pPr>
    </w:p>
    <w:p>
      <w:pPr>
        <w:ind w:left="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UKLA</w:t>
      </w:r>
      <w:r>
        <w:rPr>
          <w:rFonts w:ascii="Arial" w:cs="Arial" w:eastAsia="Arial" w:hAnsi="Arial"/>
          <w:sz w:val="20"/>
          <w:szCs w:val="20"/>
          <w:color w:val="auto"/>
        </w:rPr>
        <w:t>” means the United Kingdom listing authority, which is the Financial Conduct Authority when performing its functions under Part VI of FSMA;</w:t>
      </w:r>
    </w:p>
    <w:p>
      <w:pPr>
        <w:spacing w:after="0" w:line="1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Uncertificated Securities Rules</w:t>
      </w:r>
      <w:r>
        <w:rPr>
          <w:rFonts w:ascii="Arial" w:cs="Arial" w:eastAsia="Arial" w:hAnsi="Arial"/>
          <w:sz w:val="20"/>
          <w:szCs w:val="20"/>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uncertificated share</w:t>
      </w:r>
      <w:r>
        <w:rPr>
          <w:rFonts w:ascii="Arial" w:cs="Arial" w:eastAsia="Arial" w:hAnsi="Arial"/>
          <w:sz w:val="20"/>
          <w:szCs w:val="20"/>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undertaking</w:t>
      </w:r>
      <w:r>
        <w:rPr>
          <w:rFonts w:ascii="Arial" w:cs="Arial" w:eastAsia="Arial" w:hAnsi="Arial"/>
          <w:sz w:val="20"/>
          <w:szCs w:val="20"/>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200" w:lineRule="exact"/>
        <w:rPr>
          <w:sz w:val="20"/>
          <w:szCs w:val="20"/>
          <w:color w:val="auto"/>
        </w:rPr>
      </w:pPr>
    </w:p>
    <w:p>
      <w:pPr>
        <w:spacing w:after="0" w:line="20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860" w:top="360" w:right="239" w:bottom="1440" w:gutter="0" w:footer="0" w:header="0"/>
        </w:sectPr>
      </w:pPr>
    </w:p>
    <w:bookmarkStart w:id="12" w:name="page13"/>
    <w:bookmarkEnd w:id="12"/>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Kingdom</w:t>
      </w:r>
      <w:r>
        <w:rPr>
          <w:rFonts w:ascii="Arial" w:cs="Arial" w:eastAsia="Arial" w:hAnsi="Arial"/>
          <w:sz w:val="20"/>
          <w:szCs w:val="20"/>
          <w:color w:val="auto"/>
        </w:rPr>
        <w:t>” means Great Britain and Northern Ireland;</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United States of America; and</w:t>
      </w:r>
    </w:p>
    <w:p>
      <w:pPr>
        <w:spacing w:after="0" w:line="189" w:lineRule="exact"/>
        <w:rPr>
          <w:sz w:val="20"/>
          <w:szCs w:val="20"/>
          <w:color w:val="auto"/>
        </w:rPr>
      </w:pPr>
    </w:p>
    <w:p>
      <w:pPr>
        <w:ind w:left="6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Shares</w:t>
      </w:r>
      <w:r>
        <w:rPr>
          <w:rFonts w:ascii="Arial" w:cs="Arial" w:eastAsia="Arial" w:hAnsi="Arial"/>
          <w:sz w:val="20"/>
          <w:szCs w:val="20"/>
          <w:color w:val="auto"/>
        </w:rPr>
        <w:t>” means the Ordinary Shares and any other shares which may be issued with the right to attend and vote at general meetings.</w:t>
      </w:r>
    </w:p>
    <w:p>
      <w:pPr>
        <w:spacing w:after="0" w:line="143"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12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In these Articles, unless the context otherwise requires:</w:t>
      </w:r>
    </w:p>
    <w:p>
      <w:pPr>
        <w:spacing w:after="0" w:line="189" w:lineRule="exact"/>
        <w:rPr>
          <w:sz w:val="20"/>
          <w:szCs w:val="20"/>
          <w:color w:val="auto"/>
        </w:rPr>
      </w:pPr>
    </w:p>
    <w:p>
      <w:pPr>
        <w:ind w:left="1260" w:hanging="604"/>
        <w:spacing w:after="0"/>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words in the singular include the plural, and </w:t>
      </w:r>
      <w:r>
        <w:rPr>
          <w:rFonts w:ascii="Arial" w:cs="Arial" w:eastAsia="Arial" w:hAnsi="Arial"/>
          <w:sz w:val="20"/>
          <w:szCs w:val="20"/>
          <w:i w:val="1"/>
          <w:iCs w:val="1"/>
          <w:color w:val="auto"/>
        </w:rPr>
        <w:t>vice versa</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words importing any gender include all genders;</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
        </w:numPr>
        <w:rPr>
          <w:rFonts w:ascii="Arial" w:cs="Arial" w:eastAsia="Arial" w:hAnsi="Arial"/>
          <w:sz w:val="20"/>
          <w:szCs w:val="20"/>
          <w:color w:val="auto"/>
        </w:rPr>
      </w:pPr>
      <w:r>
        <w:rPr>
          <w:rFonts w:ascii="Arial" w:cs="Arial" w:eastAsia="Arial" w:hAnsi="Arial"/>
          <w:sz w:val="20"/>
          <w:szCs w:val="20"/>
          <w:color w:val="auto"/>
        </w:rPr>
        <w:t>a reference to a person includes a reference to a body corporate (wherever resident or domiciled) and to an unincorporated body of persons;</w:t>
      </w:r>
    </w:p>
    <w:p>
      <w:pPr>
        <w:spacing w:after="0" w:line="149"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64" w:lineRule="exact"/>
        <w:rPr>
          <w:rFonts w:ascii="Arial" w:cs="Arial" w:eastAsia="Arial" w:hAnsi="Arial"/>
          <w:sz w:val="20"/>
          <w:szCs w:val="20"/>
          <w:color w:val="auto"/>
        </w:rPr>
      </w:pPr>
    </w:p>
    <w:p>
      <w:pPr>
        <w:jc w:val="both"/>
        <w:ind w:left="1280" w:right="20" w:hanging="624"/>
        <w:spacing w:after="0" w:line="250" w:lineRule="auto"/>
        <w:tabs>
          <w:tab w:leader="none" w:pos="1262"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references to “other” and “otherwise” shall not be construed </w:t>
      </w:r>
      <w:r>
        <w:rPr>
          <w:rFonts w:ascii="Arial" w:cs="Arial" w:eastAsia="Arial" w:hAnsi="Arial"/>
          <w:sz w:val="19"/>
          <w:szCs w:val="19"/>
          <w:i w:val="1"/>
          <w:iCs w:val="1"/>
          <w:color w:val="auto"/>
        </w:rPr>
        <w:t>ejusdem generis</w:t>
      </w:r>
      <w:r>
        <w:rPr>
          <w:rFonts w:ascii="Arial" w:cs="Arial" w:eastAsia="Arial" w:hAnsi="Arial"/>
          <w:sz w:val="19"/>
          <w:szCs w:val="19"/>
          <w:color w:val="auto"/>
        </w:rPr>
        <w:t xml:space="preserve"> where a wider construction is possible;</w:t>
      </w:r>
    </w:p>
    <w:p>
      <w:pPr>
        <w:spacing w:after="0" w:line="200" w:lineRule="exact"/>
        <w:rPr>
          <w:rFonts w:ascii="Arial" w:cs="Arial" w:eastAsia="Arial" w:hAnsi="Arial"/>
          <w:sz w:val="19"/>
          <w:szCs w:val="19"/>
          <w:color w:val="auto"/>
        </w:rPr>
      </w:pPr>
    </w:p>
    <w:p>
      <w:pPr>
        <w:ind w:left="1260" w:hanging="604"/>
        <w:spacing w:after="0"/>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references to a power are to power of any kind, whether administrative, discretionary or otherwise;</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
        </w:numPr>
        <w:rPr>
          <w:rFonts w:ascii="Arial" w:cs="Arial" w:eastAsia="Arial" w:hAnsi="Arial"/>
          <w:sz w:val="20"/>
          <w:szCs w:val="20"/>
          <w:color w:val="auto"/>
        </w:rPr>
      </w:pPr>
      <w:r>
        <w:rPr>
          <w:rFonts w:ascii="Arial" w:cs="Arial" w:eastAsia="Arial" w:hAnsi="Arial"/>
          <w:sz w:val="20"/>
          <w:szCs w:val="20"/>
          <w:color w:val="auto"/>
        </w:rPr>
        <w:t>references to a committee of the Directors are to a committee established in accordance with these Articles, whether or not comprised wholly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0" w:right="239" w:bottom="1440" w:gutter="0" w:footer="0" w:header="0"/>
        </w:sectPr>
      </w:pPr>
    </w:p>
    <w:bookmarkStart w:id="13" w:name="page14"/>
    <w:bookmarkEnd w:id="13"/>
    <w:p>
      <w:pPr>
        <w:ind w:left="1280" w:hanging="624"/>
        <w:spacing w:after="0" w:line="260" w:lineRule="auto"/>
        <w:tabs>
          <w:tab w:leader="none" w:pos="1262" w:val="left"/>
        </w:tabs>
        <w:numPr>
          <w:ilvl w:val="0"/>
          <w:numId w:val="9"/>
        </w:numPr>
        <w:rPr>
          <w:rFonts w:ascii="Arial" w:cs="Arial" w:eastAsia="Arial" w:hAnsi="Arial"/>
          <w:sz w:val="20"/>
          <w:szCs w:val="20"/>
          <w:color w:val="auto"/>
        </w:rPr>
      </w:pPr>
      <w:r>
        <w:rPr>
          <w:rFonts w:ascii="Arial" w:cs="Arial" w:eastAsia="Arial" w:hAnsi="Arial"/>
          <w:sz w:val="20"/>
          <w:szCs w:val="20"/>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powers of delegation shall not be restrictively construed but the widest interpretation shall be given to them;</w:t>
      </w:r>
    </w:p>
    <w:p>
      <w:pPr>
        <w:spacing w:after="0" w:line="188" w:lineRule="exact"/>
        <w:rPr>
          <w:rFonts w:ascii="Arial" w:cs="Arial" w:eastAsia="Arial" w:hAnsi="Arial"/>
          <w:sz w:val="20"/>
          <w:szCs w:val="20"/>
          <w:color w:val="auto"/>
        </w:rPr>
      </w:pPr>
    </w:p>
    <w:p>
      <w:pPr>
        <w:jc w:val="both"/>
        <w:ind w:left="1280" w:hanging="624"/>
        <w:spacing w:after="0" w:line="269" w:lineRule="auto"/>
        <w:tabs>
          <w:tab w:leader="none" w:pos="1262"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w:t>
      </w:r>
    </w:p>
    <w:p>
      <w:pPr>
        <w:spacing w:after="0" w:line="143" w:lineRule="exact"/>
        <w:rPr>
          <w:rFonts w:ascii="Arial" w:cs="Arial" w:eastAsia="Arial" w:hAnsi="Arial"/>
          <w:sz w:val="19"/>
          <w:szCs w:val="19"/>
          <w:color w:val="auto"/>
        </w:rPr>
      </w:pPr>
    </w:p>
    <w:p>
      <w:pPr>
        <w:ind w:left="1280" w:hanging="624"/>
        <w:spacing w:after="0" w:line="260" w:lineRule="auto"/>
        <w:tabs>
          <w:tab w:leader="none" w:pos="1262" w:val="left"/>
        </w:tabs>
        <w:numPr>
          <w:ilvl w:val="0"/>
          <w:numId w:val="9"/>
        </w:numPr>
        <w:rPr>
          <w:rFonts w:ascii="Arial" w:cs="Arial" w:eastAsia="Arial" w:hAnsi="Arial"/>
          <w:sz w:val="20"/>
          <w:szCs w:val="20"/>
          <w:color w:val="auto"/>
        </w:rPr>
      </w:pPr>
      <w:r>
        <w:rPr>
          <w:rFonts w:ascii="Arial" w:cs="Arial" w:eastAsia="Arial" w:hAnsi="Arial"/>
          <w:sz w:val="20"/>
          <w:szCs w:val="20"/>
          <w:color w:val="auto"/>
        </w:rPr>
        <w:t>no power of delegation shall be limited by the existence or, except where expressly provided by the terms of delegation, the exercise of that or any other power of delegation; and</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9"/>
        </w:numPr>
        <w:rPr>
          <w:rFonts w:ascii="Arial" w:cs="Arial" w:eastAsia="Arial" w:hAnsi="Arial"/>
          <w:sz w:val="20"/>
          <w:szCs w:val="20"/>
          <w:color w:val="auto"/>
        </w:rPr>
      </w:pPr>
      <w:r>
        <w:rPr>
          <w:rFonts w:ascii="Arial" w:cs="Arial" w:eastAsia="Arial" w:hAnsi="Arial"/>
          <w:sz w:val="20"/>
          <w:szCs w:val="20"/>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The headings are inserted for convenience only and do not affect the construction of these Articles.</w:t>
      </w:r>
    </w:p>
    <w:p>
      <w:pPr>
        <w:spacing w:after="0" w:line="183"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LIABILITY OF MEMBERS</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The liability of each member is limited to the amount, if any, unpaid on the shares held by that member.</w:t>
      </w:r>
    </w:p>
    <w:p>
      <w:pPr>
        <w:spacing w:after="0" w:line="182" w:lineRule="exact"/>
        <w:rPr>
          <w:rFonts w:ascii="Arial" w:cs="Arial" w:eastAsia="Arial" w:hAnsi="Arial"/>
          <w:sz w:val="20"/>
          <w:szCs w:val="20"/>
          <w:b w:val="1"/>
          <w:bCs w:val="1"/>
          <w:color w:val="auto"/>
        </w:rPr>
      </w:pPr>
    </w:p>
    <w:p>
      <w:pPr>
        <w:ind w:left="620" w:hanging="612"/>
        <w:spacing w:after="0"/>
        <w:tabs>
          <w:tab w:leader="none" w:pos="6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SHARES AND SHARE CAPITAL</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Company may issue the following shares in the capital of the Company with rights attaching to them and denominated, in each case, as follows:</w:t>
      </w:r>
    </w:p>
    <w:p>
      <w:pPr>
        <w:spacing w:after="0" w:line="150" w:lineRule="exact"/>
        <w:rPr>
          <w:sz w:val="20"/>
          <w:szCs w:val="20"/>
          <w:color w:val="auto"/>
        </w:rPr>
      </w:pPr>
    </w:p>
    <w:p>
      <w:pPr>
        <w:jc w:val="both"/>
        <w:ind w:left="1280" w:hanging="624"/>
        <w:spacing w:after="0" w:line="260" w:lineRule="auto"/>
        <w:tabs>
          <w:tab w:leader="none" w:pos="1262" w:val="left"/>
        </w:tabs>
        <w:numPr>
          <w:ilvl w:val="0"/>
          <w:numId w:val="11"/>
        </w:numPr>
        <w:rPr>
          <w:rFonts w:ascii="Arial" w:cs="Arial" w:eastAsia="Arial" w:hAnsi="Arial"/>
          <w:sz w:val="19"/>
          <w:szCs w:val="19"/>
          <w:color w:val="auto"/>
        </w:rPr>
      </w:pPr>
      <w:r>
        <w:rPr>
          <w:rFonts w:ascii="Arial" w:cs="Arial" w:eastAsia="Arial" w:hAnsi="Arial"/>
          <w:sz w:val="19"/>
          <w:szCs w:val="19"/>
          <w:color w:val="auto"/>
        </w:rPr>
        <w:t>Ordinary Shares, each of which shall be denominated in British Pounds Sterling with a nominal value of £1. Each Ordinary Share shall 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spacing w:after="0" w:line="154"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Notwithstanding Article 4.1, subject to the provisions of the Companies Act, and without prejudice to any rights attached to any existing shares or class of shares:</w:t>
      </w:r>
    </w:p>
    <w:p>
      <w:pPr>
        <w:spacing w:after="0" w:line="150" w:lineRule="exact"/>
        <w:rPr>
          <w:sz w:val="20"/>
          <w:szCs w:val="20"/>
          <w:color w:val="auto"/>
        </w:rPr>
      </w:pPr>
    </w:p>
    <w:p>
      <w:pPr>
        <w:ind w:left="1280" w:hanging="624"/>
        <w:spacing w:after="0" w:line="26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share may be issued in one or more classes with such rights or restrictions as the Company may by special resolution determine or, subject to and in default of such determination, as the Board shall determine; and</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12"/>
        </w:numPr>
        <w:rPr>
          <w:rFonts w:ascii="Arial" w:cs="Arial" w:eastAsia="Arial" w:hAnsi="Arial"/>
          <w:sz w:val="20"/>
          <w:szCs w:val="20"/>
          <w:color w:val="auto"/>
        </w:rPr>
      </w:pPr>
      <w:r>
        <w:rPr>
          <w:rFonts w:ascii="Arial" w:cs="Arial" w:eastAsia="Arial" w:hAnsi="Arial"/>
          <w:sz w:val="20"/>
          <w:szCs w:val="20"/>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5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4" w:name="page15"/>
    <w:bookmarkEnd w:id="14"/>
    <w:p>
      <w:pPr>
        <w:ind w:left="620"/>
        <w:spacing w:after="0"/>
        <w:rPr>
          <w:sz w:val="20"/>
          <w:szCs w:val="20"/>
          <w:color w:val="auto"/>
        </w:rPr>
      </w:pPr>
      <w:r>
        <w:rPr>
          <w:rFonts w:ascii="Arial" w:cs="Arial" w:eastAsia="Arial" w:hAnsi="Arial"/>
          <w:sz w:val="20"/>
          <w:szCs w:val="20"/>
          <w:color w:val="auto"/>
        </w:rPr>
        <w:t>shares or partly in one way and partly in the other and may be in respect of a conditional or an absolute subscription.</w:t>
      </w:r>
    </w:p>
    <w:p>
      <w:pPr>
        <w:spacing w:after="0" w:line="20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165"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5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color w:val="auto"/>
        </w:rPr>
        <w:t>In relation to a class of shares which is a participating class and for so long as it remains a participating class, no provision of these</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Articles shall apply or have effect to the extent that it is inconsistent in any respect with:</w:t>
      </w:r>
    </w:p>
    <w:p>
      <w:pPr>
        <w:spacing w:after="0" w:line="173" w:lineRule="exact"/>
        <w:rPr>
          <w:sz w:val="20"/>
          <w:szCs w:val="20"/>
          <w:color w:val="auto"/>
        </w:rPr>
      </w:pPr>
    </w:p>
    <w:p>
      <w:pPr>
        <w:ind w:left="1260" w:hanging="604"/>
        <w:spacing w:after="0"/>
        <w:tabs>
          <w:tab w:leader="none" w:pos="12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holding of shares of that class in uncertificated form;</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transfer of title to shares of that class by means of a relevant system;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any provision of the Uncertificated Securities Rules,</w:t>
      </w:r>
    </w:p>
    <w:p>
      <w:pPr>
        <w:spacing w:after="0" w:line="189"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125"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9"/>
          <w:szCs w:val="19"/>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126"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8"/>
          <w:szCs w:val="18"/>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9" w:right="239" w:bottom="1440" w:gutter="0" w:footer="0" w:header="0"/>
        </w:sectPr>
      </w:pPr>
    </w:p>
    <w:bookmarkStart w:id="15" w:name="page16"/>
    <w:bookmarkEnd w:id="15"/>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159" w:lineRule="exact"/>
        <w:rPr>
          <w:sz w:val="20"/>
          <w:szCs w:val="20"/>
          <w:color w:val="auto"/>
        </w:rPr>
      </w:pPr>
    </w:p>
    <w:p>
      <w:pPr>
        <w:ind w:left="1280" w:hanging="624"/>
        <w:spacing w:after="0" w:line="260" w:lineRule="auto"/>
        <w:tabs>
          <w:tab w:leader="none" w:pos="1262"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149" w:lineRule="exact"/>
        <w:rPr>
          <w:rFonts w:ascii="Arial" w:cs="Arial" w:eastAsia="Arial" w:hAnsi="Arial"/>
          <w:sz w:val="20"/>
          <w:szCs w:val="20"/>
          <w:color w:val="auto"/>
        </w:rPr>
      </w:pPr>
    </w:p>
    <w:p>
      <w:pPr>
        <w:jc w:val="both"/>
        <w:ind w:left="1280" w:right="20" w:hanging="624"/>
        <w:spacing w:after="0" w:line="250" w:lineRule="auto"/>
        <w:tabs>
          <w:tab w:leader="none" w:pos="1262" w:val="left"/>
        </w:tabs>
        <w:numPr>
          <w:ilvl w:val="0"/>
          <w:numId w:val="14"/>
        </w:numPr>
        <w:rPr>
          <w:rFonts w:ascii="Arial" w:cs="Arial" w:eastAsia="Arial" w:hAnsi="Arial"/>
          <w:sz w:val="20"/>
          <w:szCs w:val="20"/>
          <w:color w:val="auto"/>
        </w:rPr>
      </w:pPr>
      <w:r>
        <w:rPr>
          <w:rFonts w:ascii="Arial" w:cs="Arial" w:eastAsia="Arial" w:hAnsi="Arial"/>
          <w:sz w:val="20"/>
          <w:szCs w:val="20"/>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take any other action that the Board considers appropriate to achieve the sale, transfer, disposal, forfeiture, reallotment or surrender of that share, or otherwise to enforce a lien in respect of that share.</w:t>
      </w:r>
    </w:p>
    <w:p>
      <w:pPr>
        <w:spacing w:after="0" w:line="15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4.10</w:t>
        <w:tab/>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159" w:lineRule="exact"/>
        <w:rPr>
          <w:sz w:val="20"/>
          <w:szCs w:val="20"/>
          <w:color w:val="auto"/>
        </w:rPr>
      </w:pPr>
    </w:p>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13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AUTHORITY TO ALLOT SHARES AND DISAPPLICATION OF PRE-EMPTION RIGHTS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In addition to any similar authority which has not been fully utilised, the Board shall be generally and unconditionally authorised pursuant to section 551 of the Companies Act to:</w:t>
      </w:r>
    </w:p>
    <w:p>
      <w:pPr>
        <w:spacing w:after="0" w:line="150" w:lineRule="exact"/>
        <w:rPr>
          <w:sz w:val="20"/>
          <w:szCs w:val="20"/>
          <w:color w:val="auto"/>
        </w:rPr>
      </w:pPr>
    </w:p>
    <w:p>
      <w:pPr>
        <w:jc w:val="both"/>
        <w:ind w:left="1280" w:hanging="624"/>
        <w:spacing w:after="0" w:line="274" w:lineRule="auto"/>
        <w:tabs>
          <w:tab w:leader="none" w:pos="1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142" w:lineRule="exact"/>
        <w:rPr>
          <w:rFonts w:ascii="Arial" w:cs="Arial" w:eastAsia="Arial" w:hAnsi="Arial"/>
          <w:sz w:val="18"/>
          <w:szCs w:val="18"/>
          <w:color w:val="auto"/>
        </w:rPr>
      </w:pPr>
    </w:p>
    <w:p>
      <w:pPr>
        <w:jc w:val="both"/>
        <w:ind w:left="1280" w:hanging="624"/>
        <w:spacing w:after="0" w:line="250" w:lineRule="auto"/>
        <w:tabs>
          <w:tab w:leader="none" w:pos="1262"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6" w:name="page17"/>
    <w:bookmarkEnd w:id="16"/>
    <w:p>
      <w:pPr>
        <w:jc w:val="both"/>
        <w:ind w:left="612" w:hanging="620"/>
        <w:spacing w:after="0" w:line="250" w:lineRule="auto"/>
        <w:tabs>
          <w:tab w:leader="none" w:pos="59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159" w:lineRule="exact"/>
        <w:rPr>
          <w:sz w:val="20"/>
          <w:szCs w:val="20"/>
          <w:color w:val="auto"/>
        </w:rPr>
      </w:pPr>
    </w:p>
    <w:p>
      <w:pPr>
        <w:jc w:val="both"/>
        <w:ind w:left="612" w:hanging="620"/>
        <w:spacing w:after="0" w:line="250" w:lineRule="auto"/>
        <w:tabs>
          <w:tab w:leader="none" w:pos="592"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159" w:lineRule="exact"/>
        <w:rPr>
          <w:sz w:val="20"/>
          <w:szCs w:val="20"/>
          <w:color w:val="auto"/>
        </w:rPr>
      </w:pPr>
    </w:p>
    <w:p>
      <w:pPr>
        <w:ind w:left="1252" w:hanging="604"/>
        <w:spacing w:after="0"/>
        <w:tabs>
          <w:tab w:leader="none" w:pos="1252"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shares for the time being in the capital of the Company shall be at the disposal of the Board; and</w:t>
      </w:r>
    </w:p>
    <w:p>
      <w:pPr>
        <w:spacing w:after="0" w:line="188" w:lineRule="exact"/>
        <w:rPr>
          <w:rFonts w:ascii="Arial" w:cs="Arial" w:eastAsia="Arial" w:hAnsi="Arial"/>
          <w:sz w:val="20"/>
          <w:szCs w:val="20"/>
          <w:color w:val="auto"/>
        </w:rPr>
      </w:pPr>
    </w:p>
    <w:p>
      <w:pPr>
        <w:ind w:left="1272" w:hanging="624"/>
        <w:spacing w:after="0" w:line="260" w:lineRule="auto"/>
        <w:tabs>
          <w:tab w:leader="none" w:pos="1254"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Board may reclassify, allot (with or without conferring a right of renunciation), grant options over, or otherwise dispose of them to such persons on such terms and conditions and at such times as it thinks fit.</w:t>
      </w:r>
    </w:p>
    <w:p>
      <w:pPr>
        <w:spacing w:after="0" w:line="150" w:lineRule="exact"/>
        <w:rPr>
          <w:sz w:val="20"/>
          <w:szCs w:val="20"/>
          <w:color w:val="auto"/>
        </w:rPr>
      </w:pPr>
    </w:p>
    <w:p>
      <w:pPr>
        <w:jc w:val="both"/>
        <w:ind w:left="612" w:hanging="620"/>
        <w:spacing w:after="0" w:line="291" w:lineRule="auto"/>
        <w:tabs>
          <w:tab w:leader="none" w:pos="592"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125" w:lineRule="exact"/>
        <w:rPr>
          <w:sz w:val="20"/>
          <w:szCs w:val="20"/>
          <w:color w:val="auto"/>
        </w:rPr>
      </w:pPr>
    </w:p>
    <w:p>
      <w:pPr>
        <w:jc w:val="both"/>
        <w:ind w:left="612" w:hanging="620"/>
        <w:spacing w:after="0" w:line="250" w:lineRule="auto"/>
        <w:tabs>
          <w:tab w:leader="none" w:pos="592"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153" w:lineRule="exact"/>
        <w:rPr>
          <w:sz w:val="20"/>
          <w:szCs w:val="20"/>
          <w:color w:val="auto"/>
        </w:rPr>
      </w:pPr>
    </w:p>
    <w:p>
      <w:pPr>
        <w:ind w:left="612" w:hanging="612"/>
        <w:spacing w:after="0"/>
        <w:tabs>
          <w:tab w:leader="none" w:pos="61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VARIATION OF RIGHTS</w:t>
      </w:r>
    </w:p>
    <w:p>
      <w:pPr>
        <w:spacing w:after="0" w:line="195" w:lineRule="exact"/>
        <w:rPr>
          <w:sz w:val="20"/>
          <w:szCs w:val="20"/>
          <w:color w:val="auto"/>
        </w:rPr>
      </w:pPr>
    </w:p>
    <w:p>
      <w:pPr>
        <w:jc w:val="both"/>
        <w:ind w:left="612" w:hanging="620"/>
        <w:spacing w:after="0" w:line="250" w:lineRule="auto"/>
        <w:tabs>
          <w:tab w:leader="none" w:pos="59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59" w:lineRule="exact"/>
        <w:rPr>
          <w:sz w:val="20"/>
          <w:szCs w:val="20"/>
          <w:color w:val="auto"/>
        </w:rPr>
      </w:pPr>
    </w:p>
    <w:p>
      <w:pPr>
        <w:ind w:left="1252" w:hanging="604"/>
        <w:spacing w:after="0"/>
        <w:tabs>
          <w:tab w:leader="none" w:pos="1252"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such manner (if any) as may be provided by those rights;</w:t>
      </w:r>
    </w:p>
    <w:p>
      <w:pPr>
        <w:spacing w:after="0" w:line="188" w:lineRule="exact"/>
        <w:rPr>
          <w:rFonts w:ascii="Arial" w:cs="Arial" w:eastAsia="Arial" w:hAnsi="Arial"/>
          <w:sz w:val="20"/>
          <w:szCs w:val="20"/>
          <w:color w:val="auto"/>
        </w:rPr>
      </w:pPr>
    </w:p>
    <w:p>
      <w:pPr>
        <w:jc w:val="both"/>
        <w:ind w:left="1272" w:hanging="624"/>
        <w:spacing w:after="0" w:line="244" w:lineRule="auto"/>
        <w:tabs>
          <w:tab w:leader="none" w:pos="1254" w:val="left"/>
        </w:tabs>
        <w:numPr>
          <w:ilvl w:val="0"/>
          <w:numId w:val="19"/>
        </w:numPr>
        <w:rPr>
          <w:rFonts w:ascii="Arial" w:cs="Arial" w:eastAsia="Arial" w:hAnsi="Arial"/>
          <w:sz w:val="20"/>
          <w:szCs w:val="20"/>
          <w:color w:val="auto"/>
        </w:rPr>
      </w:pPr>
      <w:r>
        <w:rPr>
          <w:rFonts w:ascii="Arial" w:cs="Arial" w:eastAsia="Arial" w:hAnsi="Arial"/>
          <w:sz w:val="20"/>
          <w:szCs w:val="20"/>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167" w:lineRule="exact"/>
        <w:rPr>
          <w:rFonts w:ascii="Arial" w:cs="Arial" w:eastAsia="Arial" w:hAnsi="Arial"/>
          <w:sz w:val="20"/>
          <w:szCs w:val="20"/>
          <w:color w:val="auto"/>
        </w:rPr>
      </w:pPr>
    </w:p>
    <w:p>
      <w:pPr>
        <w:ind w:left="1252" w:hanging="604"/>
        <w:spacing w:after="0"/>
        <w:tabs>
          <w:tab w:leader="none" w:pos="1252" w:val="left"/>
        </w:tabs>
        <w:numPr>
          <w:ilvl w:val="0"/>
          <w:numId w:val="19"/>
        </w:numPr>
        <w:rPr>
          <w:rFonts w:ascii="Arial" w:cs="Arial" w:eastAsia="Arial" w:hAnsi="Arial"/>
          <w:sz w:val="20"/>
          <w:szCs w:val="20"/>
          <w:color w:val="auto"/>
        </w:rPr>
      </w:pPr>
      <w:r>
        <w:rPr>
          <w:rFonts w:ascii="Arial" w:cs="Arial" w:eastAsia="Arial" w:hAnsi="Arial"/>
          <w:sz w:val="20"/>
          <w:szCs w:val="20"/>
          <w:color w:val="auto"/>
        </w:rPr>
        <w:t>with the sanction of a special resolution passed at a separate meeting of the holders of the shares of that class,</w:t>
      </w:r>
    </w:p>
    <w:p>
      <w:pPr>
        <w:spacing w:after="0" w:line="189" w:lineRule="exact"/>
        <w:rPr>
          <w:sz w:val="20"/>
          <w:szCs w:val="20"/>
          <w:color w:val="auto"/>
        </w:rPr>
      </w:pPr>
    </w:p>
    <w:p>
      <w:pPr>
        <w:ind w:left="612"/>
        <w:spacing w:after="0"/>
        <w:rPr>
          <w:sz w:val="20"/>
          <w:szCs w:val="20"/>
          <w:color w:val="auto"/>
        </w:rPr>
      </w:pPr>
      <w:r>
        <w:rPr>
          <w:rFonts w:ascii="Arial" w:cs="Arial" w:eastAsia="Arial" w:hAnsi="Arial"/>
          <w:sz w:val="20"/>
          <w:szCs w:val="20"/>
          <w:color w:val="auto"/>
        </w:rPr>
        <w:t>but not otherwise.</w:t>
      </w:r>
    </w:p>
    <w:p>
      <w:pPr>
        <w:spacing w:after="0" w:line="189" w:lineRule="exact"/>
        <w:rPr>
          <w:sz w:val="20"/>
          <w:szCs w:val="20"/>
          <w:color w:val="auto"/>
        </w:rPr>
      </w:pPr>
    </w:p>
    <w:p>
      <w:pPr>
        <w:ind w:left="612" w:hanging="620"/>
        <w:spacing w:after="0" w:line="316" w:lineRule="auto"/>
        <w:tabs>
          <w:tab w:leader="none" w:pos="592"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103" w:lineRule="exact"/>
        <w:rPr>
          <w:sz w:val="20"/>
          <w:szCs w:val="20"/>
          <w:color w:val="auto"/>
        </w:rPr>
      </w:pPr>
    </w:p>
    <w:p>
      <w:pPr>
        <w:ind w:left="1252" w:hanging="604"/>
        <w:spacing w:after="0"/>
        <w:tabs>
          <w:tab w:leader="none" w:pos="1252"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the issue of further shares ranking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subsequent to, that share or class of shares;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652"/>
        <w:spacing w:after="0"/>
        <w:rPr>
          <w:rFonts w:ascii="Arial" w:cs="Arial" w:eastAsia="Arial" w:hAnsi="Arial"/>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366" w:right="239" w:bottom="1440" w:gutter="0" w:footer="0" w:header="0"/>
        </w:sectPr>
      </w:pPr>
    </w:p>
    <w:bookmarkStart w:id="17" w:name="page18"/>
    <w:bookmarkEnd w:id="17"/>
    <w:p>
      <w:pPr>
        <w:ind w:left="1260" w:hanging="604"/>
        <w:spacing w:after="0"/>
        <w:tabs>
          <w:tab w:leader="none" w:pos="12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purchase or redemption by the Company of any of its own shares;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exercise by the Board of any of the powers contemplated by Articles 38.7, 38.8 and 39.1.</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SHARE CERTIFICATES</w:t>
      </w:r>
    </w:p>
    <w:p>
      <w:pPr>
        <w:spacing w:after="0" w:line="195" w:lineRule="exact"/>
        <w:rPr>
          <w:sz w:val="20"/>
          <w:szCs w:val="20"/>
          <w:color w:val="auto"/>
        </w:rPr>
      </w:pPr>
    </w:p>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 the shares provide otherwise) one certificate for all the shares of each class held by him (and, 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Every certificate shall:</w:t>
      </w:r>
    </w:p>
    <w:p>
      <w:pPr>
        <w:spacing w:after="0" w:line="189" w:lineRule="exact"/>
        <w:rPr>
          <w:sz w:val="20"/>
          <w:szCs w:val="20"/>
          <w:color w:val="auto"/>
        </w:rPr>
      </w:pPr>
    </w:p>
    <w:p>
      <w:pPr>
        <w:ind w:left="1280" w:right="20" w:hanging="624"/>
        <w:spacing w:after="0" w:line="260" w:lineRule="auto"/>
        <w:tabs>
          <w:tab w:leader="none" w:pos="1262" w:val="left"/>
        </w:tabs>
        <w:numPr>
          <w:ilvl w:val="0"/>
          <w:numId w:val="23"/>
        </w:numPr>
        <w:rPr>
          <w:rFonts w:ascii="Arial" w:cs="Arial" w:eastAsia="Arial" w:hAnsi="Arial"/>
          <w:sz w:val="20"/>
          <w:szCs w:val="20"/>
          <w:color w:val="auto"/>
        </w:rPr>
      </w:pPr>
      <w:r>
        <w:rPr>
          <w:rFonts w:ascii="Arial" w:cs="Arial" w:eastAsia="Arial" w:hAnsi="Arial"/>
          <w:sz w:val="20"/>
          <w:szCs w:val="20"/>
          <w:color w:val="auto"/>
        </w:rPr>
        <w:t>be issued under the seal, or under such other form of authentication as the Board may approve (which may include manual or facsimile signatures by one or more Directors);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3"/>
        </w:numPr>
        <w:rPr>
          <w:rFonts w:ascii="Arial" w:cs="Arial" w:eastAsia="Arial" w:hAnsi="Arial"/>
          <w:sz w:val="20"/>
          <w:szCs w:val="20"/>
          <w:color w:val="auto"/>
        </w:rPr>
      </w:pPr>
      <w:r>
        <w:rPr>
          <w:rFonts w:ascii="Arial" w:cs="Arial" w:eastAsia="Arial" w:hAnsi="Arial"/>
          <w:sz w:val="20"/>
          <w:szCs w:val="20"/>
          <w:color w:val="auto"/>
        </w:rPr>
        <w:t>shall specify the number, class and distinguishing numbers (if any) of the shares to which it relates and the amount or respective amounts paid up on the shares.</w:t>
      </w:r>
    </w:p>
    <w:p>
      <w:pPr>
        <w:spacing w:after="0" w:line="15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The Company shall not be bound to issue more than one certificate for shares held jointly by more than one person and delivery of a certificate to one joint holder shall be sufficient delivery to all of them, and seniority shall be determined in the manner described in Article 21.3. Shares of different classes may not be included in the same certificate.</w:t>
      </w:r>
    </w:p>
    <w:p>
      <w:pPr>
        <w:spacing w:after="0" w:line="159"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150"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 reduction, were, immediately before the reduction, represented by the same certificate.</w:t>
      </w:r>
    </w:p>
    <w:p>
      <w:pPr>
        <w:spacing w:after="0" w:line="146"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LIEN</w:t>
      </w:r>
    </w:p>
    <w:p>
      <w:pPr>
        <w:spacing w:after="0" w:line="195" w:lineRule="exact"/>
        <w:rPr>
          <w:sz w:val="20"/>
          <w:szCs w:val="20"/>
          <w:color w:val="auto"/>
        </w:rPr>
      </w:pPr>
    </w:p>
    <w:p>
      <w:pPr>
        <w:jc w:val="both"/>
        <w:ind w:left="620" w:right="20" w:hanging="620"/>
        <w:spacing w:after="0" w:line="269" w:lineRule="auto"/>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8" w:name="page19"/>
    <w:bookmarkEnd w:id="18"/>
    <w:p>
      <w:pPr>
        <w:ind w:left="620"/>
        <w:spacing w:after="0" w:line="289" w:lineRule="auto"/>
        <w:rPr>
          <w:sz w:val="20"/>
          <w:szCs w:val="20"/>
          <w:color w:val="auto"/>
        </w:rPr>
      </w:pPr>
      <w:r>
        <w:rPr>
          <w:rFonts w:ascii="Arial" w:cs="Arial" w:eastAsia="Arial" w:hAnsi="Arial"/>
          <w:sz w:val="20"/>
          <w:szCs w:val="20"/>
          <w:color w:val="auto"/>
        </w:rPr>
        <w:t>lien on a share takes priority over any third party’s interest in that share and shall extend to all amounts (including without limitation dividends) payable in respect of it.</w:t>
      </w:r>
    </w:p>
    <w:p>
      <w:pPr>
        <w:spacing w:after="0" w:line="135"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150"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6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162"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CALLS ON SHARES</w:t>
      </w:r>
    </w:p>
    <w:p>
      <w:pPr>
        <w:spacing w:after="0" w:line="195"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color w:val="auto"/>
        </w:rPr>
        <w:t>A call shall be deemed to have been made at the time when the resolution of the Board authorising the call was passed.</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The joint holders of a share shall be jointly and severally liable to pay all calls in respect of it.</w:t>
      </w:r>
    </w:p>
    <w:p>
      <w:pPr>
        <w:spacing w:after="0" w:line="189"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169"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9" w:right="239" w:bottom="1440" w:gutter="0" w:footer="0" w:header="0"/>
        </w:sectPr>
      </w:pPr>
    </w:p>
    <w:bookmarkStart w:id="19" w:name="page20"/>
    <w:bookmarkEnd w:id="19"/>
    <w:p>
      <w:pPr>
        <w:ind w:left="620" w:right="20"/>
        <w:spacing w:after="0" w:line="289" w:lineRule="auto"/>
        <w:rPr>
          <w:sz w:val="20"/>
          <w:szCs w:val="20"/>
          <w:color w:val="auto"/>
        </w:rPr>
      </w:pPr>
      <w:r>
        <w:rPr>
          <w:rFonts w:ascii="Arial" w:cs="Arial" w:eastAsia="Arial" w:hAnsi="Arial"/>
          <w:sz w:val="20"/>
          <w:szCs w:val="20"/>
          <w:color w:val="auto"/>
        </w:rPr>
        <w:t>not exceeding 20 per cent. per annum, or, if higher, at the appropriate rate (as defined by the Companies Act), but the Board may in respect of any individual member waive payment of interest wholly or in part.</w:t>
      </w:r>
    </w:p>
    <w:p>
      <w:pPr>
        <w:spacing w:after="0" w:line="13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16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Subject to the terms of allotment, the Directors may on the issue of shares differentiate between the allottees or holders in the amounts and times of payment of calls on their shares.</w:t>
      </w:r>
    </w:p>
    <w:p>
      <w:pPr>
        <w:spacing w:after="0" w:line="150"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146" w:lineRule="exact"/>
        <w:rPr>
          <w:sz w:val="20"/>
          <w:szCs w:val="20"/>
          <w:color w:val="auto"/>
        </w:rPr>
      </w:pPr>
    </w:p>
    <w:p>
      <w:pPr>
        <w:ind w:left="620" w:hanging="612"/>
        <w:spacing w:after="0"/>
        <w:tabs>
          <w:tab w:leader="none" w:pos="6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FORFEITURE AND SURRENDER</w:t>
      </w:r>
    </w:p>
    <w:p>
      <w:pPr>
        <w:spacing w:after="0" w:line="195"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10.1</w:t>
        <w:tab/>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168"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152"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4.9. The Company may receive the consideration given for the share on its disposal and register the transferee as the holder of the share.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9" w:right="239" w:bottom="1440" w:gutter="0" w:footer="0" w:header="0"/>
        </w:sectPr>
      </w:pPr>
    </w:p>
    <w:bookmarkStart w:id="20" w:name="page21"/>
    <w:bookmarkEnd w:id="20"/>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142"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9"/>
          <w:szCs w:val="19"/>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2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10.6</w:t>
        <w:tab/>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165"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color w:val="auto"/>
        </w:rPr>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132" w:lineRule="exact"/>
        <w:rPr>
          <w:sz w:val="20"/>
          <w:szCs w:val="20"/>
          <w:color w:val="auto"/>
        </w:rPr>
      </w:pPr>
    </w:p>
    <w:p>
      <w:pPr>
        <w:ind w:left="620" w:hanging="612"/>
        <w:spacing w:after="0"/>
        <w:tabs>
          <w:tab w:leader="none" w:pos="6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SHARES</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11.1</w:t>
        <w:tab/>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16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11.2</w:t>
        <w:tab/>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165"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color w:val="auto"/>
        </w:rPr>
        <w:t>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12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The Board may, in its absolute discretion, also refuse to register the transfer of a share in certificated form:</w:t>
      </w:r>
    </w:p>
    <w:p>
      <w:pPr>
        <w:spacing w:after="0" w:line="189" w:lineRule="exact"/>
        <w:rPr>
          <w:sz w:val="20"/>
          <w:szCs w:val="20"/>
          <w:color w:val="auto"/>
        </w:rPr>
      </w:pPr>
    </w:p>
    <w:p>
      <w:pPr>
        <w:ind w:left="1260" w:hanging="604"/>
        <w:spacing w:after="0"/>
        <w:tabs>
          <w:tab w:leader="none" w:pos="12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unless the instrument of transfer:</w:t>
      </w:r>
    </w:p>
    <w:p>
      <w:pPr>
        <w:spacing w:after="0" w:line="188" w:lineRule="exact"/>
        <w:rPr>
          <w:rFonts w:ascii="Arial" w:cs="Arial" w:eastAsia="Arial" w:hAnsi="Arial"/>
          <w:sz w:val="20"/>
          <w:szCs w:val="20"/>
          <w:color w:val="auto"/>
        </w:rPr>
      </w:pPr>
    </w:p>
    <w:p>
      <w:pPr>
        <w:ind w:left="1920" w:hanging="642"/>
        <w:spacing w:after="0" w:line="316"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lodged, duly stamped, at the Office or such other place as the Board has appointed, accompanied by the certificate for the share to which it relates, or such other evidence as the Directors may reasonably require to show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21" w:name="page22"/>
    <w:bookmarkEnd w:id="21"/>
    <w:p>
      <w:pPr>
        <w:ind w:left="1920"/>
        <w:spacing w:after="0" w:line="289" w:lineRule="auto"/>
        <w:rPr>
          <w:sz w:val="20"/>
          <w:szCs w:val="20"/>
          <w:color w:val="auto"/>
        </w:rPr>
      </w:pPr>
      <w:r>
        <w:rPr>
          <w:rFonts w:ascii="Arial" w:cs="Arial" w:eastAsia="Arial" w:hAnsi="Arial"/>
          <w:sz w:val="20"/>
          <w:szCs w:val="20"/>
          <w:color w:val="auto"/>
        </w:rPr>
        <w:t>transferor’s right to make the transfer, or evidence of the right of someone other than the transferor to make the transfer on the transferor’s behalf;</w:t>
      </w:r>
    </w:p>
    <w:p>
      <w:pPr>
        <w:spacing w:after="0" w:line="135" w:lineRule="exact"/>
        <w:rPr>
          <w:sz w:val="20"/>
          <w:szCs w:val="20"/>
          <w:color w:val="auto"/>
        </w:rPr>
      </w:pPr>
    </w:p>
    <w:p>
      <w:pPr>
        <w:ind w:left="1920" w:hanging="642"/>
        <w:spacing w:after="0"/>
        <w:tabs>
          <w:tab w:leader="none" w:pos="19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is in respect of only one class of shares; and</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is in favour of not more than four transferees; or</w:t>
      </w:r>
    </w:p>
    <w:p>
      <w:pPr>
        <w:spacing w:after="0" w:line="189" w:lineRule="exact"/>
        <w:rPr>
          <w:sz w:val="20"/>
          <w:szCs w:val="20"/>
          <w:color w:val="auto"/>
        </w:rPr>
      </w:pPr>
    </w:p>
    <w:p>
      <w:pPr>
        <w:ind w:left="1280" w:hanging="624"/>
        <w:spacing w:after="0" w:line="316" w:lineRule="auto"/>
        <w:tabs>
          <w:tab w:leader="none" w:pos="12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103"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11.5</w:t>
        <w:tab/>
        <w:t>The Board may also refuse to register a transfer of uncertificated shares in any circumstances that are allowed or required by the Uncertificated Securities Rules and the relevant system.</w:t>
      </w:r>
    </w:p>
    <w:p>
      <w:pPr>
        <w:spacing w:after="0" w:line="150"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9"/>
          <w:szCs w:val="19"/>
          <w:color w:val="auto"/>
        </w:rPr>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spacing w:after="0" w:line="15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11.7</w:t>
        <w:tab/>
        <w:t>No fee shall be charged for the registration of any instrument of transfer or other document or instruction relating to or affecting the title to any share.</w:t>
      </w:r>
    </w:p>
    <w:p>
      <w:pPr>
        <w:spacing w:after="0" w:line="150" w:lineRule="exact"/>
        <w:rPr>
          <w:sz w:val="20"/>
          <w:szCs w:val="20"/>
          <w:color w:val="auto"/>
        </w:rPr>
      </w:pPr>
    </w:p>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103" w:lineRule="exact"/>
        <w:rPr>
          <w:sz w:val="20"/>
          <w:szCs w:val="20"/>
          <w:color w:val="auto"/>
        </w:rPr>
      </w:pPr>
    </w:p>
    <w:p>
      <w:pPr>
        <w:jc w:val="both"/>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11.9</w:t>
        <w:tab/>
        <w:t>Nothing in these Articles shall preclude the Board from recognising a renunciation of the allotment of any share by the allottee in favour of some other person.</w:t>
      </w:r>
    </w:p>
    <w:p>
      <w:pPr>
        <w:spacing w:after="0" w:line="144"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TRANSMISSION OF SHARES</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12.1</w:t>
        <w:tab/>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pacing w:after="0" w:line="165" w:lineRule="exact"/>
        <w:rPr>
          <w:sz w:val="20"/>
          <w:szCs w:val="20"/>
          <w:color w:val="auto"/>
        </w:rPr>
      </w:pPr>
    </w:p>
    <w:p>
      <w:pPr>
        <w:jc w:val="both"/>
        <w:ind w:left="620" w:hanging="620"/>
        <w:spacing w:after="0" w:line="256" w:lineRule="auto"/>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A person entitled by transmission to a share in uncertificated form who elects to have some other person registered shall either: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9" w:right="239" w:bottom="1440" w:gutter="0" w:footer="0" w:header="0"/>
        </w:sectPr>
      </w:pPr>
    </w:p>
    <w:bookmarkStart w:id="22" w:name="page23"/>
    <w:bookmarkEnd w:id="22"/>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procure that instructions are given by means of the relevant system to effect transfer of such uncertificated share to that person;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 the uncertificated share to certified form and execute an instrument of transfer to that person.</w:t>
      </w:r>
    </w:p>
    <w:p>
      <w:pPr>
        <w:spacing w:after="0" w:line="18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25"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146"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SHARE WARRANTS</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In accordance with Law, the Company shall not issue share warrants to bearer.</w:t>
      </w:r>
    </w:p>
    <w:p>
      <w:pPr>
        <w:spacing w:after="0" w:line="182" w:lineRule="exact"/>
        <w:rPr>
          <w:rFonts w:ascii="Arial" w:cs="Arial" w:eastAsia="Arial" w:hAnsi="Arial"/>
          <w:sz w:val="20"/>
          <w:szCs w:val="20"/>
          <w:b w:val="1"/>
          <w:bCs w:val="1"/>
          <w:color w:val="auto"/>
        </w:rPr>
      </w:pPr>
    </w:p>
    <w:p>
      <w:pPr>
        <w:ind w:left="620" w:hanging="612"/>
        <w:spacing w:after="0"/>
        <w:tabs>
          <w:tab w:leader="none" w:pos="6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UNTRACED MEMBERS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color w:val="auto"/>
        </w:rPr>
        <w:t>The Company shall be entitled to sell any share held by a member, or any share to which a person is entitled by transmission, if:</w:t>
      </w:r>
    </w:p>
    <w:p>
      <w:pPr>
        <w:spacing w:after="0" w:line="189" w:lineRule="exact"/>
        <w:rPr>
          <w:sz w:val="20"/>
          <w:szCs w:val="20"/>
          <w:color w:val="auto"/>
        </w:rPr>
      </w:pPr>
    </w:p>
    <w:p>
      <w:pPr>
        <w:jc w:val="both"/>
        <w:ind w:left="1280" w:hanging="624"/>
        <w:spacing w:after="0" w:line="282" w:lineRule="auto"/>
        <w:tabs>
          <w:tab w:leader="none" w:pos="12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period of 12 years before the date of the publication of the advertisements referred to in paragraph (b) of this Article 14.1 (or, if published on different dates, the first date) (the “</w:t>
      </w:r>
      <w:r>
        <w:rPr>
          <w:rFonts w:ascii="Arial" w:cs="Arial" w:eastAsia="Arial" w:hAnsi="Arial"/>
          <w:sz w:val="18"/>
          <w:szCs w:val="18"/>
          <w:b w:val="1"/>
          <w:bCs w:val="1"/>
          <w:color w:val="auto"/>
        </w:rPr>
        <w:t>relevant period”</w:t>
      </w:r>
      <w:r>
        <w:rPr>
          <w:rFonts w:ascii="Arial" w:cs="Arial" w:eastAsia="Arial" w:hAnsi="Arial"/>
          <w:sz w:val="18"/>
          <w:szCs w:val="18"/>
          <w:color w:val="auto"/>
        </w:rPr>
        <w:t>) at least three dividends in respect of the share have been declared and all dividend warrants, cheques or other method of payment for amounts payable in respect of the share which have been sent and were payable in a manner authorised by these Articles have remained uncashed;</w:t>
      </w:r>
    </w:p>
    <w:p>
      <w:pPr>
        <w:spacing w:after="0" w:line="134" w:lineRule="exact"/>
        <w:rPr>
          <w:rFonts w:ascii="Arial" w:cs="Arial" w:eastAsia="Arial" w:hAnsi="Arial"/>
          <w:sz w:val="18"/>
          <w:szCs w:val="18"/>
          <w:color w:val="auto"/>
        </w:rPr>
      </w:pPr>
    </w:p>
    <w:p>
      <w:pPr>
        <w:jc w:val="both"/>
        <w:ind w:left="1280" w:hanging="624"/>
        <w:spacing w:after="0" w:line="282" w:lineRule="auto"/>
        <w:tabs>
          <w:tab w:leader="none" w:pos="12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as soon as practicable after the expiration of the relevant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w:t>
      </w:r>
    </w:p>
    <w:p>
      <w:pPr>
        <w:spacing w:after="0" w:line="134" w:lineRule="exact"/>
        <w:rPr>
          <w:rFonts w:ascii="Arial" w:cs="Arial" w:eastAsia="Arial" w:hAnsi="Arial"/>
          <w:sz w:val="18"/>
          <w:szCs w:val="18"/>
          <w:color w:val="auto"/>
        </w:rPr>
      </w:pPr>
    </w:p>
    <w:p>
      <w:pPr>
        <w:jc w:val="both"/>
        <w:ind w:left="1280" w:hanging="624"/>
        <w:spacing w:after="0" w:line="250" w:lineRule="auto"/>
        <w:tabs>
          <w:tab w:leader="none" w:pos="1262" w:val="left"/>
        </w:tabs>
        <w:numPr>
          <w:ilvl w:val="0"/>
          <w:numId w:val="34"/>
        </w:numPr>
        <w:rPr>
          <w:rFonts w:ascii="Arial" w:cs="Arial" w:eastAsia="Arial" w:hAnsi="Arial"/>
          <w:sz w:val="20"/>
          <w:szCs w:val="20"/>
          <w:color w:val="auto"/>
        </w:rPr>
      </w:pPr>
      <w:r>
        <w:rPr>
          <w:rFonts w:ascii="Arial" w:cs="Arial" w:eastAsia="Arial" w:hAnsi="Arial"/>
          <w:sz w:val="20"/>
          <w:szCs w:val="20"/>
          <w:color w:val="auto"/>
        </w:rPr>
        <w:t>during the relevant period and the further period of three months after the publication of the advertisements referred to in paragraph (b) of this Article 14.1 (or, if published on different dates, the later date) the Company has received no communication from, or on behalf of, such member or person concerned;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Company has given notice to the UKLA of its intention to make such sale, if shares of the class concerned are listed on the Official List or dealt on the London Stock Exchange.</w:t>
      </w:r>
    </w:p>
    <w:p>
      <w:pPr>
        <w:spacing w:after="0" w:line="150"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14.2</w:t>
        <w:tab/>
        <w:t>The Company shall also be entitled to sell any additional share issued during the relevant period of 12 years in right of any share to which Article 14.1 applies (or in right of any share so issued), if the criteria in Article 14.1 are satisfied in relation to the additional share (but as if the words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3" w:name="page24"/>
    <w:bookmarkEnd w:id="23"/>
    <w:p>
      <w:pPr>
        <w:ind w:left="620" w:right="20"/>
        <w:spacing w:after="0" w:line="289" w:lineRule="auto"/>
        <w:rPr>
          <w:sz w:val="20"/>
          <w:szCs w:val="20"/>
          <w:color w:val="auto"/>
        </w:rPr>
      </w:pPr>
      <w:r>
        <w:rPr>
          <w:rFonts w:ascii="Arial" w:cs="Arial" w:eastAsia="Arial" w:hAnsi="Arial"/>
          <w:sz w:val="20"/>
          <w:szCs w:val="20"/>
          <w:color w:val="auto"/>
        </w:rPr>
        <w:t>“during the period of 12 years” were omitted from paragraph (a) and the words “, after the expiration of the relevant period,” were omitted from paragraph (b)).</w:t>
      </w:r>
    </w:p>
    <w:p>
      <w:pPr>
        <w:spacing w:after="0" w:line="13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To give effect to the sale of any share pursuant to this Article 14 the Company may:</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15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case of a share in uncertificated form, in accordance with the Uncertificated Securities Rules, the Board may issue a written notification to the Operator requiring the conversion of the shares to certificated form.</w:t>
      </w:r>
    </w:p>
    <w:p>
      <w:pPr>
        <w:spacing w:after="0" w:line="150" w:lineRule="exact"/>
        <w:rPr>
          <w:sz w:val="20"/>
          <w:szCs w:val="20"/>
          <w:color w:val="auto"/>
        </w:rPr>
      </w:pPr>
    </w:p>
    <w:p>
      <w:pPr>
        <w:jc w:val="both"/>
        <w:ind w:left="620" w:hanging="620"/>
        <w:spacing w:after="0" w:line="272" w:lineRule="auto"/>
        <w:tabs>
          <w:tab w:leader="none" w:pos="60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138"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ALTERATION OF CAPITAL</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15.1</w:t>
        <w:tab/>
        <w:t>Subject to the Companies Act and the provisions of these Articles, and without prejudice to any relevant special rights attached to any class of shares, the Company may from time to time:</w:t>
      </w:r>
    </w:p>
    <w:p>
      <w:pPr>
        <w:spacing w:after="0" w:line="150" w:lineRule="exact"/>
        <w:rPr>
          <w:sz w:val="20"/>
          <w:szCs w:val="20"/>
          <w:color w:val="auto"/>
        </w:rPr>
      </w:pPr>
    </w:p>
    <w:p>
      <w:pPr>
        <w:ind w:left="1260" w:hanging="604"/>
        <w:spacing w:after="0"/>
        <w:tabs>
          <w:tab w:leader="none" w:pos="12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increase its share capital by allotting new shares;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consolidate and divide all or any of its share capital into shares of larger amount than its existing shares;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sub-divide its shares, or any of them, into shares of smaller amount than its existing shares;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redeem and/ or cancel any of its shares;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redenominate its share capital or any class of share capital;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determine that, as between the shares resulting from such a sub-division, any of them may have any preference or advantage as compared with the others,</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and where any difficulty arises in regard to any consolidation or division, the Directors may settle such difficulty as they see fit.</w:t>
      </w:r>
    </w:p>
    <w:p>
      <w:pPr>
        <w:spacing w:after="0" w:line="18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15.2</w:t>
        <w:tab/>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9" w:right="239" w:bottom="1440" w:gutter="0" w:footer="0" w:header="0"/>
        </w:sectPr>
      </w:pPr>
    </w:p>
    <w:bookmarkStart w:id="24" w:name="page25"/>
    <w:bookmarkEnd w:id="24"/>
    <w:p>
      <w:pPr>
        <w:jc w:val="both"/>
        <w:ind w:left="620"/>
        <w:spacing w:after="0" w:line="271" w:lineRule="auto"/>
        <w:rPr>
          <w:sz w:val="20"/>
          <w:szCs w:val="20"/>
          <w:color w:val="auto"/>
        </w:rPr>
      </w:pPr>
      <w:r>
        <w:rPr>
          <w:rFonts w:ascii="Arial" w:cs="Arial" w:eastAsia="Arial" w:hAnsi="Arial"/>
          <w:sz w:val="20"/>
          <w:szCs w:val="20"/>
          <w:color w:val="auto"/>
        </w:rPr>
        <w:t>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pacing w:after="0" w:line="154"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15.3</w:t>
        <w:tab/>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165" w:lineRule="exact"/>
        <w:rPr>
          <w:sz w:val="20"/>
          <w:szCs w:val="20"/>
          <w:color w:val="auto"/>
        </w:rPr>
      </w:pPr>
    </w:p>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9"/>
          <w:szCs w:val="19"/>
          <w:color w:val="auto"/>
        </w:rPr>
        <w:t>The Company shall not consolidate, divide, sub-divide or redenominate any one or more Ordinary Shares without consolidating, dividing, sub-dividing or redenominating (as the case may be) all of the Ordinary Shares, on an equal per share basis.</w:t>
      </w:r>
    </w:p>
    <w:p>
      <w:pPr>
        <w:spacing w:after="0" w:line="120"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GENERAL MEETINGS</w:t>
      </w:r>
    </w:p>
    <w:p>
      <w:pPr>
        <w:spacing w:after="0" w:line="195" w:lineRule="exact"/>
        <w:rPr>
          <w:sz w:val="20"/>
          <w:szCs w:val="20"/>
          <w:color w:val="auto"/>
        </w:rPr>
      </w:pPr>
    </w:p>
    <w:p>
      <w:pPr>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16.1</w:t>
        <w:tab/>
        <w:t>The Board shall convene and the Company shall hold general meetings as annual general meetings in accordance with the Companies Act.</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16.2</w:t>
        <w:tab/>
        <w:t xml:space="preserve">All provisions of these Articles relating to general meetings of the Company shall, </w:t>
      </w:r>
      <w:r>
        <w:rPr>
          <w:rFonts w:ascii="Arial" w:cs="Arial" w:eastAsia="Arial" w:hAnsi="Arial"/>
          <w:sz w:val="20"/>
          <w:szCs w:val="20"/>
          <w:i w:val="1"/>
          <w:iCs w:val="1"/>
          <w:color w:val="auto"/>
        </w:rPr>
        <w:t>mutatis mutandis</w:t>
      </w:r>
      <w:r>
        <w:rPr>
          <w:rFonts w:ascii="Arial" w:cs="Arial" w:eastAsia="Arial" w:hAnsi="Arial"/>
          <w:sz w:val="20"/>
          <w:szCs w:val="20"/>
          <w:color w:val="auto"/>
        </w:rPr>
        <w:t>, apply to every separate general meeting of the holders of any class of shares in the capital of the Company, except that:</w:t>
      </w:r>
    </w:p>
    <w:p>
      <w:pPr>
        <w:spacing w:after="0" w:line="150" w:lineRule="exact"/>
        <w:rPr>
          <w:sz w:val="20"/>
          <w:szCs w:val="20"/>
          <w:color w:val="auto"/>
        </w:rPr>
      </w:pPr>
    </w:p>
    <w:p>
      <w:pPr>
        <w:jc w:val="both"/>
        <w:ind w:left="1280" w:hanging="624"/>
        <w:spacing w:after="0" w:line="25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 and</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each holder of shares of the class shall, on a poll, have one vote in respect of every share of the class held by him.</w:t>
      </w:r>
    </w:p>
    <w:p>
      <w:pPr>
        <w:spacing w:after="0" w:line="189" w:lineRule="exact"/>
        <w:rPr>
          <w:sz w:val="20"/>
          <w:szCs w:val="20"/>
          <w:color w:val="auto"/>
        </w:rPr>
      </w:pPr>
    </w:p>
    <w:p>
      <w:pPr>
        <w:ind w:left="620"/>
        <w:spacing w:after="0" w:line="287" w:lineRule="auto"/>
        <w:rPr>
          <w:sz w:val="20"/>
          <w:szCs w:val="20"/>
          <w:color w:val="auto"/>
        </w:rPr>
      </w:pPr>
      <w:r>
        <w:rPr>
          <w:rFonts w:ascii="Arial" w:cs="Arial" w:eastAsia="Arial" w:hAnsi="Arial"/>
          <w:sz w:val="19"/>
          <w:szCs w:val="19"/>
          <w:color w:val="auto"/>
        </w:rPr>
        <w:t>For the purposes of this Article 16.2, where a person is present by proxy or proxies, he is treated only as holding the shares in respect of which those proxies are authorised to exercise voting rights with respect to any matter proposed at the meeting.</w:t>
      </w:r>
    </w:p>
    <w:p>
      <w:pPr>
        <w:spacing w:after="0" w:line="126"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The Board shall determine whether a general meeting is to be held as a physical general meeting or an electronic general meeting. The Board may call general meetings whenever and at such times and places (including electronic platforms)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154"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9" w:right="239" w:bottom="1440" w:gutter="0" w:footer="0" w:header="0"/>
        </w:sectPr>
      </w:pPr>
    </w:p>
    <w:bookmarkStart w:id="25" w:name="page26"/>
    <w:bookmarkEnd w:id="25"/>
    <w:p>
      <w:pPr>
        <w:ind w:left="620" w:hanging="612"/>
        <w:spacing w:after="0"/>
        <w:tabs>
          <w:tab w:leader="none" w:pos="6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NOTICE OF GENERAL MEETINGS</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17.1</w:t>
        <w:tab/>
        <w:t>At least 21 clear days’ notice must be given to call an annual general meeting. Subject to the provisions of the Companies Act, at least 14 clear days’ notice must be given to call all other general meetings. A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16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17.2</w:t>
        <w:tab/>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Subject to the provisions of the Companies Act, the notice shall specify:</w:t>
      </w:r>
    </w:p>
    <w:p>
      <w:pPr>
        <w:spacing w:after="0" w:line="189" w:lineRule="exact"/>
        <w:rPr>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whether the meeting shall be a physical or electronic general meeting;</w:t>
      </w:r>
    </w:p>
    <w:p>
      <w:pPr>
        <w:spacing w:after="0" w:line="188"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for physical general meetings, the place (including without limitation any satellite meeting place arranged for the purposes of Article 18.9, which shall be identified as such in the notice), the date and the time of meeting;</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for electronic general meetings, the time, date and electronic platform for the meeting, which electronic platform may vary from time to time and from meeting to meeting as the Board, in its sole discretion, sees fit;</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general nature of the business to be transacted;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the case of an annual general meeting, shall specify the meeting as such.</w:t>
      </w:r>
    </w:p>
    <w:p>
      <w:pPr>
        <w:spacing w:after="0" w:line="189"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In the case of a meeting to pass a special resolution, the notice shall specify the intention to propose the resolution as a special resolution.</w:t>
      </w:r>
    </w:p>
    <w:p>
      <w:pPr>
        <w:spacing w:after="0" w:line="150"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17.4</w:t>
        <w:tab/>
        <w:t>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16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17.5</w:t>
        <w:tab/>
        <w:t>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15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17.6</w:t>
        <w:tab/>
        <w:t>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0" w:right="239" w:bottom="1440" w:gutter="0" w:footer="0" w:header="0"/>
        </w:sectPr>
      </w:pPr>
    </w:p>
    <w:bookmarkStart w:id="26" w:name="page27"/>
    <w:bookmarkEnd w:id="26"/>
    <w:p>
      <w:pPr>
        <w:ind w:left="620" w:hanging="612"/>
        <w:spacing w:after="0"/>
        <w:tabs>
          <w:tab w:leader="none" w:pos="6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AT GENERAL MEETINGS</w:t>
      </w:r>
    </w:p>
    <w:p>
      <w:pPr>
        <w:spacing w:after="0" w:line="19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9"/>
          <w:szCs w:val="19"/>
          <w:color w:val="auto"/>
        </w:rPr>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at the relevant meeting.</w:t>
      </w:r>
    </w:p>
    <w:p>
      <w:pPr>
        <w:spacing w:after="0" w:line="154"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18.2</w:t>
        <w:tab/>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either:</w:t>
      </w:r>
    </w:p>
    <w:p>
      <w:pPr>
        <w:spacing w:after="0" w:line="165" w:lineRule="exact"/>
        <w:rPr>
          <w:sz w:val="20"/>
          <w:szCs w:val="20"/>
          <w:color w:val="auto"/>
        </w:rPr>
      </w:pPr>
    </w:p>
    <w:p>
      <w:pPr>
        <w:ind w:left="620" w:firstLine="9"/>
        <w:spacing w:after="0" w:line="260" w:lineRule="auto"/>
        <w:tabs>
          <w:tab w:leader="none" w:pos="9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on a day that is not less than 14 days but not more than 28 days after it was adjourned and at a time and/or place specified for the purpose in the notice calling the meeting; or</w:t>
      </w:r>
    </w:p>
    <w:p>
      <w:pPr>
        <w:spacing w:after="0" w:line="149" w:lineRule="exact"/>
        <w:rPr>
          <w:rFonts w:ascii="Arial" w:cs="Arial" w:eastAsia="Arial" w:hAnsi="Arial"/>
          <w:sz w:val="20"/>
          <w:szCs w:val="20"/>
          <w:color w:val="auto"/>
        </w:rPr>
      </w:pPr>
    </w:p>
    <w:p>
      <w:pPr>
        <w:ind w:left="620" w:right="20" w:firstLine="9"/>
        <w:spacing w:after="0" w:line="287" w:lineRule="auto"/>
        <w:tabs>
          <w:tab w:leader="none" w:pos="923" w:val="left"/>
        </w:tabs>
        <w:numPr>
          <w:ilvl w:val="0"/>
          <w:numId w:val="43"/>
        </w:numPr>
        <w:rPr>
          <w:rFonts w:ascii="Arial" w:cs="Arial" w:eastAsia="Arial" w:hAnsi="Arial"/>
          <w:sz w:val="19"/>
          <w:szCs w:val="19"/>
          <w:color w:val="auto"/>
        </w:rPr>
      </w:pPr>
      <w:r>
        <w:rPr>
          <w:rFonts w:ascii="Arial" w:cs="Arial" w:eastAsia="Arial" w:hAnsi="Arial"/>
          <w:sz w:val="19"/>
          <w:szCs w:val="19"/>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126"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In the case of a general meeting to take place in accordance with Article 18.2(b), the Company must give not less than seven clear days’ notice of any adjourned meeting and the notice must state the quorum requirement.</w:t>
      </w:r>
    </w:p>
    <w:p>
      <w:pPr>
        <w:spacing w:after="0" w:line="15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18.3</w:t>
        <w:tab/>
        <w:t>At an adjourned meeting the quorum is one qualifying person present and entitled to vote. If at the adjourned meeting a quorum is not present within 15 minutes after the time appointed for holding the meeting, the meeting shall be dissolved.</w:t>
      </w:r>
    </w:p>
    <w:p>
      <w:pPr>
        <w:spacing w:after="0" w:line="150"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18.4</w:t>
        <w:tab/>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15 minutes after the time appointed for holding the meeting or is not willing to act as chairman, the Directors present shall elect one of their number present and willing to act to be chairman of the meeting, and if there is only one Director present, he shall be chairman of the meeting.</w:t>
      </w:r>
    </w:p>
    <w:p>
      <w:pPr>
        <w:spacing w:after="0" w:line="168"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18"/>
          <w:szCs w:val="18"/>
          <w:color w:val="auto"/>
        </w:rPr>
        <w:t>If no Director is willing to act as chairman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spacing w:after="0" w:line="125"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9"/>
          <w:szCs w:val="19"/>
          <w:color w:val="auto"/>
        </w:rPr>
        <w:t>The Board and at any physical general meeting, the chairman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0" w:right="239" w:bottom="1440" w:gutter="0" w:footer="0" w:header="0"/>
        </w:sectPr>
      </w:pPr>
    </w:p>
    <w:bookmarkStart w:id="27" w:name="page28"/>
    <w:bookmarkEnd w:id="27"/>
    <w:p>
      <w:pPr>
        <w:jc w:val="both"/>
        <w:ind w:left="620" w:hanging="620"/>
        <w:spacing w:after="0" w:line="282" w:lineRule="auto"/>
        <w:tabs>
          <w:tab w:leader="none" w:pos="60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8"/>
          <w:szCs w:val="18"/>
          <w:color w:val="auto"/>
        </w:rPr>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135" w:lineRule="exact"/>
        <w:rPr>
          <w:sz w:val="20"/>
          <w:szCs w:val="20"/>
          <w:color w:val="auto"/>
        </w:rPr>
      </w:pPr>
    </w:p>
    <w:p>
      <w:pPr>
        <w:ind w:left="620"/>
        <w:spacing w:after="0" w:line="309" w:lineRule="auto"/>
        <w:rPr>
          <w:sz w:val="20"/>
          <w:szCs w:val="20"/>
          <w:color w:val="auto"/>
        </w:rPr>
      </w:pPr>
      <w:r>
        <w:rPr>
          <w:rFonts w:ascii="Arial" w:cs="Arial" w:eastAsia="Arial" w:hAnsi="Arial"/>
          <w:sz w:val="16"/>
          <w:szCs w:val="16"/>
          <w:color w:val="auto"/>
        </w:rPr>
        <w:t>The Board and, at any electronic general meeting, the chairman of the meeting may make any arrangement and impose any requirement or restrictions as is: (a) necessary to ensure the identification of those taking part and the security of the electronic communication, and</w:t>
      </w:r>
    </w:p>
    <w:p>
      <w:pPr>
        <w:spacing w:after="0" w:line="1" w:lineRule="exact"/>
        <w:rPr>
          <w:sz w:val="20"/>
          <w:szCs w:val="20"/>
          <w:color w:val="auto"/>
        </w:rPr>
      </w:pPr>
    </w:p>
    <w:p>
      <w:pPr>
        <w:ind w:left="620" w:firstLine="9"/>
        <w:spacing w:after="0" w:line="244" w:lineRule="auto"/>
        <w:tabs>
          <w:tab w:leader="none" w:pos="922"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proportionate to those objectives. In this respect, the Company is able to authorise any voting application, system or facility for electronic general meetings as it sees fit.</w:t>
      </w:r>
    </w:p>
    <w:p>
      <w:pPr>
        <w:spacing w:after="0" w:line="16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18.8</w:t>
        <w:tab/>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165" w:lineRule="exact"/>
        <w:rPr>
          <w:sz w:val="20"/>
          <w:szCs w:val="20"/>
          <w:color w:val="auto"/>
        </w:rPr>
      </w:pPr>
    </w:p>
    <w:p>
      <w:pPr>
        <w:jc w:val="both"/>
        <w:ind w:left="620" w:hanging="620"/>
        <w:spacing w:after="0" w:line="308" w:lineRule="auto"/>
        <w:tabs>
          <w:tab w:leader="none" w:pos="60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6"/>
          <w:szCs w:val="16"/>
          <w:color w:val="auto"/>
        </w:rPr>
        <w:t>Without prejudice to Article 18.10, in the case of any general meeting, the Board may, notwithstanding the specification in the notice convening the general meeting of the place at which the chairman of the meeting shall preside (the “</w:t>
      </w:r>
      <w:r>
        <w:rPr>
          <w:rFonts w:ascii="Arial" w:cs="Arial" w:eastAsia="Arial" w:hAnsi="Arial"/>
          <w:sz w:val="16"/>
          <w:szCs w:val="16"/>
          <w:b w:val="1"/>
          <w:bCs w:val="1"/>
          <w:color w:val="auto"/>
        </w:rPr>
        <w:t>principal place</w:t>
      </w:r>
      <w:r>
        <w:rPr>
          <w:rFonts w:ascii="Arial" w:cs="Arial" w:eastAsia="Arial" w:hAnsi="Arial"/>
          <w:sz w:val="16"/>
          <w:szCs w:val="16"/>
          <w:color w:val="auto"/>
        </w:rPr>
        <w:t>”), make arrangements for simultaneous attendance and participation at satellite meeting places, or by way of any 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353" w:lineRule="exact"/>
        <w:rPr>
          <w:sz w:val="20"/>
          <w:szCs w:val="20"/>
          <w:color w:val="auto"/>
        </w:rPr>
      </w:pPr>
    </w:p>
    <w:p>
      <w:pPr>
        <w:ind w:left="1260" w:hanging="604"/>
        <w:spacing w:after="0"/>
        <w:tabs>
          <w:tab w:leader="none" w:pos="12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participate in the business for which the meeting has been convened;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see and hear all persons who speak (whether through the use of microphones, loud speakers, audio-visual communication equipment or otherwise) in the principal place and any other such place; and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be heard and seen by all other persons so present in the same way.</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chairman of the general meeting shall be present at, and the meeting shall be deemed to take place at, the principal place.</w:t>
      </w:r>
    </w:p>
    <w:p>
      <w:pPr>
        <w:spacing w:after="0" w:line="200"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18.10</w:t>
      </w:r>
      <w:r>
        <w:rPr>
          <w:sz w:val="20"/>
          <w:szCs w:val="20"/>
          <w:color w:val="auto"/>
        </w:rPr>
        <w:tab/>
      </w:r>
      <w:r>
        <w:rPr>
          <w:rFonts w:ascii="Arial" w:cs="Arial" w:eastAsia="Arial" w:hAnsi="Arial"/>
          <w:sz w:val="18"/>
          <w:szCs w:val="18"/>
          <w:color w:val="auto"/>
        </w:rPr>
        <w:t>Without prejudice to Article 18.9, the Board may resolve to enable persons entitled to attend a general meeting hosted on an electronic platform (such meeting being an “</w:t>
      </w:r>
      <w:r>
        <w:rPr>
          <w:rFonts w:ascii="Arial" w:cs="Arial" w:eastAsia="Arial" w:hAnsi="Arial"/>
          <w:sz w:val="18"/>
          <w:szCs w:val="18"/>
          <w:b w:val="1"/>
          <w:bCs w:val="1"/>
          <w:color w:val="auto"/>
        </w:rPr>
        <w:t>electronic general meeting</w:t>
      </w:r>
      <w:r>
        <w:rPr>
          <w:rFonts w:ascii="Arial" w:cs="Arial" w:eastAsia="Arial" w:hAnsi="Arial"/>
          <w:sz w:val="18"/>
          <w:szCs w:val="18"/>
          <w:color w:val="auto"/>
        </w:rPr>
        <w:t>”) to do so by simultaneous attendance by electronic means with no member necessarily in physical attendance at the electronic general meeting. The members or their proxies present shall be counted in the quorum for, and entitled to vote at, the general meeting in question, and that meeting shall be duly constituted and its proceedings valid if the chairman of the general meeting is satisfied that adequate facilities are available throughout the electronic general meeting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6" w:right="239" w:bottom="1440" w:gutter="0" w:footer="0" w:header="0"/>
        </w:sectPr>
      </w:pPr>
    </w:p>
    <w:bookmarkStart w:id="28" w:name="page29"/>
    <w:bookmarkEnd w:id="28"/>
    <w:p>
      <w:pPr>
        <w:ind w:left="620"/>
        <w:spacing w:after="0" w:line="289" w:lineRule="auto"/>
        <w:rPr>
          <w:sz w:val="20"/>
          <w:szCs w:val="20"/>
          <w:color w:val="auto"/>
        </w:rPr>
      </w:pPr>
      <w:r>
        <w:rPr>
          <w:rFonts w:ascii="Arial" w:cs="Arial" w:eastAsia="Arial" w:hAnsi="Arial"/>
          <w:sz w:val="20"/>
          <w:szCs w:val="20"/>
          <w:color w:val="auto"/>
        </w:rPr>
        <w:t>to ensure that members attending the electronic general meeting who are not present together at the same place may, by electronic means, attend and speak and vote at it.</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Nothing in these Articles prevents a general meeting being held both physically and electronically.</w:t>
      </w:r>
    </w:p>
    <w:p>
      <w:pPr>
        <w:spacing w:after="0" w:line="18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18.11</w:t>
        <w:tab/>
        <w:t>If it appears to the chairman of the meeting that the facilities at the principal place or any satellite meeting place, or the electronic platform, facilities or security at the electronic general meeting, have become inadequate for the purposes set out in Articles 18.9 or 18.10, then the chairman of the meeting may, without the consent of the meeting, interrupt or adjourn the general meeting. All business conducted at the general meeting up to the point of the adjournment shall be valid. The provisions of Article 18.17 shall apply to that adjournment.</w:t>
      </w:r>
    </w:p>
    <w:p>
      <w:pPr>
        <w:spacing w:after="0" w:line="168"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18.12</w:t>
      </w:r>
      <w:r>
        <w:rPr>
          <w:sz w:val="20"/>
          <w:szCs w:val="20"/>
          <w:color w:val="auto"/>
        </w:rPr>
        <w:tab/>
      </w:r>
      <w:r>
        <w:rPr>
          <w:rFonts w:ascii="Arial" w:cs="Arial" w:eastAsia="Arial" w:hAnsi="Arial"/>
          <w:sz w:val="19"/>
          <w:szCs w:val="19"/>
          <w:color w:val="auto"/>
        </w:rPr>
        <w:t>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152"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18.13</w:t>
      </w:r>
      <w:r>
        <w:rPr>
          <w:sz w:val="20"/>
          <w:szCs w:val="20"/>
          <w:color w:val="auto"/>
        </w:rPr>
        <w:tab/>
      </w:r>
      <w:r>
        <w:rPr>
          <w:rFonts w:ascii="Arial" w:cs="Arial" w:eastAsia="Arial" w:hAnsi="Arial"/>
          <w:sz w:val="19"/>
          <w:szCs w:val="19"/>
          <w:color w:val="auto"/>
        </w:rPr>
        <w:t>The Board may from time to time make any arrangements for controlling the level of attendance at any venue for 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he shall be entitled to attend in person or by proxy at any other venue for which arrangements have been made pursuant to Article 18.12. The entitlement of any member to be present at such venue in person or by proxy shall be subject to any arrangement then in force and stated by the notice of meeting or adjourned meeting to apply to the meeting.</w:t>
      </w:r>
    </w:p>
    <w:p>
      <w:pPr>
        <w:spacing w:after="0" w:line="152" w:lineRule="exact"/>
        <w:rPr>
          <w:sz w:val="20"/>
          <w:szCs w:val="20"/>
          <w:color w:val="auto"/>
        </w:rPr>
      </w:pPr>
    </w:p>
    <w:p>
      <w:pPr>
        <w:jc w:val="both"/>
        <w:ind w:left="620" w:hanging="620"/>
        <w:spacing w:after="0" w:line="273" w:lineRule="auto"/>
        <w:tabs>
          <w:tab w:leader="none" w:pos="600" w:val="left"/>
        </w:tabs>
        <w:rPr>
          <w:sz w:val="20"/>
          <w:szCs w:val="20"/>
          <w:color w:val="auto"/>
        </w:rPr>
      </w:pPr>
      <w:r>
        <w:rPr>
          <w:rFonts w:ascii="Arial" w:cs="Arial" w:eastAsia="Arial" w:hAnsi="Arial"/>
          <w:sz w:val="20"/>
          <w:szCs w:val="20"/>
          <w:color w:val="auto"/>
        </w:rPr>
        <w:t>18.14</w:t>
      </w:r>
      <w:r>
        <w:rPr>
          <w:sz w:val="20"/>
          <w:szCs w:val="20"/>
          <w:color w:val="auto"/>
        </w:rPr>
        <w:tab/>
      </w:r>
      <w:r>
        <w:rPr>
          <w:rFonts w:ascii="Arial" w:cs="Arial" w:eastAsia="Arial" w:hAnsi="Arial"/>
          <w:sz w:val="18"/>
          <w:szCs w:val="18"/>
          <w:color w:val="auto"/>
        </w:rPr>
        <w:t>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(i) the physical general meeting at the declared place (or any of the declared places, in the case of a meeting to which Article 18.9 applies) or (ii) the electronic general meeting on the electronic platform specified in the notice, and/or time, it may change the place (or any of the declared places, in the case of a meeting to which Article 18.9 applies) or electronic platform and/or postpone the time at which the meeting is to be held. If such a decision is made, the Board may then change the place (or any of the declared places, in the case of a meeting to which Article 18.9 applies) or electronic platform and/or postpone the time again if it decides that it is reasonable to do so. In either case:</w:t>
      </w:r>
    </w:p>
    <w:p>
      <w:pPr>
        <w:spacing w:after="0" w:line="142" w:lineRule="exact"/>
        <w:rPr>
          <w:sz w:val="20"/>
          <w:szCs w:val="20"/>
          <w:color w:val="auto"/>
        </w:rPr>
      </w:pPr>
    </w:p>
    <w:p>
      <w:pPr>
        <w:jc w:val="both"/>
        <w:ind w:left="1280" w:hanging="624"/>
        <w:spacing w:after="0" w:line="246" w:lineRule="auto"/>
        <w:tabs>
          <w:tab w:leader="none" w:pos="1262"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 new notice of the meeting need be sent, but the Board shall, if practicable, advertise the date, time and place of, or electronic platform for, the meeting by public announcement and in two newspapers with national circulation in the United Kingdom and shall make arrangements for notices of the change of place or electronic platform and/or postponement to appear at the original place and/or at the original time;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79" w:right="239" w:bottom="1440" w:gutter="0" w:footer="0" w:header="0"/>
        </w:sectPr>
      </w:pPr>
    </w:p>
    <w:bookmarkStart w:id="29" w:name="page30"/>
    <w:bookmarkEnd w:id="29"/>
    <w:p>
      <w:pPr>
        <w:jc w:val="both"/>
        <w:ind w:left="1280" w:hanging="624"/>
        <w:spacing w:after="0" w:line="246" w:lineRule="auto"/>
        <w:tabs>
          <w:tab w:leader="none" w:pos="12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165" w:lineRule="exact"/>
        <w:rPr>
          <w:sz w:val="20"/>
          <w:szCs w:val="20"/>
          <w:color w:val="auto"/>
        </w:rPr>
      </w:pPr>
    </w:p>
    <w:p>
      <w:pPr>
        <w:jc w:val="both"/>
        <w:ind w:left="620" w:right="20" w:hanging="620"/>
        <w:spacing w:after="0" w:line="342" w:lineRule="auto"/>
        <w:tabs>
          <w:tab w:leader="none" w:pos="600" w:val="left"/>
        </w:tabs>
        <w:rPr>
          <w:sz w:val="20"/>
          <w:szCs w:val="20"/>
          <w:color w:val="auto"/>
        </w:rPr>
      </w:pPr>
      <w:r>
        <w:rPr>
          <w:rFonts w:ascii="Arial" w:cs="Arial" w:eastAsia="Arial" w:hAnsi="Arial"/>
          <w:sz w:val="20"/>
          <w:szCs w:val="20"/>
          <w:color w:val="auto"/>
        </w:rPr>
        <w:t>18.15</w:t>
      </w:r>
      <w:r>
        <w:rPr>
          <w:sz w:val="20"/>
          <w:szCs w:val="20"/>
          <w:color w:val="auto"/>
        </w:rPr>
        <w:tab/>
      </w:r>
      <w:r>
        <w:rPr>
          <w:rFonts w:ascii="Arial" w:cs="Arial" w:eastAsia="Arial" w:hAnsi="Arial"/>
          <w:sz w:val="16"/>
          <w:szCs w:val="16"/>
          <w:color w:val="auto"/>
        </w:rPr>
        <w:t>For the purposes of Articles 18.9, 18.11, 18.12, 18.13 and 18.14, in relation to physical general meetings,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91"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18.16</w:t>
        <w:tab/>
        <w:t>For the purposes of Articles 18.10, 18.11, 18.12, 18.13 and 18.14, in relation to electronic general meetings, the right of a member to participate in the business of any general meeting shall include, without limitation the right to speak, vote on a poll, be represented by a proxy and have access (including electronic access) to all documents which are required by the Companies Act or these Articles to be made available at the meeting.</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18.17</w:t>
      </w:r>
      <w:r>
        <w:rPr>
          <w:sz w:val="20"/>
          <w:szCs w:val="20"/>
          <w:color w:val="auto"/>
        </w:rPr>
        <w:tab/>
      </w:r>
      <w:r>
        <w:rPr>
          <w:rFonts w:ascii="Arial" w:cs="Arial" w:eastAsia="Arial" w:hAnsi="Arial"/>
          <w:sz w:val="18"/>
          <w:szCs w:val="18"/>
          <w:color w:val="auto"/>
        </w:rPr>
        <w:t>Without prejudice to any other power of adjournment he may have under these Articles or at common law:</w:t>
      </w:r>
    </w:p>
    <w:p>
      <w:pPr>
        <w:spacing w:after="0" w:line="189" w:lineRule="exact"/>
        <w:rPr>
          <w:sz w:val="20"/>
          <w:szCs w:val="20"/>
          <w:color w:val="auto"/>
        </w:rPr>
      </w:pPr>
    </w:p>
    <w:p>
      <w:pPr>
        <w:ind w:left="1280" w:hanging="624"/>
        <w:spacing w:after="0" w:line="287" w:lineRule="auto"/>
        <w:tabs>
          <w:tab w:leader="none" w:pos="126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chairman of the meeting may, with the consent of a meeting at which a quorum is present (and shall if so directed by the meeting), adjourn the meeting from time to time and from place to place or for an indefinite period; and</w:t>
      </w:r>
    </w:p>
    <w:p>
      <w:pPr>
        <w:spacing w:after="0" w:line="125" w:lineRule="exact"/>
        <w:rPr>
          <w:rFonts w:ascii="Arial" w:cs="Arial" w:eastAsia="Arial" w:hAnsi="Arial"/>
          <w:sz w:val="19"/>
          <w:szCs w:val="19"/>
          <w:color w:val="auto"/>
        </w:rPr>
      </w:pPr>
    </w:p>
    <w:p>
      <w:pPr>
        <w:ind w:left="1280" w:hanging="624"/>
        <w:spacing w:after="0" w:line="316" w:lineRule="auto"/>
        <w:tabs>
          <w:tab w:leader="none" w:pos="12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103" w:lineRule="exact"/>
        <w:rPr>
          <w:rFonts w:ascii="Arial" w:cs="Arial" w:eastAsia="Arial" w:hAnsi="Arial"/>
          <w:sz w:val="18"/>
          <w:szCs w:val="18"/>
          <w:color w:val="auto"/>
        </w:rPr>
      </w:pPr>
    </w:p>
    <w:p>
      <w:pPr>
        <w:ind w:left="1920" w:hanging="642"/>
        <w:spacing w:after="0"/>
        <w:tabs>
          <w:tab w:leader="none" w:pos="19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there is not enough room for the number of members and proxies who wish to attend the meeting;</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behaviour of anyone present prevents, or is likely to prevent, the orderly conduct of the business of the meeting;</w:t>
      </w:r>
    </w:p>
    <w:p>
      <w:pPr>
        <w:spacing w:after="0" w:line="211" w:lineRule="exact"/>
        <w:rPr>
          <w:rFonts w:ascii="Arial" w:cs="Arial" w:eastAsia="Arial" w:hAnsi="Arial"/>
          <w:sz w:val="18"/>
          <w:szCs w:val="18"/>
          <w:color w:val="auto"/>
        </w:rPr>
      </w:pPr>
    </w:p>
    <w:p>
      <w:pPr>
        <w:ind w:left="1920" w:hanging="642"/>
        <w:spacing w:after="0"/>
        <w:tabs>
          <w:tab w:leader="none" w:pos="19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 adjournment is necessary to protect the safety of any person attending the meeting; or</w:t>
      </w:r>
    </w:p>
    <w:p>
      <w:pPr>
        <w:spacing w:after="0" w:line="188"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 adjournment is necessary to give all persons entitled to do so a reasonable opportunity of speaking and voting at the meeting; or</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 adjournment is otherwise necessary in order for the business of the meeting to be properly carried out.</w:t>
      </w:r>
    </w:p>
    <w:p>
      <w:pPr>
        <w:spacing w:after="0" w:line="189" w:lineRule="exact"/>
        <w:rPr>
          <w:sz w:val="20"/>
          <w:szCs w:val="20"/>
          <w:color w:val="auto"/>
        </w:rPr>
      </w:pPr>
    </w:p>
    <w:p>
      <w:pPr>
        <w:jc w:val="both"/>
        <w:ind w:left="620" w:hanging="620"/>
        <w:spacing w:after="0" w:line="256" w:lineRule="auto"/>
        <w:tabs>
          <w:tab w:leader="none" w:pos="600" w:val="left"/>
        </w:tabs>
        <w:rPr>
          <w:sz w:val="20"/>
          <w:szCs w:val="20"/>
          <w:color w:val="auto"/>
        </w:rPr>
      </w:pPr>
      <w:r>
        <w:rPr>
          <w:rFonts w:ascii="Arial" w:cs="Arial" w:eastAsia="Arial" w:hAnsi="Arial"/>
          <w:sz w:val="20"/>
          <w:szCs w:val="20"/>
          <w:color w:val="auto"/>
        </w:rPr>
        <w:t>18.18</w:t>
      </w:r>
      <w:r>
        <w:rPr>
          <w:sz w:val="20"/>
          <w:szCs w:val="20"/>
          <w:color w:val="auto"/>
        </w:rPr>
        <w:tab/>
      </w:r>
      <w:r>
        <w:rPr>
          <w:rFonts w:ascii="Arial" w:cs="Arial" w:eastAsia="Arial" w:hAnsi="Arial"/>
          <w:sz w:val="19"/>
          <w:szCs w:val="19"/>
          <w:color w:val="auto"/>
        </w:rPr>
        <w:t>Save in accordance with Article 18.2 an adjournment may, subject to the provisions of the Companies Act, be for such 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chairman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6" w:right="239" w:bottom="1440" w:gutter="0" w:footer="0" w:header="0"/>
        </w:sectPr>
      </w:pPr>
    </w:p>
    <w:bookmarkStart w:id="30" w:name="page31"/>
    <w:bookmarkEnd w:id="30"/>
    <w:p>
      <w:pPr>
        <w:jc w:val="both"/>
        <w:ind w:left="620"/>
        <w:spacing w:after="0" w:line="299" w:lineRule="auto"/>
        <w:rPr>
          <w:sz w:val="20"/>
          <w:szCs w:val="20"/>
          <w:color w:val="auto"/>
        </w:rPr>
      </w:pPr>
      <w:r>
        <w:rPr>
          <w:rFonts w:ascii="Arial" w:cs="Arial" w:eastAsia="Arial" w:hAnsi="Arial"/>
          <w:sz w:val="19"/>
          <w:szCs w:val="19"/>
          <w:color w:val="auto"/>
        </w:rPr>
        <w:t>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 A resolution put to the vote of a general meeting must be decided on a poll.</w:t>
      </w:r>
    </w:p>
    <w:p>
      <w:pPr>
        <w:spacing w:after="0" w:line="12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18.19</w:t>
        <w:tab/>
        <w:t>Subject to Article 18.20, a poll shall be taken as the chairman directs and he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159" w:lineRule="exact"/>
        <w:rPr>
          <w:sz w:val="20"/>
          <w:szCs w:val="20"/>
          <w:color w:val="auto"/>
        </w:rPr>
      </w:pPr>
    </w:p>
    <w:p>
      <w:pPr>
        <w:jc w:val="both"/>
        <w:ind w:left="620" w:right="20" w:hanging="620"/>
        <w:spacing w:after="0" w:line="316" w:lineRule="auto"/>
        <w:tabs>
          <w:tab w:leader="none" w:pos="600" w:val="left"/>
        </w:tabs>
        <w:rPr>
          <w:sz w:val="20"/>
          <w:szCs w:val="20"/>
          <w:color w:val="auto"/>
        </w:rPr>
      </w:pPr>
      <w:r>
        <w:rPr>
          <w:rFonts w:ascii="Arial" w:cs="Arial" w:eastAsia="Arial" w:hAnsi="Arial"/>
          <w:sz w:val="20"/>
          <w:szCs w:val="20"/>
          <w:color w:val="auto"/>
        </w:rPr>
        <w:t>18.20</w:t>
      </w:r>
      <w:r>
        <w:rPr>
          <w:sz w:val="20"/>
          <w:szCs w:val="20"/>
          <w:color w:val="auto"/>
        </w:rPr>
        <w:tab/>
      </w:r>
      <w:r>
        <w:rPr>
          <w:rFonts w:ascii="Arial" w:cs="Arial" w:eastAsia="Arial" w:hAnsi="Arial"/>
          <w:sz w:val="18"/>
          <w:szCs w:val="18"/>
          <w:color w:val="auto"/>
        </w:rPr>
        <w:t>A poll on the election of a chairman or on a question of adjournment shall be taken immediately. A poll on any other question shall be taken at either the meeting or such time and place as the chairman directs not being more than 30 days after the meeting.</w:t>
      </w:r>
    </w:p>
    <w:p>
      <w:pPr>
        <w:spacing w:after="0" w:line="97"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RESOLUTIONS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89" w:lineRule="exact"/>
        <w:rPr>
          <w:sz w:val="20"/>
          <w:szCs w:val="20"/>
          <w:color w:val="auto"/>
        </w:rPr>
      </w:pPr>
    </w:p>
    <w:p>
      <w:pPr>
        <w:ind w:left="1260" w:hanging="604"/>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amendment does not go beyond what is necessary to correct a clear error in the resolution.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color w:val="auto"/>
        </w:rPr>
        <w:t>An ordinary resolution to be proposed at a general meeting may be amended by ordinary resolution if:</w:t>
      </w:r>
    </w:p>
    <w:p>
      <w:pPr>
        <w:spacing w:after="0" w:line="189" w:lineRule="exact"/>
        <w:rPr>
          <w:sz w:val="20"/>
          <w:szCs w:val="20"/>
          <w:color w:val="auto"/>
        </w:rPr>
      </w:pPr>
    </w:p>
    <w:p>
      <w:pPr>
        <w:jc w:val="both"/>
        <w:ind w:left="1280" w:hanging="624"/>
        <w:spacing w:after="0" w:line="243" w:lineRule="auto"/>
        <w:tabs>
          <w:tab w:leader="none" w:pos="1262" w:val="left"/>
        </w:tabs>
        <w:numPr>
          <w:ilvl w:val="0"/>
          <w:numId w:val="51"/>
        </w:numPr>
        <w:rPr>
          <w:rFonts w:ascii="Arial" w:cs="Arial" w:eastAsia="Arial" w:hAnsi="Arial"/>
          <w:sz w:val="20"/>
          <w:szCs w:val="20"/>
          <w:color w:val="auto"/>
        </w:rPr>
      </w:pPr>
      <w:r>
        <w:rPr>
          <w:rFonts w:ascii="Arial" w:cs="Arial" w:eastAsia="Arial" w:hAnsi="Arial"/>
          <w:sz w:val="20"/>
          <w:szCs w:val="20"/>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166" w:lineRule="exact"/>
        <w:rPr>
          <w:rFonts w:ascii="Arial" w:cs="Arial" w:eastAsia="Arial" w:hAnsi="Arial"/>
          <w:sz w:val="20"/>
          <w:szCs w:val="20"/>
          <w:color w:val="auto"/>
        </w:rPr>
      </w:pPr>
    </w:p>
    <w:p>
      <w:pPr>
        <w:ind w:left="1260" w:hanging="604"/>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chairman of the meeting, in his absolute discretion, decides that the proposed amendment may be considered or voted on.</w:t>
      </w:r>
    </w:p>
    <w:p>
      <w:pPr>
        <w:spacing w:after="0" w:line="21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19.3</w:t>
        <w:tab/>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153"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PROPOSED MEMBER RESOLUTIONS</w:t>
      </w:r>
    </w:p>
    <w:p>
      <w:pPr>
        <w:spacing w:after="0" w:line="195" w:lineRule="exact"/>
        <w:rPr>
          <w:sz w:val="20"/>
          <w:szCs w:val="20"/>
          <w:color w:val="auto"/>
        </w:rPr>
      </w:pPr>
    </w:p>
    <w:p>
      <w:pPr>
        <w:jc w:val="both"/>
        <w:ind w:left="620" w:hanging="620"/>
        <w:spacing w:after="0" w:line="282" w:lineRule="auto"/>
        <w:tabs>
          <w:tab w:leader="none" w:pos="6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(and, to the extent that the request relates to the nomination of a director, the content requirements of Article 24.3(b) also apply):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79" w:right="239" w:bottom="1440" w:gutter="0" w:footer="0" w:header="0"/>
        </w:sectPr>
      </w:pPr>
    </w:p>
    <w:bookmarkStart w:id="31" w:name="page32"/>
    <w:bookmarkEnd w:id="31"/>
    <w:p>
      <w:pPr>
        <w:jc w:val="both"/>
        <w:ind w:left="1280" w:hanging="624"/>
        <w:spacing w:after="0" w:line="278" w:lineRule="auto"/>
        <w:tabs>
          <w:tab w:leader="none" w:pos="1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spacing w:after="0" w:line="138" w:lineRule="exact"/>
        <w:rPr>
          <w:rFonts w:ascii="Arial" w:cs="Arial" w:eastAsia="Arial" w:hAnsi="Arial"/>
          <w:sz w:val="18"/>
          <w:szCs w:val="18"/>
          <w:color w:val="auto"/>
        </w:rPr>
      </w:pPr>
    </w:p>
    <w:p>
      <w:pPr>
        <w:jc w:val="both"/>
        <w:ind w:left="1280" w:hanging="624"/>
        <w:spacing w:after="0" w:line="276" w:lineRule="auto"/>
        <w:tabs>
          <w:tab w:leader="none" w:pos="1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138" w:lineRule="exact"/>
        <w:rPr>
          <w:rFonts w:ascii="Arial" w:cs="Arial" w:eastAsia="Arial" w:hAnsi="Arial"/>
          <w:sz w:val="18"/>
          <w:szCs w:val="18"/>
          <w:color w:val="auto"/>
        </w:rPr>
      </w:pPr>
    </w:p>
    <w:p>
      <w:pPr>
        <w:ind w:left="1280" w:hanging="624"/>
        <w:spacing w:after="0" w:line="260" w:lineRule="auto"/>
        <w:tabs>
          <w:tab w:leader="none" w:pos="126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as to the member(s) giving the notice and the Member Associated Person, if any, on whose behalf the nomination or proposal is made:</w:t>
      </w:r>
    </w:p>
    <w:p>
      <w:pPr>
        <w:spacing w:after="0" w:line="149"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name and address of such member(s), as they appear on the Company’s books, and of such Member Associated Persons, if any;</w:t>
      </w:r>
    </w:p>
    <w:p>
      <w:pPr>
        <w:spacing w:after="0" w:line="149"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class and number of shares of the Company held by such member(s) which are owned beneficially by such member(s) and such Member Associated Persons, if any;</w:t>
      </w:r>
    </w:p>
    <w:p>
      <w:pPr>
        <w:spacing w:after="0" w:line="149" w:lineRule="exact"/>
        <w:rPr>
          <w:rFonts w:ascii="Arial" w:cs="Arial" w:eastAsia="Arial" w:hAnsi="Arial"/>
          <w:sz w:val="20"/>
          <w:szCs w:val="20"/>
          <w:color w:val="auto"/>
        </w:rPr>
      </w:pPr>
    </w:p>
    <w:p>
      <w:pPr>
        <w:jc w:val="both"/>
        <w:ind w:left="1920" w:hanging="642"/>
        <w:spacing w:after="0" w:line="246" w:lineRule="auto"/>
        <w:tabs>
          <w:tab w:leader="none" w:pos="19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164" w:lineRule="exact"/>
        <w:rPr>
          <w:rFonts w:ascii="Arial" w:cs="Arial" w:eastAsia="Arial" w:hAnsi="Arial"/>
          <w:sz w:val="20"/>
          <w:szCs w:val="20"/>
          <w:color w:val="auto"/>
        </w:rPr>
      </w:pPr>
    </w:p>
    <w:p>
      <w:pPr>
        <w:jc w:val="both"/>
        <w:ind w:left="1920" w:hanging="642"/>
        <w:spacing w:after="0" w:line="250" w:lineRule="auto"/>
        <w:tabs>
          <w:tab w:leader="none" w:pos="19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159" w:lineRule="exact"/>
        <w:rPr>
          <w:rFonts w:ascii="Arial" w:cs="Arial" w:eastAsia="Arial" w:hAnsi="Arial"/>
          <w:sz w:val="20"/>
          <w:szCs w:val="20"/>
          <w:color w:val="auto"/>
        </w:rPr>
      </w:pPr>
    </w:p>
    <w:p>
      <w:pPr>
        <w:jc w:val="both"/>
        <w:ind w:left="1920" w:hanging="642"/>
        <w:spacing w:after="0" w:line="250" w:lineRule="auto"/>
        <w:tabs>
          <w:tab w:leader="none" w:pos="19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color w:val="auto"/>
        </w:rPr>
        <w:t xml:space="preserve">For the purposes of Article 20, a </w:t>
      </w:r>
      <w:r>
        <w:rPr>
          <w:rFonts w:ascii="Arial" w:cs="Arial" w:eastAsia="Arial" w:hAnsi="Arial"/>
          <w:sz w:val="16"/>
          <w:szCs w:val="16"/>
          <w:b w:val="1"/>
          <w:bCs w:val="1"/>
          <w:color w:val="auto"/>
        </w:rPr>
        <w:t>Member Associated Person</w:t>
      </w:r>
      <w:r>
        <w:rPr>
          <w:rFonts w:ascii="Arial" w:cs="Arial" w:eastAsia="Arial" w:hAnsi="Arial"/>
          <w:sz w:val="16"/>
          <w:szCs w:val="16"/>
          <w:color w:val="auto"/>
        </w:rPr>
        <w:t xml:space="preserve"> of any member shall mean:</w:t>
      </w:r>
    </w:p>
    <w:p>
      <w:pPr>
        <w:spacing w:after="0" w:line="195" w:lineRule="exact"/>
        <w:rPr>
          <w:sz w:val="20"/>
          <w:szCs w:val="20"/>
          <w:color w:val="auto"/>
        </w:rPr>
      </w:pPr>
    </w:p>
    <w:p>
      <w:pPr>
        <w:ind w:left="2540" w:hanging="614"/>
        <w:spacing w:after="0"/>
        <w:tabs>
          <w:tab w:leader="none" w:pos="25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person controlling, directly or indirectly, or acting in concert with, such member;</w:t>
      </w:r>
    </w:p>
    <w:p>
      <w:pPr>
        <w:spacing w:after="0" w:line="188" w:lineRule="exact"/>
        <w:rPr>
          <w:rFonts w:ascii="Arial" w:cs="Arial" w:eastAsia="Arial" w:hAnsi="Arial"/>
          <w:sz w:val="20"/>
          <w:szCs w:val="20"/>
          <w:color w:val="auto"/>
        </w:rPr>
      </w:pPr>
    </w:p>
    <w:p>
      <w:pPr>
        <w:ind w:left="2560" w:hanging="634"/>
        <w:spacing w:after="0" w:line="260" w:lineRule="auto"/>
        <w:tabs>
          <w:tab w:leader="none" w:pos="254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beneficial owner of shares in the capital of the Company owned of record or beneficially by such member; and</w:t>
      </w:r>
    </w:p>
    <w:p>
      <w:pPr>
        <w:spacing w:after="0" w:line="149" w:lineRule="exact"/>
        <w:rPr>
          <w:rFonts w:ascii="Arial" w:cs="Arial" w:eastAsia="Arial" w:hAnsi="Arial"/>
          <w:sz w:val="20"/>
          <w:szCs w:val="20"/>
          <w:color w:val="auto"/>
        </w:rPr>
      </w:pPr>
    </w:p>
    <w:p>
      <w:pPr>
        <w:ind w:left="2540" w:hanging="614"/>
        <w:spacing w:after="0"/>
        <w:tabs>
          <w:tab w:leader="none" w:pos="25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person controlling, controlled by or under common control with such Member Associated Person.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sectPr>
      </w:pPr>
    </w:p>
    <w:bookmarkStart w:id="32" w:name="page33"/>
    <w:bookmarkEnd w:id="32"/>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color w:val="auto"/>
        </w:rPr>
        <w:t>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8"/>
          <w:szCs w:val="18"/>
          <w:b w:val="1"/>
          <w:bCs w:val="1"/>
          <w:color w:val="auto"/>
        </w:rPr>
        <w:t>member default shares</w:t>
      </w:r>
      <w:r>
        <w:rPr>
          <w:rFonts w:ascii="Arial" w:cs="Arial" w:eastAsia="Arial" w:hAnsi="Arial"/>
          <w:sz w:val="18"/>
          <w:szCs w:val="18"/>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138" w:lineRule="exact"/>
        <w:rPr>
          <w:sz w:val="20"/>
          <w:szCs w:val="20"/>
          <w:color w:val="auto"/>
        </w:rPr>
      </w:pPr>
    </w:p>
    <w:p>
      <w:pPr>
        <w:jc w:val="both"/>
        <w:ind w:left="620" w:hanging="620"/>
        <w:spacing w:after="0" w:line="255" w:lineRule="auto"/>
        <w:tabs>
          <w:tab w:leader="none" w:pos="60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color w:val="auto"/>
        </w:rPr>
        <w:t>Without prejudice to the rights of any member under the Companies Act, a member who makes a request to which Article 20.1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 calendar day prior to such annual general meeting and not later than the close of business on the later of (i) the ninetieth (90) calendar day prior to such annual general meeting and (ii) the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161" w:lineRule="exact"/>
        <w:rPr>
          <w:sz w:val="20"/>
          <w:szCs w:val="20"/>
          <w:color w:val="auto"/>
        </w:rPr>
      </w:pPr>
    </w:p>
    <w:p>
      <w:pPr>
        <w:jc w:val="both"/>
        <w:ind w:left="620"/>
        <w:spacing w:after="0" w:line="258" w:lineRule="auto"/>
        <w:rPr>
          <w:sz w:val="20"/>
          <w:szCs w:val="20"/>
          <w:color w:val="auto"/>
        </w:rPr>
      </w:pPr>
      <w:r>
        <w:rPr>
          <w:rFonts w:ascii="Arial" w:cs="Arial" w:eastAsia="Arial" w:hAnsi="Arial"/>
          <w:sz w:val="19"/>
          <w:szCs w:val="19"/>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 calendar day after the day on which such public announcement is first made by the Company.</w:t>
      </w:r>
    </w:p>
    <w:p>
      <w:pPr>
        <w:spacing w:after="0" w:line="152" w:lineRule="exact"/>
        <w:rPr>
          <w:sz w:val="20"/>
          <w:szCs w:val="20"/>
          <w:color w:val="auto"/>
        </w:rPr>
      </w:pPr>
    </w:p>
    <w:p>
      <w:pPr>
        <w:jc w:val="both"/>
        <w:ind w:left="620"/>
        <w:spacing w:after="0" w:line="278" w:lineRule="auto"/>
        <w:rPr>
          <w:sz w:val="20"/>
          <w:szCs w:val="20"/>
          <w:color w:val="auto"/>
        </w:rPr>
      </w:pPr>
      <w:r>
        <w:rPr>
          <w:rFonts w:ascii="Arial" w:cs="Arial" w:eastAsia="Arial" w:hAnsi="Arial"/>
          <w:sz w:val="18"/>
          <w:szCs w:val="18"/>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132" w:lineRule="exact"/>
        <w:rPr>
          <w:sz w:val="20"/>
          <w:szCs w:val="20"/>
          <w:color w:val="auto"/>
        </w:rPr>
      </w:pPr>
    </w:p>
    <w:p>
      <w:pPr>
        <w:ind w:left="620" w:hanging="612"/>
        <w:spacing w:after="0"/>
        <w:tabs>
          <w:tab w:leader="none" w:pos="6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VOTES OF MEMBERS</w:t>
      </w:r>
    </w:p>
    <w:p>
      <w:pPr>
        <w:spacing w:after="0" w:line="19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21.1</w:t>
        <w:tab/>
        <w:t>A resolution put to the vote of a general meeting must be taken on a poll. This Article 21.1 may only be removed, amended or varied by resolution of the members passed unanimously at a general meeting of the Company.</w:t>
      </w:r>
    </w:p>
    <w:p>
      <w:pPr>
        <w:spacing w:after="0" w:line="15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21.2</w:t>
        <w:tab/>
        <w:t>Subject to any relevant special rights or restrictions attached to any shares (including, for the avoidance of doubt, such rights and restrictions set out in Article 4.1 above), on a poll taken at a meeting, every qualifying member present and entitled to vote on the resolution has one vote in respect of each Ordinary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6" w:right="239" w:bottom="1440" w:gutter="0" w:footer="0" w:header="0"/>
        </w:sectPr>
      </w:pPr>
    </w:p>
    <w:bookmarkStart w:id="33" w:name="page34"/>
    <w:bookmarkEnd w:id="33"/>
    <w:p>
      <w:pPr>
        <w:jc w:val="both"/>
        <w:ind w:left="620" w:hanging="620"/>
        <w:spacing w:after="0" w:line="287" w:lineRule="auto"/>
        <w:tabs>
          <w:tab w:leader="none" w:pos="60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126" w:lineRule="exact"/>
        <w:rPr>
          <w:sz w:val="20"/>
          <w:szCs w:val="20"/>
          <w:color w:val="auto"/>
        </w:rPr>
      </w:pPr>
    </w:p>
    <w:p>
      <w:pPr>
        <w:jc w:val="both"/>
        <w:ind w:left="620" w:hanging="620"/>
        <w:spacing w:after="0" w:line="242" w:lineRule="auto"/>
        <w:tabs>
          <w:tab w:leader="none" w:pos="600" w:val="left"/>
        </w:tabs>
        <w:rPr>
          <w:sz w:val="20"/>
          <w:szCs w:val="20"/>
          <w:color w:val="auto"/>
        </w:rPr>
      </w:pPr>
      <w:r>
        <w:rPr>
          <w:rFonts w:ascii="Arial" w:cs="Arial" w:eastAsia="Arial" w:hAnsi="Arial"/>
          <w:sz w:val="20"/>
          <w:szCs w:val="20"/>
          <w:color w:val="auto"/>
        </w:rPr>
        <w:t>21.4</w:t>
        <w:tab/>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color w:val="auto"/>
        </w:rPr>
        <w:t>In the case of an equality of votes, the chairman of the meeting shall not be entitled to a casting vote.</w:t>
      </w:r>
    </w:p>
    <w:p>
      <w:pPr>
        <w:spacing w:after="0" w:line="18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21.6</w:t>
        <w:tab/>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15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21.7</w:t>
        <w:tab/>
        <w:t>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20"/>
          <w:szCs w:val="20"/>
          <w:b w:val="1"/>
          <w:bCs w:val="1"/>
          <w:color w:val="auto"/>
        </w:rPr>
        <w:t>section 793 notice</w:t>
      </w:r>
      <w:r>
        <w:rPr>
          <w:rFonts w:ascii="Arial" w:cs="Arial" w:eastAsia="Arial" w:hAnsi="Arial"/>
          <w:sz w:val="20"/>
          <w:szCs w:val="20"/>
          <w:color w:val="auto"/>
        </w:rPr>
        <w:t>”)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20"/>
          <w:szCs w:val="20"/>
          <w:b w:val="1"/>
          <w:bCs w:val="1"/>
          <w:color w:val="auto"/>
        </w:rPr>
        <w:t>direction notice</w:t>
      </w:r>
      <w:r>
        <w:rPr>
          <w:rFonts w:ascii="Arial" w:cs="Arial" w:eastAsia="Arial" w:hAnsi="Arial"/>
          <w:sz w:val="20"/>
          <w:szCs w:val="20"/>
          <w:color w:val="auto"/>
        </w:rPr>
        <w:t>”) to such member direct that:</w:t>
      </w:r>
    </w:p>
    <w:p>
      <w:pPr>
        <w:spacing w:after="0" w:line="162" w:lineRule="exact"/>
        <w:rPr>
          <w:sz w:val="20"/>
          <w:szCs w:val="20"/>
          <w:color w:val="auto"/>
        </w:rPr>
      </w:pPr>
    </w:p>
    <w:p>
      <w:pPr>
        <w:jc w:val="both"/>
        <w:ind w:left="1280" w:hanging="624"/>
        <w:spacing w:after="0" w:line="346" w:lineRule="auto"/>
        <w:tabs>
          <w:tab w:leader="none" w:pos="12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88" w:lineRule="exact"/>
        <w:rPr>
          <w:rFonts w:ascii="Arial" w:cs="Arial" w:eastAsia="Arial" w:hAnsi="Arial"/>
          <w:sz w:val="16"/>
          <w:szCs w:val="16"/>
          <w:color w:val="auto"/>
        </w:rPr>
      </w:pPr>
    </w:p>
    <w:p>
      <w:pPr>
        <w:ind w:left="1280" w:hanging="624"/>
        <w:spacing w:after="0" w:line="260" w:lineRule="auto"/>
        <w:tabs>
          <w:tab w:leader="none" w:pos="1262" w:val="left"/>
        </w:tabs>
        <w:numPr>
          <w:ilvl w:val="0"/>
          <w:numId w:val="56"/>
        </w:numPr>
        <w:rPr>
          <w:rFonts w:ascii="Arial" w:cs="Arial" w:eastAsia="Arial" w:hAnsi="Arial"/>
          <w:sz w:val="20"/>
          <w:szCs w:val="20"/>
          <w:color w:val="auto"/>
        </w:rPr>
      </w:pPr>
      <w:r>
        <w:rPr>
          <w:rFonts w:ascii="Arial" w:cs="Arial" w:eastAsia="Arial" w:hAnsi="Arial"/>
          <w:sz w:val="20"/>
          <w:szCs w:val="20"/>
          <w:color w:val="auto"/>
        </w:rPr>
        <w:t>where the default shares represent at least 0.25 per cent. in nominal value of the issued shares of their class (calculated exclusive of any shares held in treasury), in respect of the default shares:</w:t>
      </w:r>
    </w:p>
    <w:p>
      <w:pPr>
        <w:spacing w:after="0" w:line="149"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no payment shall be made by way of dividend and no share shall be allotted or distributed pursuant to Articles 39.1, 40.1, and 40.2; and</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no transfer of any default share shall be registered unless:</w:t>
      </w:r>
    </w:p>
    <w:p>
      <w:pPr>
        <w:spacing w:after="0" w:line="188" w:lineRule="exact"/>
        <w:rPr>
          <w:rFonts w:ascii="Arial" w:cs="Arial" w:eastAsia="Arial" w:hAnsi="Arial"/>
          <w:sz w:val="20"/>
          <w:szCs w:val="20"/>
          <w:color w:val="auto"/>
        </w:rPr>
      </w:pPr>
    </w:p>
    <w:p>
      <w:pPr>
        <w:jc w:val="both"/>
        <w:ind w:left="2560" w:hanging="634"/>
        <w:spacing w:after="0" w:line="250" w:lineRule="auto"/>
        <w:tabs>
          <w:tab w:leader="none" w:pos="2542" w:val="left"/>
        </w:tabs>
        <w:numPr>
          <w:ilvl w:val="2"/>
          <w:numId w:val="56"/>
        </w:numPr>
        <w:rPr>
          <w:rFonts w:ascii="Arial" w:cs="Arial" w:eastAsia="Arial" w:hAnsi="Arial"/>
          <w:sz w:val="20"/>
          <w:szCs w:val="20"/>
          <w:color w:val="auto"/>
        </w:rPr>
      </w:pPr>
      <w:r>
        <w:rPr>
          <w:rFonts w:ascii="Arial" w:cs="Arial" w:eastAsia="Arial" w:hAnsi="Arial"/>
          <w:sz w:val="20"/>
          <w:szCs w:val="20"/>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6" w:right="239" w:bottom="1440" w:gutter="0" w:footer="0" w:header="0"/>
        </w:sectPr>
      </w:pPr>
    </w:p>
    <w:bookmarkStart w:id="34" w:name="page35"/>
    <w:bookmarkEnd w:id="34"/>
    <w:p>
      <w:pPr>
        <w:ind w:left="2540" w:hanging="614"/>
        <w:spacing w:after="0"/>
        <w:tabs>
          <w:tab w:leader="none" w:pos="25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transfer is an approved transfer.</w:t>
      </w:r>
    </w:p>
    <w:p>
      <w:pPr>
        <w:spacing w:after="0" w:line="189" w:lineRule="exact"/>
        <w:rPr>
          <w:sz w:val="20"/>
          <w:szCs w:val="20"/>
          <w:color w:val="auto"/>
        </w:rPr>
      </w:pPr>
    </w:p>
    <w:p>
      <w:pPr>
        <w:jc w:val="both"/>
        <w:ind w:left="1280"/>
        <w:spacing w:after="0" w:line="250" w:lineRule="auto"/>
        <w:rPr>
          <w:sz w:val="20"/>
          <w:szCs w:val="20"/>
          <w:color w:val="auto"/>
        </w:rPr>
      </w:pPr>
      <w:r>
        <w:rPr>
          <w:rFonts w:ascii="Arial" w:cs="Arial" w:eastAsia="Arial" w:hAnsi="Arial"/>
          <w:sz w:val="20"/>
          <w:szCs w:val="20"/>
          <w:color w:val="auto"/>
        </w:rPr>
        <w:t>For the purposes of ensuring this Article 21.7(b)(ii)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159"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21.8</w:t>
        <w:tab/>
        <w:t>The Company shall send the direction notice to each other person appearing to be interested in the default shares, but the failure or omission by the Company to do so shall not invalidate such notice.</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color w:val="auto"/>
        </w:rPr>
        <w:t>Any direction notice shall cease to have effect not more than seven days after the earlier of receipt by the Company of:</w:t>
      </w:r>
    </w:p>
    <w:p>
      <w:pPr>
        <w:spacing w:after="0" w:line="189" w:lineRule="exact"/>
        <w:rPr>
          <w:sz w:val="20"/>
          <w:szCs w:val="20"/>
          <w:color w:val="auto"/>
        </w:rPr>
      </w:pPr>
    </w:p>
    <w:p>
      <w:pPr>
        <w:ind w:left="1260" w:hanging="604"/>
        <w:spacing w:after="0"/>
        <w:tabs>
          <w:tab w:leader="none" w:pos="12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notice of an approved transfer, but only in relation to the shares transferred;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all the information required by the relevant section 793 notice, in a form satisfactory to the Board.</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21.10</w:t>
      </w:r>
      <w:r>
        <w:rPr>
          <w:sz w:val="20"/>
          <w:szCs w:val="20"/>
          <w:color w:val="auto"/>
        </w:rPr>
        <w:tab/>
      </w:r>
      <w:r>
        <w:rPr>
          <w:rFonts w:ascii="Arial" w:cs="Arial" w:eastAsia="Arial" w:hAnsi="Arial"/>
          <w:sz w:val="16"/>
          <w:szCs w:val="16"/>
          <w:color w:val="auto"/>
        </w:rPr>
        <w:t>The Board may at any time send a notice cancelling a direction notice.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21.11</w:t>
      </w:r>
      <w:r>
        <w:rPr>
          <w:sz w:val="20"/>
          <w:szCs w:val="20"/>
          <w:color w:val="auto"/>
        </w:rPr>
        <w:tab/>
      </w:r>
      <w:r>
        <w:rPr>
          <w:rFonts w:ascii="Arial" w:cs="Arial" w:eastAsia="Arial" w:hAnsi="Arial"/>
          <w:sz w:val="18"/>
          <w:szCs w:val="18"/>
          <w:color w:val="auto"/>
        </w:rPr>
        <w:t>The Company may exercise any of its powers under Article 4.9 in respect of any default share that is held in uncertificated form.</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21.12</w:t>
      </w:r>
      <w:r>
        <w:rPr>
          <w:sz w:val="20"/>
          <w:szCs w:val="20"/>
          <w:color w:val="auto"/>
        </w:rPr>
        <w:tab/>
      </w:r>
      <w:r>
        <w:rPr>
          <w:rFonts w:ascii="Arial" w:cs="Arial" w:eastAsia="Arial" w:hAnsi="Arial"/>
          <w:sz w:val="18"/>
          <w:szCs w:val="18"/>
          <w:color w:val="auto"/>
        </w:rPr>
        <w:t>For the purposes of this Article 21.12 and Articles 21.7, 21.8, 21.9, 21.10 and 21.11:</w:t>
      </w:r>
    </w:p>
    <w:p>
      <w:pPr>
        <w:spacing w:after="0" w:line="189" w:lineRule="exact"/>
        <w:rPr>
          <w:sz w:val="20"/>
          <w:szCs w:val="20"/>
          <w:color w:val="auto"/>
        </w:rPr>
      </w:pPr>
    </w:p>
    <w:p>
      <w:pPr>
        <w:ind w:left="1280" w:right="20" w:hanging="624"/>
        <w:spacing w:after="0" w:line="260" w:lineRule="auto"/>
        <w:tabs>
          <w:tab w:leader="none" w:pos="1262"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person shall be treated as appearing to be interested in any shares if the member holding such shares has sent to the Company a notification under section 793 of the Companies Act which either:</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names such person as being so interested; or</w:t>
      </w:r>
    </w:p>
    <w:p>
      <w:pPr>
        <w:spacing w:after="0" w:line="188" w:lineRule="exact"/>
        <w:rPr>
          <w:rFonts w:ascii="Arial" w:cs="Arial" w:eastAsia="Arial" w:hAnsi="Arial"/>
          <w:sz w:val="20"/>
          <w:szCs w:val="20"/>
          <w:color w:val="auto"/>
        </w:rPr>
      </w:pPr>
    </w:p>
    <w:p>
      <w:pPr>
        <w:jc w:val="both"/>
        <w:ind w:left="1920" w:hanging="642"/>
        <w:spacing w:after="0" w:line="250" w:lineRule="auto"/>
        <w:tabs>
          <w:tab w:leader="none" w:pos="19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prescribed period is 14 days from the date of service of the section 793 notice;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transfer of shares is an approved transfer if:</w:t>
      </w:r>
    </w:p>
    <w:p>
      <w:pPr>
        <w:spacing w:after="0" w:line="188"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it is a transfer of shares pursuant to an acceptance of a takeover offer (within the meaning of section 974 of the Companies Act);</w:t>
      </w:r>
    </w:p>
    <w:p>
      <w:pPr>
        <w:spacing w:after="0" w:line="149" w:lineRule="exact"/>
        <w:rPr>
          <w:rFonts w:ascii="Arial" w:cs="Arial" w:eastAsia="Arial" w:hAnsi="Arial"/>
          <w:sz w:val="20"/>
          <w:szCs w:val="20"/>
          <w:color w:val="auto"/>
        </w:rPr>
      </w:pPr>
    </w:p>
    <w:p>
      <w:pPr>
        <w:jc w:val="both"/>
        <w:ind w:left="1920" w:hanging="642"/>
        <w:spacing w:after="0" w:line="250" w:lineRule="auto"/>
        <w:tabs>
          <w:tab w:leader="none" w:pos="192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59" w:lineRule="exact"/>
        <w:rPr>
          <w:rFonts w:ascii="Arial" w:cs="Arial" w:eastAsia="Arial" w:hAnsi="Arial"/>
          <w:sz w:val="20"/>
          <w:szCs w:val="20"/>
          <w:color w:val="auto"/>
        </w:rPr>
      </w:pPr>
    </w:p>
    <w:p>
      <w:pPr>
        <w:ind w:left="1920" w:right="20" w:hanging="642"/>
        <w:spacing w:after="0" w:line="287" w:lineRule="auto"/>
        <w:tabs>
          <w:tab w:leader="none" w:pos="192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transfer results from a sale made through a recognised investment exchange as defined in the FSMA or any other stock exchange outside the United Kingdom on which the Company’s shares are normally traded.</w:t>
      </w:r>
    </w:p>
    <w:p>
      <w:pPr>
        <w:spacing w:after="0" w:line="126"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21.13</w:t>
        <w:tab/>
        <w:t>Nothing contained in Article 21.7, 21.8, 21.9, 21.10 and 21.11 limits the power of the Company under section 794 of the Companies 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6" w:right="239" w:bottom="1440" w:gutter="0" w:footer="0" w:header="0"/>
        </w:sectPr>
      </w:pPr>
    </w:p>
    <w:bookmarkStart w:id="35" w:name="page36"/>
    <w:bookmarkEnd w:id="35"/>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21.14</w:t>
        <w:tab/>
        <w:t>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 shall be final and conclusive. If a vote is not disallowed by the chairman of the meeting it is valid for all purposes.</w:t>
      </w:r>
    </w:p>
    <w:p>
      <w:pPr>
        <w:spacing w:after="0" w:line="169" w:lineRule="exact"/>
        <w:rPr>
          <w:sz w:val="20"/>
          <w:szCs w:val="20"/>
          <w:color w:val="auto"/>
        </w:rPr>
      </w:pPr>
    </w:p>
    <w:p>
      <w:pPr>
        <w:jc w:val="both"/>
        <w:ind w:left="620" w:hanging="620"/>
        <w:spacing w:after="0" w:line="269" w:lineRule="auto"/>
        <w:tabs>
          <w:tab w:leader="none" w:pos="600" w:val="left"/>
        </w:tabs>
        <w:rPr>
          <w:sz w:val="20"/>
          <w:szCs w:val="20"/>
          <w:color w:val="auto"/>
        </w:rPr>
      </w:pPr>
      <w:r>
        <w:rPr>
          <w:rFonts w:ascii="Arial" w:cs="Arial" w:eastAsia="Arial" w:hAnsi="Arial"/>
          <w:sz w:val="20"/>
          <w:szCs w:val="20"/>
          <w:color w:val="auto"/>
        </w:rPr>
        <w:t>21.15</w:t>
      </w:r>
      <w:r>
        <w:rPr>
          <w:sz w:val="20"/>
          <w:szCs w:val="20"/>
          <w:color w:val="auto"/>
        </w:rPr>
        <w:tab/>
      </w:r>
      <w:r>
        <w:rPr>
          <w:rFonts w:ascii="Arial" w:cs="Arial" w:eastAsia="Arial" w:hAnsi="Arial"/>
          <w:sz w:val="19"/>
          <w:szCs w:val="19"/>
          <w:color w:val="auto"/>
        </w:rPr>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143"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21.16</w:t>
        <w:tab/>
        <w:t>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153" w:lineRule="exact"/>
        <w:rPr>
          <w:sz w:val="20"/>
          <w:szCs w:val="20"/>
          <w:color w:val="auto"/>
        </w:rPr>
      </w:pPr>
    </w:p>
    <w:p>
      <w:pPr>
        <w:ind w:left="620" w:hanging="612"/>
        <w:spacing w:after="0"/>
        <w:tabs>
          <w:tab w:leader="none" w:pos="6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PROXIES AND CORPORATE REPRESENTATIVES</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22.1</w:t>
        <w:tab/>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The appointment of a proxy shall be:</w:t>
      </w:r>
    </w:p>
    <w:p>
      <w:pPr>
        <w:spacing w:after="0" w:line="189" w:lineRule="exact"/>
        <w:rPr>
          <w:sz w:val="20"/>
          <w:szCs w:val="20"/>
          <w:color w:val="auto"/>
        </w:rPr>
      </w:pPr>
    </w:p>
    <w:p>
      <w:pPr>
        <w:jc w:val="both"/>
        <w:ind w:left="1280" w:hanging="624"/>
        <w:spacing w:after="0" w:line="291" w:lineRule="auto"/>
        <w:tabs>
          <w:tab w:leader="none" w:pos="12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24" w:lineRule="exact"/>
        <w:rPr>
          <w:rFonts w:ascii="Arial" w:cs="Arial" w:eastAsia="Arial" w:hAnsi="Arial"/>
          <w:sz w:val="18"/>
          <w:szCs w:val="18"/>
          <w:color w:val="auto"/>
        </w:rPr>
      </w:pPr>
    </w:p>
    <w:p>
      <w:pPr>
        <w:ind w:left="1920" w:hanging="642"/>
        <w:spacing w:after="0"/>
        <w:tabs>
          <w:tab w:leader="none" w:pos="19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in hard copy form; or</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in electronic form, to the electronic address provided by the Company for this purpose;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 the case of a proxy relating to the shares to which Article 22.2(a) does not apply:</w:t>
      </w:r>
    </w:p>
    <w:p>
      <w:pPr>
        <w:spacing w:after="0" w:line="188" w:lineRule="exact"/>
        <w:rPr>
          <w:rFonts w:ascii="Arial" w:cs="Arial" w:eastAsia="Arial" w:hAnsi="Arial"/>
          <w:sz w:val="20"/>
          <w:szCs w:val="20"/>
          <w:color w:val="auto"/>
        </w:rPr>
      </w:pPr>
    </w:p>
    <w:p>
      <w:pPr>
        <w:ind w:left="1920" w:right="20" w:hanging="642"/>
        <w:spacing w:after="0" w:line="260" w:lineRule="auto"/>
        <w:tabs>
          <w:tab w:leader="none" w:pos="19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in any usual form or in any other form or manner of communication which the Board may approve. Subject thereto, the appointment of a proxy may be:</w:t>
      </w:r>
    </w:p>
    <w:p>
      <w:pPr>
        <w:spacing w:after="0" w:line="149" w:lineRule="exact"/>
        <w:rPr>
          <w:rFonts w:ascii="Arial" w:cs="Arial" w:eastAsia="Arial" w:hAnsi="Arial"/>
          <w:sz w:val="20"/>
          <w:szCs w:val="20"/>
          <w:color w:val="auto"/>
        </w:rPr>
      </w:pPr>
    </w:p>
    <w:p>
      <w:pPr>
        <w:ind w:left="2540" w:hanging="614"/>
        <w:spacing w:after="0"/>
        <w:tabs>
          <w:tab w:leader="none" w:pos="2540" w:val="left"/>
        </w:tabs>
        <w:numPr>
          <w:ilvl w:val="2"/>
          <w:numId w:val="61"/>
        </w:numPr>
        <w:rPr>
          <w:rFonts w:ascii="Arial" w:cs="Arial" w:eastAsia="Arial" w:hAnsi="Arial"/>
          <w:sz w:val="20"/>
          <w:szCs w:val="20"/>
          <w:color w:val="auto"/>
        </w:rPr>
      </w:pPr>
      <w:r>
        <w:rPr>
          <w:rFonts w:ascii="Arial" w:cs="Arial" w:eastAsia="Arial" w:hAnsi="Arial"/>
          <w:sz w:val="20"/>
          <w:szCs w:val="20"/>
          <w:color w:val="auto"/>
        </w:rPr>
        <w:t>in hard copy form; or</w:t>
      </w:r>
    </w:p>
    <w:p>
      <w:pPr>
        <w:spacing w:after="0" w:line="188" w:lineRule="exact"/>
        <w:rPr>
          <w:rFonts w:ascii="Arial" w:cs="Arial" w:eastAsia="Arial" w:hAnsi="Arial"/>
          <w:sz w:val="20"/>
          <w:szCs w:val="20"/>
          <w:color w:val="auto"/>
        </w:rPr>
      </w:pPr>
    </w:p>
    <w:p>
      <w:pPr>
        <w:ind w:left="2540" w:hanging="614"/>
        <w:spacing w:after="0"/>
        <w:tabs>
          <w:tab w:leader="none" w:pos="2540" w:val="left"/>
        </w:tabs>
        <w:numPr>
          <w:ilvl w:val="2"/>
          <w:numId w:val="61"/>
        </w:numPr>
        <w:rPr>
          <w:rFonts w:ascii="Arial" w:cs="Arial" w:eastAsia="Arial" w:hAnsi="Arial"/>
          <w:sz w:val="20"/>
          <w:szCs w:val="20"/>
          <w:color w:val="auto"/>
        </w:rPr>
      </w:pPr>
      <w:r>
        <w:rPr>
          <w:rFonts w:ascii="Arial" w:cs="Arial" w:eastAsia="Arial" w:hAnsi="Arial"/>
          <w:sz w:val="20"/>
          <w:szCs w:val="20"/>
          <w:color w:val="auto"/>
        </w:rPr>
        <w:t>in electronic form, to the electronic address provided by the Company for this purpose;</w:t>
      </w:r>
    </w:p>
    <w:p>
      <w:pPr>
        <w:spacing w:after="0" w:line="18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color w:val="auto"/>
        </w:rPr>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6" w:right="239" w:bottom="1440" w:gutter="0" w:footer="0" w:header="0"/>
        </w:sectPr>
      </w:pPr>
    </w:p>
    <w:bookmarkStart w:id="36" w:name="page37"/>
    <w:bookmarkEnd w:id="36"/>
    <w:p>
      <w:pPr>
        <w:spacing w:after="0"/>
        <w:tabs>
          <w:tab w:leader="none" w:pos="60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Without limiting these Articles, the Board may in relation to uncertificated shares:</w:t>
      </w:r>
    </w:p>
    <w:p>
      <w:pPr>
        <w:spacing w:after="0" w:line="183" w:lineRule="exact"/>
        <w:rPr>
          <w:sz w:val="20"/>
          <w:szCs w:val="20"/>
          <w:color w:val="auto"/>
        </w:rPr>
      </w:pPr>
    </w:p>
    <w:p>
      <w:pPr>
        <w:jc w:val="both"/>
        <w:ind w:left="1280" w:hanging="624"/>
        <w:spacing w:after="0" w:line="246"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approve the appointment of a proxy by means of an electronic communication in the form of an “</w:t>
      </w:r>
      <w:r>
        <w:rPr>
          <w:rFonts w:ascii="Arial" w:cs="Arial" w:eastAsia="Arial" w:hAnsi="Arial"/>
          <w:sz w:val="20"/>
          <w:szCs w:val="20"/>
          <w:b w:val="1"/>
          <w:bCs w:val="1"/>
          <w:color w:val="auto"/>
        </w:rPr>
        <w:t>uncertificated proxy</w:t>
      </w:r>
      <w:r>
        <w:rPr>
          <w:rFonts w:ascii="Arial" w:cs="Arial" w:eastAsia="Arial" w:hAnsi="Arial"/>
          <w:sz w:val="20"/>
          <w:szCs w:val="20"/>
          <w:color w:val="auto"/>
        </w:rPr>
        <w:t xml:space="preserve"> </w:t>
      </w:r>
      <w:r>
        <w:rPr>
          <w:rFonts w:ascii="Arial" w:cs="Arial" w:eastAsia="Arial" w:hAnsi="Arial"/>
          <w:sz w:val="20"/>
          <w:szCs w:val="20"/>
          <w:b w:val="1"/>
          <w:bCs w:val="1"/>
          <w:color w:val="auto"/>
        </w:rPr>
        <w:t>instruction</w:t>
      </w:r>
      <w:r>
        <w:rPr>
          <w:rFonts w:ascii="Arial" w:cs="Arial" w:eastAsia="Arial" w:hAnsi="Arial"/>
          <w:sz w:val="20"/>
          <w:szCs w:val="20"/>
          <w:color w:val="auto"/>
        </w:rPr>
        <w:t>” (a properly authorised dematerialised instruction and/or other instruction or notification, which is sent by means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164" w:lineRule="exact"/>
        <w:rPr>
          <w:rFonts w:ascii="Arial" w:cs="Arial" w:eastAsia="Arial" w:hAnsi="Arial"/>
          <w:sz w:val="20"/>
          <w:szCs w:val="20"/>
          <w:color w:val="auto"/>
        </w:rPr>
      </w:pPr>
    </w:p>
    <w:p>
      <w:pPr>
        <w:ind w:left="1260" w:hanging="604"/>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approve supplements to, or amendments or revocations of, any such uncertificated proxy instruction by the same means; and</w:t>
      </w:r>
    </w:p>
    <w:p>
      <w:pPr>
        <w:spacing w:after="0" w:line="211" w:lineRule="exact"/>
        <w:rPr>
          <w:rFonts w:ascii="Arial" w:cs="Arial" w:eastAsia="Arial" w:hAnsi="Arial"/>
          <w:sz w:val="18"/>
          <w:szCs w:val="18"/>
          <w:color w:val="auto"/>
        </w:rPr>
      </w:pPr>
    </w:p>
    <w:p>
      <w:pPr>
        <w:jc w:val="both"/>
        <w:ind w:left="1280" w:hanging="624"/>
        <w:spacing w:after="0" w:line="246"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properly authenticated dematerialised instruction</w:t>
      </w:r>
      <w:r>
        <w:rPr>
          <w:rFonts w:ascii="Arial" w:cs="Arial" w:eastAsia="Arial" w:hAnsi="Arial"/>
          <w:sz w:val="18"/>
          <w:szCs w:val="18"/>
          <w:color w:val="auto"/>
        </w:rPr>
        <w:t>” shall have the meaning given in the Uncertificated Securities Rules.</w:t>
      </w:r>
    </w:p>
    <w:p>
      <w:pPr>
        <w:spacing w:after="0" w:line="218" w:lineRule="exact"/>
        <w:rPr>
          <w:sz w:val="20"/>
          <w:szCs w:val="20"/>
          <w:color w:val="auto"/>
        </w:rPr>
      </w:pPr>
    </w:p>
    <w:p>
      <w:pPr>
        <w:jc w:val="both"/>
        <w:ind w:left="620" w:hanging="620"/>
        <w:spacing w:after="0" w:line="273" w:lineRule="auto"/>
        <w:tabs>
          <w:tab w:leader="none" w:pos="60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14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22.6</w:t>
        <w:tab/>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8"/>
          <w:szCs w:val="18"/>
          <w:color w:val="auto"/>
        </w:rPr>
        <w:t>Without prejudice to Article 18.14(b) or the second sentence of Article 18.18, the appointment of a proxy shall:</w:t>
      </w:r>
    </w:p>
    <w:p>
      <w:pPr>
        <w:spacing w:after="0" w:line="189" w:lineRule="exact"/>
        <w:rPr>
          <w:sz w:val="20"/>
          <w:szCs w:val="20"/>
          <w:color w:val="auto"/>
        </w:rPr>
      </w:pPr>
    </w:p>
    <w:p>
      <w:pPr>
        <w:ind w:left="1280" w:hanging="624"/>
        <w:spacing w:after="0" w:line="260" w:lineRule="auto"/>
        <w:tabs>
          <w:tab w:leader="none" w:pos="1262"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in hard copy form, be delivered by hand or by post to the Office or such other place within the United Kingdom as may be specified by or on behalf of the Company for that purpose:</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1"/>
          <w:numId w:val="63"/>
        </w:numPr>
        <w:rPr>
          <w:rFonts w:ascii="Arial" w:cs="Arial" w:eastAsia="Arial" w:hAnsi="Arial"/>
          <w:sz w:val="20"/>
          <w:szCs w:val="20"/>
          <w:color w:val="auto"/>
        </w:rPr>
      </w:pPr>
      <w:r>
        <w:rPr>
          <w:rFonts w:ascii="Arial" w:cs="Arial" w:eastAsia="Arial" w:hAnsi="Arial"/>
          <w:sz w:val="20"/>
          <w:szCs w:val="20"/>
          <w:color w:val="auto"/>
        </w:rPr>
        <w:t>in the notice convening the meeting; or</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63"/>
        </w:numPr>
        <w:rPr>
          <w:rFonts w:ascii="Arial" w:cs="Arial" w:eastAsia="Arial" w:hAnsi="Arial"/>
          <w:sz w:val="20"/>
          <w:szCs w:val="20"/>
          <w:color w:val="auto"/>
        </w:rPr>
      </w:pPr>
      <w:r>
        <w:rPr>
          <w:rFonts w:ascii="Arial" w:cs="Arial" w:eastAsia="Arial" w:hAnsi="Arial"/>
          <w:sz w:val="20"/>
          <w:szCs w:val="20"/>
          <w:color w:val="auto"/>
        </w:rPr>
        <w:t>in any form of proxy sent by or on behalf of the Company in relation to the meeting,</w:t>
      </w:r>
    </w:p>
    <w:p>
      <w:pPr>
        <w:spacing w:after="0" w:line="189" w:lineRule="exact"/>
        <w:rPr>
          <w:sz w:val="20"/>
          <w:szCs w:val="20"/>
          <w:color w:val="auto"/>
        </w:rPr>
      </w:pPr>
    </w:p>
    <w:p>
      <w:pPr>
        <w:ind w:left="1280"/>
        <w:spacing w:after="0" w:line="260" w:lineRule="auto"/>
        <w:rPr>
          <w:sz w:val="20"/>
          <w:szCs w:val="20"/>
          <w:color w:val="auto"/>
        </w:rPr>
      </w:pPr>
      <w:r>
        <w:rPr>
          <w:rFonts w:ascii="Arial" w:cs="Arial" w:eastAsia="Arial" w:hAnsi="Arial"/>
          <w:sz w:val="20"/>
          <w:szCs w:val="20"/>
          <w:color w:val="auto"/>
        </w:rPr>
        <w:t>by the time specified by the Board (as the Board may determine, in compliance with the provisions of the Companies Act) in any such notice or form of proxy;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6" w:right="239" w:bottom="1440" w:gutter="0" w:footer="0" w:header="0"/>
        </w:sectPr>
      </w:pPr>
    </w:p>
    <w:bookmarkStart w:id="37" w:name="page38"/>
    <w:bookmarkEnd w:id="37"/>
    <w:p>
      <w:pPr>
        <w:jc w:val="both"/>
        <w:ind w:left="1280" w:hanging="624"/>
        <w:spacing w:after="0" w:line="250" w:lineRule="auto"/>
        <w:tabs>
          <w:tab w:leader="none" w:pos="1262"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159" w:lineRule="exact"/>
        <w:rPr>
          <w:rFonts w:ascii="Arial" w:cs="Arial" w:eastAsia="Arial" w:hAnsi="Arial"/>
          <w:sz w:val="20"/>
          <w:szCs w:val="20"/>
          <w:color w:val="auto"/>
        </w:rPr>
      </w:pPr>
    </w:p>
    <w:p>
      <w:pPr>
        <w:ind w:left="1920" w:hanging="642"/>
        <w:spacing w:after="0"/>
        <w:tabs>
          <w:tab w:leader="none" w:pos="19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in the notice convening the meeting;</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in any form of proxy sent by or on behalf of the Company in relation to the meeting;</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in any invitation to appoint a proxy issued by the Company in relation to the meeting; or</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on a website that is maintained by or on behalf of the Company and identifies the Company,</w:t>
      </w:r>
    </w:p>
    <w:p>
      <w:pPr>
        <w:spacing w:after="0" w:line="189" w:lineRule="exact"/>
        <w:rPr>
          <w:sz w:val="20"/>
          <w:szCs w:val="20"/>
          <w:color w:val="auto"/>
        </w:rPr>
      </w:pPr>
    </w:p>
    <w:p>
      <w:pPr>
        <w:ind w:left="1280"/>
        <w:spacing w:after="0" w:line="260" w:lineRule="auto"/>
        <w:rPr>
          <w:sz w:val="20"/>
          <w:szCs w:val="20"/>
          <w:color w:val="auto"/>
        </w:rPr>
      </w:pPr>
      <w:r>
        <w:rPr>
          <w:rFonts w:ascii="Arial" w:cs="Arial" w:eastAsia="Arial" w:hAnsi="Arial"/>
          <w:sz w:val="20"/>
          <w:szCs w:val="20"/>
          <w:color w:val="auto"/>
        </w:rPr>
        <w:t>by the time specified by the Board (as the Board may determine, in compliance with the provisions of the Companies Act) in any such method of notification.</w:t>
      </w:r>
    </w:p>
    <w:p>
      <w:pPr>
        <w:spacing w:after="0" w:line="150"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Board may specify, when determining the dates by which proxies are to be lodged, that no account need be taken of any part of a day that is not a working day.</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22.8</w:t>
        <w:tab/>
        <w:t>Subject to the provisions of the Companies Act, where the appointment of a proxy is expressed to have been or purports to have been sent or supplied by a person on behalf of a holder:</w:t>
      </w:r>
    </w:p>
    <w:p>
      <w:pPr>
        <w:spacing w:after="0" w:line="150" w:lineRule="exact"/>
        <w:rPr>
          <w:sz w:val="20"/>
          <w:szCs w:val="20"/>
          <w:color w:val="auto"/>
        </w:rPr>
      </w:pPr>
    </w:p>
    <w:p>
      <w:pPr>
        <w:ind w:left="1280" w:hanging="624"/>
        <w:spacing w:after="0" w:line="260" w:lineRule="auto"/>
        <w:tabs>
          <w:tab w:leader="none" w:pos="12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Company may treat the appointment as sufficient evidence of that person’s authority to execute the appointment of proxy on behalf of that member; and</w:t>
      </w:r>
    </w:p>
    <w:p>
      <w:pPr>
        <w:spacing w:after="0" w:line="149" w:lineRule="exact"/>
        <w:rPr>
          <w:rFonts w:ascii="Arial" w:cs="Arial" w:eastAsia="Arial" w:hAnsi="Arial"/>
          <w:sz w:val="20"/>
          <w:szCs w:val="20"/>
          <w:color w:val="auto"/>
        </w:rPr>
      </w:pPr>
    </w:p>
    <w:p>
      <w:pPr>
        <w:jc w:val="both"/>
        <w:ind w:left="1280" w:hanging="624"/>
        <w:spacing w:after="0" w:line="244" w:lineRule="auto"/>
        <w:tabs>
          <w:tab w:leader="none" w:pos="12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168"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8"/>
          <w:szCs w:val="18"/>
          <w:color w:val="auto"/>
        </w:rPr>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142" w:lineRule="exact"/>
        <w:rPr>
          <w:sz w:val="20"/>
          <w:szCs w:val="20"/>
          <w:color w:val="auto"/>
        </w:rPr>
      </w:pPr>
    </w:p>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22.10</w:t>
      </w:r>
      <w:r>
        <w:rPr>
          <w:sz w:val="20"/>
          <w:szCs w:val="20"/>
          <w:color w:val="auto"/>
        </w:rPr>
        <w:tab/>
      </w:r>
      <w:r>
        <w:rPr>
          <w:rFonts w:ascii="Arial" w:cs="Arial" w:eastAsia="Arial" w:hAnsi="Arial"/>
          <w:sz w:val="18"/>
          <w:szCs w:val="18"/>
          <w:color w:val="auto"/>
        </w:rPr>
        <w:t>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97"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22.11</w:t>
        <w:tab/>
        <w:t>Any corporation which is a member of the Company (the “</w:t>
      </w:r>
      <w:r>
        <w:rPr>
          <w:rFonts w:ascii="Arial" w:cs="Arial" w:eastAsia="Arial" w:hAnsi="Arial"/>
          <w:sz w:val="20"/>
          <w:szCs w:val="20"/>
          <w:b w:val="1"/>
          <w:bCs w:val="1"/>
          <w:color w:val="auto"/>
        </w:rPr>
        <w:t>grantor</w:t>
      </w:r>
      <w:r>
        <w:rPr>
          <w:rFonts w:ascii="Arial" w:cs="Arial" w:eastAsia="Arial" w:hAnsi="Arial"/>
          <w:sz w:val="20"/>
          <w:szCs w:val="20"/>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6" w:right="239" w:bottom="1440" w:gutter="0" w:footer="0" w:header="0"/>
        </w:sectPr>
      </w:pPr>
    </w:p>
    <w:bookmarkStart w:id="38" w:name="page39"/>
    <w:bookmarkEnd w:id="38"/>
    <w:p>
      <w:pPr>
        <w:jc w:val="both"/>
        <w:ind w:left="620"/>
        <w:spacing w:after="0" w:line="278" w:lineRule="auto"/>
        <w:rPr>
          <w:sz w:val="20"/>
          <w:szCs w:val="20"/>
          <w:color w:val="auto"/>
        </w:rPr>
      </w:pPr>
      <w:r>
        <w:rPr>
          <w:rFonts w:ascii="Arial" w:cs="Arial" w:eastAsia="Arial" w:hAnsi="Arial"/>
          <w:sz w:val="20"/>
          <w:szCs w:val="20"/>
          <w:color w:val="auto"/>
        </w:rPr>
        <w:t>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146" w:lineRule="exact"/>
        <w:rPr>
          <w:sz w:val="20"/>
          <w:szCs w:val="20"/>
          <w:color w:val="auto"/>
        </w:rPr>
      </w:pPr>
    </w:p>
    <w:p>
      <w:pPr>
        <w:ind w:left="1260" w:hanging="604"/>
        <w:spacing w:after="0"/>
        <w:tabs>
          <w:tab w:leader="none" w:pos="12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they purport to exercise the power in the same way as each other, the power is treated as exercised in that way; and</w:t>
      </w:r>
    </w:p>
    <w:p>
      <w:pPr>
        <w:spacing w:after="0" w:line="200" w:lineRule="exact"/>
        <w:rPr>
          <w:rFonts w:ascii="Arial" w:cs="Arial" w:eastAsia="Arial" w:hAnsi="Arial"/>
          <w:sz w:val="19"/>
          <w:szCs w:val="19"/>
          <w:color w:val="auto"/>
        </w:rPr>
      </w:pPr>
    </w:p>
    <w:p>
      <w:pPr>
        <w:ind w:left="1260" w:hanging="604"/>
        <w:spacing w:after="0"/>
        <w:tabs>
          <w:tab w:leader="none" w:pos="12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they do not purport to exercise the power in the same way as each other, the power is treated as not exercised.</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22.12</w:t>
      </w:r>
      <w:r>
        <w:rPr>
          <w:sz w:val="20"/>
          <w:szCs w:val="20"/>
          <w:color w:val="auto"/>
        </w:rPr>
        <w:tab/>
      </w:r>
      <w:r>
        <w:rPr>
          <w:rFonts w:ascii="Arial" w:cs="Arial" w:eastAsia="Arial" w:hAnsi="Arial"/>
          <w:sz w:val="16"/>
          <w:szCs w:val="16"/>
          <w:color w:val="auto"/>
        </w:rPr>
        <w:t>The termination of the authority of a person to act as a proxy or duly authorised representative of a corporation does not affect:</w:t>
      </w:r>
    </w:p>
    <w:p>
      <w:pPr>
        <w:spacing w:after="0" w:line="189" w:lineRule="exact"/>
        <w:rPr>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whether he counts in deciding whether there is a quorum at a meeting;</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validity of anything he does as chairman of a meeting;</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validity of a poll demanded by him at a meeting;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validity of a vote given by that person,</w:t>
      </w:r>
    </w:p>
    <w:p>
      <w:pPr>
        <w:spacing w:after="0" w:line="189"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16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22.13</w:t>
        <w:tab/>
        <w:t>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153"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NUMBER AND CLASSIFICATION OF DIRECTORS</w:t>
      </w:r>
    </w:p>
    <w:p>
      <w:pPr>
        <w:spacing w:after="0" w:line="195"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Unless otherwise decided by the Board (where, for the period beginning on the date of the unconditional adoption of these Articles and ending at the first annual meeting of members of the Company following the completion of the Company’s second full fiscal year, such decision must be taken unanimously), the number of directors shall be 9. The composition of the Board (and, if applicable, each director) will satisfy the requirements of applicable law and any securities exchange on which the Company’s securities are listed. Each director shall be able to understand and speak English sufficiently to be able to participate fully in all meetings of the Board.</w:t>
      </w:r>
    </w:p>
    <w:p>
      <w:pPr>
        <w:spacing w:after="0" w:line="13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23.2</w:t>
        <w:tab/>
        <w:t>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79" w:right="239" w:bottom="1440" w:gutter="0" w:footer="0" w:header="0"/>
        </w:sectPr>
      </w:pPr>
    </w:p>
    <w:bookmarkStart w:id="39" w:name="page40"/>
    <w:bookmarkEnd w:id="39"/>
    <w:p>
      <w:pPr>
        <w:ind w:left="620" w:hanging="620"/>
        <w:spacing w:after="0" w:line="287" w:lineRule="auto"/>
        <w:tabs>
          <w:tab w:leader="none" w:pos="60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19"/>
          <w:szCs w:val="19"/>
          <w:color w:val="auto"/>
        </w:rPr>
        <w:t>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120" w:lineRule="exact"/>
        <w:rPr>
          <w:sz w:val="20"/>
          <w:szCs w:val="20"/>
          <w:color w:val="auto"/>
        </w:rPr>
      </w:pPr>
    </w:p>
    <w:p>
      <w:pPr>
        <w:ind w:left="620" w:hanging="612"/>
        <w:spacing w:after="0"/>
        <w:tabs>
          <w:tab w:leader="none" w:pos="6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 OF DIRECTORS</w:t>
      </w:r>
    </w:p>
    <w:p>
      <w:pPr>
        <w:spacing w:after="0" w:line="195" w:lineRule="exact"/>
        <w:rPr>
          <w:sz w:val="20"/>
          <w:szCs w:val="20"/>
          <w:color w:val="auto"/>
        </w:rPr>
      </w:pPr>
    </w:p>
    <w:p>
      <w:pPr>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24.1</w:t>
        <w:tab/>
        <w:t>Subject to the Articles, any person who is willing to act as a director, and is permitted by law to do so, may be appointed to be a director:</w:t>
      </w:r>
    </w:p>
    <w:p>
      <w:pPr>
        <w:spacing w:after="0" w:line="150" w:lineRule="exact"/>
        <w:rPr>
          <w:sz w:val="20"/>
          <w:szCs w:val="20"/>
          <w:color w:val="auto"/>
        </w:rPr>
      </w:pPr>
    </w:p>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by ordinary resolution;</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at a general meeting called under article 16.4;</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by a decision of the directors.</w:t>
      </w:r>
    </w:p>
    <w:p>
      <w:pPr>
        <w:spacing w:after="0" w:line="18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24.2</w:t>
        <w:tab/>
        <w:t>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6"/>
          <w:szCs w:val="16"/>
          <w:color w:val="auto"/>
        </w:rPr>
        <w:t>No person shall be appointed a Director at any annual general meeting unless:</w:t>
      </w:r>
    </w:p>
    <w:p>
      <w:pPr>
        <w:spacing w:after="0" w:line="189" w:lineRule="exact"/>
        <w:rPr>
          <w:sz w:val="20"/>
          <w:szCs w:val="20"/>
          <w:color w:val="auto"/>
        </w:rPr>
      </w:pPr>
    </w:p>
    <w:p>
      <w:pPr>
        <w:ind w:left="1260" w:hanging="604"/>
        <w:spacing w:after="0"/>
        <w:tabs>
          <w:tab w:leader="none" w:pos="12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he is nominated by the Board; or</w:t>
      </w:r>
    </w:p>
    <w:p>
      <w:pPr>
        <w:spacing w:after="0" w:line="188" w:lineRule="exact"/>
        <w:rPr>
          <w:rFonts w:ascii="Arial" w:cs="Arial" w:eastAsia="Arial" w:hAnsi="Arial"/>
          <w:sz w:val="20"/>
          <w:szCs w:val="20"/>
          <w:color w:val="auto"/>
        </w:rPr>
      </w:pPr>
    </w:p>
    <w:p>
      <w:pPr>
        <w:jc w:val="both"/>
        <w:ind w:left="1280" w:hanging="624"/>
        <w:spacing w:after="0" w:line="282" w:lineRule="auto"/>
        <w:tabs>
          <w:tab w:leader="none" w:pos="12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notice in respect of that person is given by a member qualified to vote at the meeting (other than the person to be proposed) has been received by the Company in accordance with Article 20.1 and Article 20.4 or section 338 of the Companies Act of the intention to nominate that person for appointment stating the particulars which would, if he were so appointed, be required to be included in the Company’s register of directors, together with notice by that person of his willingness to be appointed.</w:t>
      </w:r>
    </w:p>
    <w:p>
      <w:pPr>
        <w:spacing w:after="0" w:line="13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24.4</w:t>
        <w:tab/>
        <w:t>The directors may require that any notice of a proposed director by a member include additional disclosure regarding such proposed director, including such person’s interest in the Company.</w:t>
      </w:r>
    </w:p>
    <w:p>
      <w:pPr>
        <w:spacing w:after="0" w:line="15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24.5</w:t>
        <w:tab/>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159"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24.6</w:t>
      </w:r>
      <w:r>
        <w:rPr>
          <w:sz w:val="20"/>
          <w:szCs w:val="20"/>
          <w:color w:val="auto"/>
        </w:rPr>
        <w:tab/>
      </w:r>
      <w:r>
        <w:rPr>
          <w:rFonts w:ascii="Arial" w:cs="Arial" w:eastAsia="Arial" w:hAnsi="Arial"/>
          <w:sz w:val="19"/>
          <w:szCs w:val="19"/>
          <w:color w:val="auto"/>
        </w:rPr>
        <w:t>In the event that at a general meeting it is proposed to vote upon a number of the resolutions for the appointment of a person as a Director (each a “</w:t>
      </w:r>
      <w:r>
        <w:rPr>
          <w:rFonts w:ascii="Arial" w:cs="Arial" w:eastAsia="Arial" w:hAnsi="Arial"/>
          <w:sz w:val="19"/>
          <w:szCs w:val="19"/>
          <w:b w:val="1"/>
          <w:bCs w:val="1"/>
          <w:color w:val="auto"/>
        </w:rPr>
        <w:t>Director Resolution</w:t>
      </w:r>
      <w:r>
        <w:rPr>
          <w:rFonts w:ascii="Arial" w:cs="Arial" w:eastAsia="Arial" w:hAnsi="Arial"/>
          <w:sz w:val="19"/>
          <w:szCs w:val="19"/>
          <w:color w:val="auto"/>
        </w:rPr>
        <w:t>”) that exceeds the total number of Directors that are to be appointed to the Board at that meeting (the “</w:t>
      </w:r>
      <w:r>
        <w:rPr>
          <w:rFonts w:ascii="Arial" w:cs="Arial" w:eastAsia="Arial" w:hAnsi="Arial"/>
          <w:sz w:val="19"/>
          <w:szCs w:val="19"/>
          <w:b w:val="1"/>
          <w:bCs w:val="1"/>
          <w:color w:val="auto"/>
        </w:rPr>
        <w:t>Board Number</w:t>
      </w:r>
      <w:r>
        <w:rPr>
          <w:rFonts w:ascii="Arial" w:cs="Arial" w:eastAsia="Arial" w:hAnsi="Arial"/>
          <w:sz w:val="19"/>
          <w:szCs w:val="19"/>
          <w:color w:val="auto"/>
        </w:rPr>
        <w:t>”), the 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152"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24.7</w:t>
        <w:tab/>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6" w:right="239" w:bottom="1440" w:gutter="0" w:footer="0" w:header="0"/>
        </w:sectPr>
      </w:pPr>
    </w:p>
    <w:bookmarkStart w:id="40" w:name="page41"/>
    <w:bookmarkEnd w:id="40"/>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24.8</w:t>
        <w:tab/>
        <w:t>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24.9</w:t>
      </w:r>
      <w:r>
        <w:rPr>
          <w:sz w:val="20"/>
          <w:szCs w:val="20"/>
          <w:color w:val="auto"/>
        </w:rPr>
        <w:tab/>
      </w:r>
      <w:r>
        <w:rPr>
          <w:rFonts w:ascii="Arial" w:cs="Arial" w:eastAsia="Arial" w:hAnsi="Arial"/>
          <w:sz w:val="18"/>
          <w:szCs w:val="18"/>
          <w:color w:val="auto"/>
        </w:rPr>
        <w:t>A Director shall not be required to hold any shares in the capital of the Company by way of qualification.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24.10</w:t>
      </w:r>
      <w:r>
        <w:rPr>
          <w:sz w:val="20"/>
          <w:szCs w:val="20"/>
          <w:color w:val="auto"/>
        </w:rPr>
        <w:tab/>
      </w:r>
      <w:r>
        <w:rPr>
          <w:rFonts w:ascii="Arial" w:cs="Arial" w:eastAsia="Arial" w:hAnsi="Arial"/>
          <w:sz w:val="18"/>
          <w:szCs w:val="18"/>
          <w:color w:val="auto"/>
        </w:rPr>
        <w:t>All acts done by:</w:t>
      </w:r>
    </w:p>
    <w:p>
      <w:pPr>
        <w:spacing w:after="0" w:line="189" w:lineRule="exact"/>
        <w:rPr>
          <w:sz w:val="20"/>
          <w:szCs w:val="20"/>
          <w:color w:val="auto"/>
        </w:rPr>
      </w:pPr>
    </w:p>
    <w:p>
      <w:pPr>
        <w:ind w:left="1260" w:hanging="604"/>
        <w:spacing w:after="0"/>
        <w:tabs>
          <w:tab w:leader="none" w:pos="12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meeting of the directors;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meeting of a committee of the directors;</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written resolution of the directors;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person acting as a director, or a committee,</w:t>
      </w:r>
    </w:p>
    <w:p>
      <w:pPr>
        <w:spacing w:after="0" w:line="189"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97" w:lineRule="exact"/>
        <w:rPr>
          <w:sz w:val="20"/>
          <w:szCs w:val="20"/>
          <w:color w:val="auto"/>
        </w:rPr>
      </w:pPr>
    </w:p>
    <w:p>
      <w:pPr>
        <w:ind w:left="620" w:hanging="612"/>
        <w:spacing w:after="0"/>
        <w:tabs>
          <w:tab w:leader="none" w:pos="62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FEES AND EXPENSES</w:t>
      </w:r>
    </w:p>
    <w:p>
      <w:pPr>
        <w:spacing w:after="0" w:line="195"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9"/>
          <w:szCs w:val="19"/>
          <w:color w:val="auto"/>
        </w:rPr>
        <w:t>Unless otherwise determined by the Company by ordinary resolution, there shall be paid to the Directors (other than alternate Directors and Directors employed by the company in an executive capacity) such fees for their services in the office of Director as the Directors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15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25.2</w:t>
        <w:tab/>
        <w:t>Subject to the Companies Act and the Articles, Directors’ fees may be payable in any form and, in particular, the Directors may arrange for part of a fee payable under this Article 25 to be provided in the form of fully paid shares of the Company. The amount of the fee payable in this way is at the Directors’ discretion. The amount of the fee will be applied to purchase or subscribe for shares on behalf of the Director.</w:t>
      </w:r>
    </w:p>
    <w:p>
      <w:pPr>
        <w:spacing w:after="0" w:line="16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25.3</w:t>
        <w:tab/>
        <w:t>Unless the Directors decide otherwise, a Director is not accountable to the Company for any remuneration which he receives as a director or other officer or employee of the Company’s subsidiary undertakings or of any other body corporate in which the Company is interested.</w:t>
      </w:r>
    </w:p>
    <w:p>
      <w:pPr>
        <w:spacing w:after="0" w:line="15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25.4</w:t>
      </w:r>
      <w:r>
        <w:rPr>
          <w:sz w:val="20"/>
          <w:szCs w:val="20"/>
          <w:color w:val="auto"/>
        </w:rPr>
        <w:tab/>
      </w:r>
      <w:r>
        <w:rPr>
          <w:rFonts w:ascii="Arial" w:cs="Arial" w:eastAsia="Arial" w:hAnsi="Arial"/>
          <w:sz w:val="18"/>
          <w:szCs w:val="18"/>
          <w:color w:val="auto"/>
        </w:rPr>
        <w:t>The Directors may also be paid all reasonable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6" w:right="239" w:bottom="1440" w:gutter="0" w:footer="0" w:header="0"/>
        </w:sectPr>
      </w:pPr>
    </w:p>
    <w:bookmarkStart w:id="41" w:name="page42"/>
    <w:bookmarkEnd w:id="41"/>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25.5</w:t>
        <w:tab/>
        <w:t>Subject to the Act, the Directors may make arrangements to provide a director with funds to meet expenditure incurred (or to be incurred) by him for the purposes of the Company; or enabling him to properly perform his duties as an officer of the Company; or enabling him to avoid incurring any such expenditure.</w:t>
      </w:r>
    </w:p>
    <w:p>
      <w:pPr>
        <w:spacing w:after="0" w:line="15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25.6</w:t>
        <w:tab/>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153" w:lineRule="exact"/>
        <w:rPr>
          <w:sz w:val="20"/>
          <w:szCs w:val="20"/>
          <w:color w:val="auto"/>
        </w:rPr>
      </w:pPr>
    </w:p>
    <w:p>
      <w:pPr>
        <w:ind w:left="620" w:hanging="612"/>
        <w:spacing w:after="0"/>
        <w:tabs>
          <w:tab w:leader="none" w:pos="6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188" w:lineRule="exact"/>
        <w:rPr>
          <w:rFonts w:ascii="Arial" w:cs="Arial" w:eastAsia="Arial" w:hAnsi="Arial"/>
          <w:sz w:val="20"/>
          <w:szCs w:val="20"/>
          <w:b w:val="1"/>
          <w:bCs w:val="1"/>
          <w:color w:val="auto"/>
        </w:rPr>
      </w:pPr>
    </w:p>
    <w:p>
      <w:pPr>
        <w:ind w:left="620" w:hanging="612"/>
        <w:spacing w:after="0"/>
        <w:tabs>
          <w:tab w:leader="none" w:pos="6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POWERS OF THE BOARD</w:t>
      </w:r>
    </w:p>
    <w:p>
      <w:pPr>
        <w:spacing w:after="0" w:line="195" w:lineRule="exact"/>
        <w:rPr>
          <w:sz w:val="20"/>
          <w:szCs w:val="20"/>
          <w:color w:val="auto"/>
        </w:rPr>
      </w:pPr>
    </w:p>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6"/>
          <w:szCs w:val="16"/>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113"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27.2</w:t>
        <w:tab/>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16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27.3</w:t>
        <w:tab/>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5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27.4</w:t>
      </w:r>
      <w:r>
        <w:rPr>
          <w:sz w:val="20"/>
          <w:szCs w:val="20"/>
          <w:color w:val="auto"/>
        </w:rPr>
        <w:tab/>
      </w:r>
      <w:r>
        <w:rPr>
          <w:rFonts w:ascii="Arial" w:cs="Arial" w:eastAsia="Arial" w:hAnsi="Arial"/>
          <w:sz w:val="18"/>
          <w:szCs w:val="18"/>
          <w:color w:val="auto"/>
        </w:rPr>
        <w:t>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119" w:lineRule="exact"/>
        <w:rPr>
          <w:sz w:val="20"/>
          <w:szCs w:val="20"/>
          <w:color w:val="auto"/>
        </w:rPr>
      </w:pPr>
    </w:p>
    <w:p>
      <w:pPr>
        <w:ind w:left="620" w:hanging="612"/>
        <w:spacing w:after="0"/>
        <w:tabs>
          <w:tab w:leader="none" w:pos="62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NASDAQ RULES</w:t>
      </w:r>
    </w:p>
    <w:p>
      <w:pPr>
        <w:spacing w:after="0" w:line="195"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28.1</w:t>
        <w:tab/>
        <w:t>For as long as the Ordinary Shares are listed on the NASDAQ, the Company shall comply with all NASDAQ corporate governance standards set forth in Section 3 of the NASDAQ Listed Company Manual applicable to non-controlled domestic U.S. issuers, regardless of whether the Company is a foreign private issuer.</w:t>
      </w:r>
    </w:p>
    <w:p>
      <w:pPr>
        <w:spacing w:after="0" w:line="153" w:lineRule="exact"/>
        <w:rPr>
          <w:sz w:val="20"/>
          <w:szCs w:val="20"/>
          <w:color w:val="auto"/>
        </w:rPr>
      </w:pPr>
    </w:p>
    <w:p>
      <w:pPr>
        <w:ind w:left="620" w:hanging="612"/>
        <w:spacing w:after="0"/>
        <w:tabs>
          <w:tab w:leader="none" w:pos="6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DELEGATION OF DIRECTORS’ POWERS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8"/>
          <w:szCs w:val="18"/>
          <w:color w:val="auto"/>
        </w:rPr>
        <w:t>Subject to the provisions of these Articles, the Directors may delegate any of the powers which are conferred on them under these</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Articles:</w:t>
      </w:r>
    </w:p>
    <w:p>
      <w:pPr>
        <w:spacing w:after="0" w:line="173" w:lineRule="exact"/>
        <w:rPr>
          <w:sz w:val="20"/>
          <w:szCs w:val="20"/>
          <w:color w:val="auto"/>
        </w:rPr>
      </w:pPr>
    </w:p>
    <w:p>
      <w:pPr>
        <w:ind w:left="1280" w:hanging="624"/>
        <w:spacing w:after="0" w:line="260" w:lineRule="auto"/>
        <w:tabs>
          <w:tab w:leader="none" w:pos="1262"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a committee consisting of one or more Directors and (if thought fit) one or more other persons, to such an extent and on such terms and conditions as the Board thinks fit;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6" w:right="239" w:bottom="1440" w:gutter="0" w:footer="0" w:header="0"/>
        </w:sectPr>
      </w:pPr>
    </w:p>
    <w:bookmarkStart w:id="42" w:name="page43"/>
    <w:bookmarkEnd w:id="42"/>
    <w:p>
      <w:pPr>
        <w:jc w:val="both"/>
        <w:ind w:left="1280" w:hanging="624"/>
        <w:spacing w:after="0" w:line="250" w:lineRule="auto"/>
        <w:tabs>
          <w:tab w:leader="none" w:pos="1262"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him.</w:t>
      </w:r>
    </w:p>
    <w:p>
      <w:pPr>
        <w:spacing w:after="0" w:line="159"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12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29.2</w:t>
        <w:tab/>
        <w:t>The power to delegate under Article 29.1 includes the power to delegate the determination of any fee, remuneration or other benefit which may be paid or provided to any Director.</w:t>
      </w:r>
    </w:p>
    <w:p>
      <w:pPr>
        <w:spacing w:after="0" w:line="150"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29.3</w:t>
        <w:tab/>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Committees</w:t>
      </w:r>
    </w:p>
    <w:p>
      <w:pPr>
        <w:spacing w:after="0" w:line="195"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29.4</w:t>
        <w:tab/>
        <w:t>Subject to Article 29.5, the proceedings of any committee appointed under paragraph (a) of Article 29.1 with two or more members shall be governed by such of these Articles as regulate the proceedings of Directors so far as they are capable of applying, and the quorum at a meeting of any such committee shall be two.</w:t>
      </w:r>
    </w:p>
    <w:p>
      <w:pPr>
        <w:spacing w:after="0" w:line="15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29.5</w:t>
      </w:r>
      <w:r>
        <w:rPr>
          <w:sz w:val="20"/>
          <w:szCs w:val="20"/>
          <w:color w:val="auto"/>
        </w:rPr>
        <w:tab/>
      </w:r>
      <w:r>
        <w:rPr>
          <w:rFonts w:ascii="Arial" w:cs="Arial" w:eastAsia="Arial" w:hAnsi="Arial"/>
          <w:sz w:val="18"/>
          <w:szCs w:val="18"/>
          <w:color w:val="auto"/>
        </w:rPr>
        <w:t>The Directors may make rules regulating the proceedings of such committees. For as long as the Ordinary Shares are listed on the NASDAQ, all committees shall comply with the applicable rules of the NASDAQ applicable to non-controlled domestic US issuers. The directors may otherwise make rules of procedure for all or any committees, which prevail over rules derived from the Articles.</w:t>
      </w:r>
    </w:p>
    <w:p>
      <w:pPr>
        <w:spacing w:after="0" w:line="119" w:lineRule="exact"/>
        <w:rPr>
          <w:sz w:val="20"/>
          <w:szCs w:val="20"/>
          <w:color w:val="auto"/>
        </w:rPr>
      </w:pPr>
    </w:p>
    <w:p>
      <w:pPr>
        <w:ind w:left="620" w:hanging="612"/>
        <w:spacing w:after="0"/>
        <w:tabs>
          <w:tab w:leader="none" w:pos="62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DISQUALIFICATION AND REMOVAL OF DIRECTORS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color w:val="auto"/>
        </w:rPr>
        <w:t>A person ceases to be a Director if:</w:t>
      </w:r>
    </w:p>
    <w:p>
      <w:pPr>
        <w:spacing w:after="0" w:line="189" w:lineRule="exact"/>
        <w:rPr>
          <w:sz w:val="20"/>
          <w:szCs w:val="20"/>
          <w:color w:val="auto"/>
        </w:rPr>
      </w:pPr>
    </w:p>
    <w:p>
      <w:pPr>
        <w:ind w:left="1260" w:hanging="604"/>
        <w:spacing w:after="0"/>
        <w:tabs>
          <w:tab w:leader="none" w:pos="12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period expires, if he has been appointed for a fixed period;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0"/>
        </w:numPr>
        <w:rPr>
          <w:rFonts w:ascii="Arial" w:cs="Arial" w:eastAsia="Arial" w:hAnsi="Arial"/>
          <w:sz w:val="20"/>
          <w:szCs w:val="20"/>
          <w:color w:val="auto"/>
        </w:rPr>
      </w:pPr>
      <w:r>
        <w:rPr>
          <w:rFonts w:ascii="Arial" w:cs="Arial" w:eastAsia="Arial" w:hAnsi="Arial"/>
          <w:sz w:val="20"/>
          <w:szCs w:val="20"/>
          <w:color w:val="auto"/>
        </w:rPr>
        <w:t>he ceases to be a Director by virtue of any provision of the Companies Act (including, without limitation, section 168 of the Companies Act) or he becomes prohibited by law from being a Director;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0"/>
        </w:numPr>
        <w:rPr>
          <w:rFonts w:ascii="Arial" w:cs="Arial" w:eastAsia="Arial" w:hAnsi="Arial"/>
          <w:sz w:val="20"/>
          <w:szCs w:val="20"/>
          <w:color w:val="auto"/>
        </w:rPr>
      </w:pPr>
      <w:r>
        <w:rPr>
          <w:rFonts w:ascii="Arial" w:cs="Arial" w:eastAsia="Arial" w:hAnsi="Arial"/>
          <w:sz w:val="20"/>
          <w:szCs w:val="20"/>
          <w:color w:val="auto"/>
        </w:rPr>
        <w:t>he is deemed unfit or has otherwise been requested to be removed from office by any regulatory authority in any applicable jurisdiction;</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he becomes bankrupt or makes any arrangement or composition with his creditors generally;</w:t>
      </w:r>
    </w:p>
    <w:p>
      <w:pPr>
        <w:spacing w:after="0" w:line="188" w:lineRule="exact"/>
        <w:rPr>
          <w:rFonts w:ascii="Arial" w:cs="Arial" w:eastAsia="Arial" w:hAnsi="Arial"/>
          <w:sz w:val="20"/>
          <w:szCs w:val="20"/>
          <w:color w:val="auto"/>
        </w:rPr>
      </w:pPr>
    </w:p>
    <w:p>
      <w:pPr>
        <w:ind w:left="1280" w:right="20" w:hanging="624"/>
        <w:spacing w:after="0" w:line="316" w:lineRule="auto"/>
        <w:tabs>
          <w:tab w:leader="none" w:pos="12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6" w:right="239" w:bottom="1440" w:gutter="0" w:footer="0" w:header="0"/>
        </w:sectPr>
      </w:pPr>
    </w:p>
    <w:bookmarkStart w:id="43" w:name="page44"/>
    <w:bookmarkEnd w:id="43"/>
    <w:p>
      <w:pPr>
        <w:ind w:left="1280" w:hanging="624"/>
        <w:spacing w:after="0" w:line="260" w:lineRule="auto"/>
        <w:tabs>
          <w:tab w:leader="none" w:pos="1262" w:val="left"/>
        </w:tabs>
        <w:numPr>
          <w:ilvl w:val="0"/>
          <w:numId w:val="81"/>
        </w:numPr>
        <w:rPr>
          <w:rFonts w:ascii="Arial" w:cs="Arial" w:eastAsia="Arial" w:hAnsi="Arial"/>
          <w:sz w:val="20"/>
          <w:szCs w:val="20"/>
          <w:color w:val="auto"/>
        </w:rPr>
      </w:pPr>
      <w:r>
        <w:rPr>
          <w:rFonts w:ascii="Arial" w:cs="Arial" w:eastAsia="Arial" w:hAnsi="Arial"/>
          <w:sz w:val="20"/>
          <w:szCs w:val="20"/>
          <w:color w:val="auto"/>
        </w:rPr>
        <w:t>by reason of his mental health a court makes an order which wholly or partly prevents him from personally exercising any powers or rights he would otherwise have;</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 resigns his office by notice in writing to the Company and such resignation has taken effect in accordance with its terms;</w:t>
      </w:r>
    </w:p>
    <w:p>
      <w:pPr>
        <w:spacing w:after="0" w:line="211" w:lineRule="exact"/>
        <w:rPr>
          <w:rFonts w:ascii="Arial" w:cs="Arial" w:eastAsia="Arial" w:hAnsi="Arial"/>
          <w:sz w:val="18"/>
          <w:szCs w:val="18"/>
          <w:color w:val="auto"/>
        </w:rPr>
      </w:pPr>
    </w:p>
    <w:p>
      <w:pPr>
        <w:ind w:left="1280" w:right="20" w:hanging="624"/>
        <w:spacing w:after="0" w:line="260" w:lineRule="auto"/>
        <w:tabs>
          <w:tab w:leader="none" w:pos="1262"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the case of a Director who holds any executive office, his appointment as such is terminated or expires and the Board resolves that he should cease to be a Director;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1"/>
        </w:numPr>
        <w:rPr>
          <w:rFonts w:ascii="Arial" w:cs="Arial" w:eastAsia="Arial" w:hAnsi="Arial"/>
          <w:sz w:val="20"/>
          <w:szCs w:val="20"/>
          <w:color w:val="auto"/>
        </w:rPr>
      </w:pPr>
      <w:r>
        <w:rPr>
          <w:rFonts w:ascii="Arial" w:cs="Arial" w:eastAsia="Arial" w:hAnsi="Arial"/>
          <w:sz w:val="20"/>
          <w:szCs w:val="20"/>
          <w:color w:val="auto"/>
        </w:rPr>
        <w:t>he is absent for more than six consecutive months without permission of the Board from meetings of the Board held during that period and the Board resolves that he should cease to be a Director;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he dies.</w:t>
      </w:r>
    </w:p>
    <w:p>
      <w:pPr>
        <w:spacing w:after="0" w:line="189"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color w:val="auto"/>
        </w:rPr>
        <w:t>A unanimous resolution of the directors (excluding the director the subject of this Article) declaring a director to have ceased to be a director under the terms of this Article is conclusive as to the fact and grounds of cessation stated in the resolution.</w:t>
      </w:r>
    </w:p>
    <w:p>
      <w:pPr>
        <w:spacing w:after="0" w:line="12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6"/>
          <w:szCs w:val="16"/>
          <w:color w:val="auto"/>
        </w:rPr>
        <w:t>If a director ceases to be a director for any reason, he shall cease to be a member of any committee of the directors.</w:t>
      </w:r>
    </w:p>
    <w:p>
      <w:pPr>
        <w:spacing w:after="0" w:line="183" w:lineRule="exact"/>
        <w:rPr>
          <w:sz w:val="20"/>
          <w:szCs w:val="20"/>
          <w:color w:val="auto"/>
        </w:rPr>
      </w:pPr>
    </w:p>
    <w:p>
      <w:pPr>
        <w:ind w:left="620" w:hanging="612"/>
        <w:spacing w:after="0"/>
        <w:tabs>
          <w:tab w:leader="none" w:pos="62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EXECUTIVE DIRECTORS</w:t>
      </w:r>
    </w:p>
    <w:p>
      <w:pPr>
        <w:spacing w:after="0" w:line="195"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color w:val="auto"/>
        </w:rPr>
        <w:t>Subject to the provisions of the Companies Act, the Directors may appoint one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5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31.2</w:t>
        <w:tab/>
        <w:t>Any appointment of a Director to an executive office shall terminate if he ceases to be a Director but without prejudice to any rights or claims which he may have against the Company by reason of that cessation. A Director appointed to an executive office shall not cease to be a Director merely because his appointment to such executive office terminates.</w:t>
      </w:r>
    </w:p>
    <w:p>
      <w:pPr>
        <w:spacing w:after="0" w:line="15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31.3</w:t>
        <w:tab/>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162" w:lineRule="exact"/>
        <w:rPr>
          <w:sz w:val="20"/>
          <w:szCs w:val="20"/>
          <w:color w:val="auto"/>
        </w:rPr>
      </w:pPr>
    </w:p>
    <w:p>
      <w:pPr>
        <w:ind w:left="620" w:hanging="612"/>
        <w:spacing w:after="0"/>
        <w:tabs>
          <w:tab w:leader="none" w:pos="62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INTERESTS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32.1</w:t>
        <w:tab/>
        <w:t>For the purposes of these Articles (i) a conflict of interest includes (x) a conflict of interest and duty and (y) a conflict of duties and (ii) interest includes both direct and indirect interests.</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32.2</w:t>
        <w:tab/>
        <w:t>A director shall be authorised for the purposes of section 175 of the Act to act or continue to act as a director of the Company notwithstanding that at the time of his appointment or subsequently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6"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0"/>
          <w:szCs w:val="20"/>
          <w:color w:val="auto"/>
        </w:rPr>
        <w:t>he also holds office as a director of, or holds any other office, employment or engagement with, any other member of the Group.</w:t>
      </w:r>
    </w:p>
    <w:p>
      <w:pPr>
        <w:spacing w:after="0" w:line="20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32.3</w:t>
        <w:tab/>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59" w:lineRule="exact"/>
        <w:rPr>
          <w:sz w:val="20"/>
          <w:szCs w:val="20"/>
          <w:color w:val="auto"/>
        </w:rPr>
      </w:pPr>
    </w:p>
    <w:p>
      <w:pPr>
        <w:jc w:val="both"/>
        <w:ind w:left="1280" w:hanging="624"/>
        <w:spacing w:after="0" w:line="246" w:lineRule="auto"/>
        <w:tabs>
          <w:tab w:leader="none" w:pos="1262"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164" w:lineRule="exact"/>
        <w:rPr>
          <w:rFonts w:ascii="Arial" w:cs="Arial" w:eastAsia="Arial" w:hAnsi="Arial"/>
          <w:sz w:val="20"/>
          <w:szCs w:val="20"/>
          <w:color w:val="auto"/>
        </w:rPr>
      </w:pPr>
    </w:p>
    <w:p>
      <w:pPr>
        <w:jc w:val="both"/>
        <w:ind w:left="1280" w:hanging="624"/>
        <w:spacing w:after="0" w:line="269" w:lineRule="auto"/>
        <w:tabs>
          <w:tab w:leader="none" w:pos="1262"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Director to accept or continue in any office, employment or position in addition to his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provided that any such authorisation will be effective only if:</w:t>
      </w:r>
    </w:p>
    <w:p>
      <w:pPr>
        <w:spacing w:after="0" w:line="189" w:lineRule="exact"/>
        <w:rPr>
          <w:sz w:val="20"/>
          <w:szCs w:val="20"/>
          <w:color w:val="auto"/>
        </w:rPr>
      </w:pPr>
    </w:p>
    <w:p>
      <w:pPr>
        <w:ind w:left="1920" w:right="20" w:hanging="642"/>
        <w:spacing w:after="0" w:line="260" w:lineRule="auto"/>
        <w:tabs>
          <w:tab w:leader="none" w:pos="19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requirement as to quorum at the meeting at which the matter is considered is met without counting the Director in question or any other interested Director; and</w:t>
      </w:r>
    </w:p>
    <w:p>
      <w:pPr>
        <w:spacing w:after="0" w:line="149" w:lineRule="exact"/>
        <w:rPr>
          <w:rFonts w:ascii="Arial" w:cs="Arial" w:eastAsia="Arial" w:hAnsi="Arial"/>
          <w:sz w:val="20"/>
          <w:szCs w:val="20"/>
          <w:color w:val="auto"/>
        </w:rPr>
      </w:pPr>
    </w:p>
    <w:p>
      <w:pPr>
        <w:ind w:left="1920" w:right="20" w:hanging="642"/>
        <w:spacing w:after="0" w:line="260" w:lineRule="auto"/>
        <w:tabs>
          <w:tab w:leader="none" w:pos="19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matter was agreed to without such Director voting or would have been agreed to if such Director’s votes had not been counted.</w:t>
      </w:r>
    </w:p>
    <w:p>
      <w:pPr>
        <w:spacing w:after="0" w:line="150" w:lineRule="exact"/>
        <w:rPr>
          <w:sz w:val="20"/>
          <w:szCs w:val="20"/>
          <w:color w:val="auto"/>
        </w:rPr>
      </w:pPr>
    </w:p>
    <w:p>
      <w:pPr>
        <w:jc w:val="both"/>
        <w:ind w:left="1280"/>
        <w:spacing w:after="0" w:line="250" w:lineRule="auto"/>
        <w:rPr>
          <w:sz w:val="20"/>
          <w:szCs w:val="20"/>
          <w:color w:val="auto"/>
        </w:rPr>
      </w:pPr>
      <w:r>
        <w:rPr>
          <w:rFonts w:ascii="Arial" w:cs="Arial" w:eastAsia="Arial" w:hAnsi="Arial"/>
          <w:sz w:val="20"/>
          <w:szCs w:val="20"/>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5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32.4</w:t>
        <w:tab/>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159" w:lineRule="exact"/>
        <w:rPr>
          <w:sz w:val="20"/>
          <w:szCs w:val="20"/>
          <w:color w:val="auto"/>
        </w:rPr>
      </w:pPr>
    </w:p>
    <w:p>
      <w:pPr>
        <w:ind w:left="1280" w:hanging="624"/>
        <w:spacing w:after="0" w:line="260" w:lineRule="auto"/>
        <w:tabs>
          <w:tab w:leader="none" w:pos="1262" w:val="left"/>
        </w:tabs>
        <w:numPr>
          <w:ilvl w:val="0"/>
          <w:numId w:val="86"/>
        </w:numPr>
        <w:rPr>
          <w:rFonts w:ascii="Arial" w:cs="Arial" w:eastAsia="Arial" w:hAnsi="Arial"/>
          <w:sz w:val="20"/>
          <w:szCs w:val="20"/>
          <w:color w:val="auto"/>
        </w:rPr>
      </w:pPr>
      <w:r>
        <w:rPr>
          <w:rFonts w:ascii="Arial" w:cs="Arial" w:eastAsia="Arial" w:hAnsi="Arial"/>
          <w:sz w:val="20"/>
          <w:szCs w:val="20"/>
          <w:color w:val="auto"/>
        </w:rPr>
        <w:t>may be a party to, or otherwise interested in, any transaction or arrangement with the Company or in which the Company is otherwise (directly or indirectly) interested;</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86"/>
        </w:numPr>
        <w:rPr>
          <w:rFonts w:ascii="Arial" w:cs="Arial" w:eastAsia="Arial" w:hAnsi="Arial"/>
          <w:sz w:val="20"/>
          <w:szCs w:val="20"/>
          <w:color w:val="auto"/>
        </w:rPr>
      </w:pPr>
      <w:r>
        <w:rPr>
          <w:rFonts w:ascii="Arial" w:cs="Arial" w:eastAsia="Arial" w:hAnsi="Arial"/>
          <w:sz w:val="20"/>
          <w:szCs w:val="20"/>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6"/>
        </w:numPr>
        <w:rPr>
          <w:rFonts w:ascii="Arial" w:cs="Arial" w:eastAsia="Arial" w:hAnsi="Arial"/>
          <w:sz w:val="20"/>
          <w:szCs w:val="20"/>
          <w:color w:val="auto"/>
        </w:rPr>
      </w:pPr>
      <w:r>
        <w:rPr>
          <w:rFonts w:ascii="Arial" w:cs="Arial" w:eastAsia="Arial" w:hAnsi="Arial"/>
          <w:sz w:val="20"/>
          <w:szCs w:val="20"/>
          <w:color w:val="auto"/>
        </w:rPr>
        <w:t>may be a Director or other officer of, or employed by, or a party to any transaction or arrangement with, or otherwise interested in, any undertaking:</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1"/>
          <w:numId w:val="86"/>
        </w:numPr>
        <w:rPr>
          <w:rFonts w:ascii="Arial" w:cs="Arial" w:eastAsia="Arial" w:hAnsi="Arial"/>
          <w:sz w:val="20"/>
          <w:szCs w:val="20"/>
          <w:color w:val="auto"/>
        </w:rPr>
      </w:pPr>
      <w:r>
        <w:rPr>
          <w:rFonts w:ascii="Arial" w:cs="Arial" w:eastAsia="Arial" w:hAnsi="Arial"/>
          <w:sz w:val="20"/>
          <w:szCs w:val="20"/>
          <w:color w:val="auto"/>
        </w:rPr>
        <w:t>in which the Company is (directly or indirectly) interested as shareholder, member, partner or otherwise; or</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86"/>
        </w:numPr>
        <w:rPr>
          <w:rFonts w:ascii="Arial" w:cs="Arial" w:eastAsia="Arial" w:hAnsi="Arial"/>
          <w:sz w:val="20"/>
          <w:szCs w:val="20"/>
          <w:color w:val="auto"/>
        </w:rPr>
      </w:pPr>
      <w:r>
        <w:rPr>
          <w:rFonts w:ascii="Arial" w:cs="Arial" w:eastAsia="Arial" w:hAnsi="Arial"/>
          <w:sz w:val="20"/>
          <w:szCs w:val="20"/>
          <w:color w:val="auto"/>
        </w:rPr>
        <w:t>with which he has such a relationship at the request or direction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79" w:right="239" w:bottom="1440" w:gutter="0" w:footer="0" w:header="0"/>
        </w:sectPr>
      </w:pPr>
    </w:p>
    <w:bookmarkStart w:id="45" w:name="page46"/>
    <w:bookmarkEnd w:id="45"/>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32.5</w:t>
        <w:tab/>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150" w:lineRule="exact"/>
        <w:rPr>
          <w:sz w:val="20"/>
          <w:szCs w:val="20"/>
          <w:color w:val="auto"/>
        </w:rPr>
      </w:pPr>
    </w:p>
    <w:p>
      <w:pPr>
        <w:ind w:left="1280" w:hanging="624"/>
        <w:spacing w:after="0" w:line="260" w:lineRule="auto"/>
        <w:tabs>
          <w:tab w:leader="none" w:pos="12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acceptance, entry into or existence of which has been authorised by the Board pursuant to Article 32.2 (subject, in any case, to any limits or conditions to which such authorisation was subject);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which he is permitted to hold or enter into by virtue of paragraphs (a), (b) or (c) of Article 32.4,</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nor shall the receipt of any such remuneration or other benefit constitute a breach of his duty under section 176 of the Companies Act;</w:t>
      </w:r>
    </w:p>
    <w:p>
      <w:pPr>
        <w:spacing w:after="0" w:line="212"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32.6</w:t>
        <w:tab/>
        <w:t>Any disclosure required by Article 32.4 may be made at a meeting of the Board, by notice in writing or by general notice or otherwise in accordance with section 177 of the Companies Act.</w:t>
      </w:r>
    </w:p>
    <w:p>
      <w:pPr>
        <w:spacing w:after="0" w:line="150"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32.7</w:t>
      </w:r>
      <w:r>
        <w:rPr>
          <w:sz w:val="20"/>
          <w:szCs w:val="20"/>
          <w:color w:val="auto"/>
        </w:rPr>
        <w:tab/>
      </w:r>
      <w:r>
        <w:rPr>
          <w:rFonts w:ascii="Arial" w:cs="Arial" w:eastAsia="Arial" w:hAnsi="Arial"/>
          <w:sz w:val="18"/>
          <w:szCs w:val="18"/>
          <w:color w:val="auto"/>
        </w:rPr>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he owes to the Company by virtue of sections 171 to 177 of the Companies Act because he fails:</w:t>
      </w:r>
    </w:p>
    <w:p>
      <w:pPr>
        <w:spacing w:after="0" w:line="138" w:lineRule="exact"/>
        <w:rPr>
          <w:sz w:val="20"/>
          <w:szCs w:val="20"/>
          <w:color w:val="auto"/>
        </w:rPr>
      </w:pPr>
    </w:p>
    <w:p>
      <w:pPr>
        <w:ind w:left="1260" w:hanging="604"/>
        <w:spacing w:after="0"/>
        <w:tabs>
          <w:tab w:leader="none" w:pos="12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to disclose any such information to the Board or to any Director or other officer or employees of the Company; and/or</w:t>
      </w:r>
    </w:p>
    <w:p>
      <w:pPr>
        <w:spacing w:after="0" w:line="200" w:lineRule="exact"/>
        <w:rPr>
          <w:rFonts w:ascii="Arial" w:cs="Arial" w:eastAsia="Arial" w:hAnsi="Arial"/>
          <w:sz w:val="19"/>
          <w:szCs w:val="19"/>
          <w:color w:val="auto"/>
        </w:rPr>
      </w:pPr>
    </w:p>
    <w:p>
      <w:pPr>
        <w:ind w:left="1260" w:hanging="604"/>
        <w:spacing w:after="0"/>
        <w:tabs>
          <w:tab w:leader="none" w:pos="12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to use or apply any such information in performing his duties as a Director.</w:t>
      </w:r>
    </w:p>
    <w:p>
      <w:pPr>
        <w:spacing w:after="0" w:line="18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32.8</w:t>
        <w:tab/>
        <w:t>Where the existence of a Director’s relationship with another person or undertaking has been authorised by the Board pursuant to Article 32.2 and his relationship with that person or undertaking gives rise to a conflict of interest or possible conflict of interest, the Director shall not be in breach of the general duties he owes to the Company by virtue of sections 171 to 177 of the Companies Act because he:</w:t>
      </w:r>
    </w:p>
    <w:p>
      <w:pPr>
        <w:spacing w:after="0" w:line="165" w:lineRule="exact"/>
        <w:rPr>
          <w:sz w:val="20"/>
          <w:szCs w:val="20"/>
          <w:color w:val="auto"/>
        </w:rPr>
      </w:pPr>
    </w:p>
    <w:p>
      <w:pPr>
        <w:ind w:left="1280" w:hanging="624"/>
        <w:spacing w:after="0" w:line="287" w:lineRule="auto"/>
        <w:tabs>
          <w:tab w:leader="none" w:pos="1262" w:val="left"/>
        </w:tabs>
        <w:numPr>
          <w:ilvl w:val="0"/>
          <w:numId w:val="89"/>
        </w:numPr>
        <w:rPr>
          <w:rFonts w:ascii="Arial" w:cs="Arial" w:eastAsia="Arial" w:hAnsi="Arial"/>
          <w:sz w:val="19"/>
          <w:szCs w:val="19"/>
          <w:color w:val="auto"/>
        </w:rPr>
      </w:pPr>
      <w:r>
        <w:rPr>
          <w:rFonts w:ascii="Arial" w:cs="Arial" w:eastAsia="Arial" w:hAnsi="Arial"/>
          <w:sz w:val="19"/>
          <w:szCs w:val="19"/>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125"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89"/>
        </w:numPr>
        <w:rPr>
          <w:rFonts w:ascii="Arial" w:cs="Arial" w:eastAsia="Arial" w:hAnsi="Arial"/>
          <w:sz w:val="20"/>
          <w:szCs w:val="20"/>
          <w:color w:val="auto"/>
        </w:rPr>
      </w:pPr>
      <w:r>
        <w:rPr>
          <w:rFonts w:ascii="Arial" w:cs="Arial" w:eastAsia="Arial" w:hAnsi="Arial"/>
          <w:sz w:val="20"/>
          <w:szCs w:val="20"/>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59" w:lineRule="exact"/>
        <w:rPr>
          <w:sz w:val="20"/>
          <w:szCs w:val="20"/>
          <w:color w:val="auto"/>
        </w:rPr>
      </w:pPr>
    </w:p>
    <w:p>
      <w:pPr>
        <w:jc w:val="both"/>
        <w:ind w:left="620"/>
        <w:spacing w:after="0" w:line="260" w:lineRule="auto"/>
        <w:rPr>
          <w:sz w:val="20"/>
          <w:szCs w:val="20"/>
          <w:color w:val="auto"/>
        </w:rPr>
      </w:pPr>
      <w:r>
        <w:rPr>
          <w:rFonts w:ascii="Arial" w:cs="Arial" w:eastAsia="Arial" w:hAnsi="Arial"/>
          <w:sz w:val="19"/>
          <w:szCs w:val="19"/>
          <w:color w:val="auto"/>
        </w:rPr>
        <w:t>for so long as he reasonably believes such conflict of interest or possible conflict of interest subsists, provided that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54" w:lineRule="exact"/>
        <w:rPr>
          <w:sz w:val="20"/>
          <w:szCs w:val="20"/>
          <w:color w:val="auto"/>
        </w:rPr>
      </w:pPr>
    </w:p>
    <w:p>
      <w:pPr>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32.9</w:t>
        <w:tab/>
        <w:t>The provisions of Articles 32.7 and 32.8 are without prejudice to any equitable principle or rule of law which may excuse the Director from: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6" w:right="239" w:bottom="1440" w:gutter="0" w:footer="0" w:header="0"/>
        </w:sectPr>
      </w:pPr>
    </w:p>
    <w:bookmarkStart w:id="46" w:name="page47"/>
    <w:bookmarkEnd w:id="46"/>
    <w:p>
      <w:pPr>
        <w:ind w:left="1260" w:hanging="604"/>
        <w:spacing w:after="0"/>
        <w:tabs>
          <w:tab w:leader="none" w:pos="12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disclosing information, in circumstances where disclosure would otherwise be required under these Articles; or</w:t>
      </w:r>
    </w:p>
    <w:p>
      <w:pPr>
        <w:spacing w:after="0" w:line="188" w:lineRule="exact"/>
        <w:rPr>
          <w:rFonts w:ascii="Arial" w:cs="Arial" w:eastAsia="Arial" w:hAnsi="Arial"/>
          <w:sz w:val="20"/>
          <w:szCs w:val="20"/>
          <w:color w:val="auto"/>
        </w:rPr>
      </w:pPr>
    </w:p>
    <w:p>
      <w:pPr>
        <w:ind w:left="1280" w:hanging="624"/>
        <w:spacing w:after="0" w:line="287" w:lineRule="auto"/>
        <w:tabs>
          <w:tab w:leader="none" w:pos="1262" w:val="left"/>
        </w:tabs>
        <w:numPr>
          <w:ilvl w:val="0"/>
          <w:numId w:val="90"/>
        </w:numPr>
        <w:rPr>
          <w:rFonts w:ascii="Arial" w:cs="Arial" w:eastAsia="Arial" w:hAnsi="Arial"/>
          <w:sz w:val="19"/>
          <w:szCs w:val="19"/>
          <w:color w:val="auto"/>
        </w:rPr>
      </w:pPr>
      <w:r>
        <w:rPr>
          <w:rFonts w:ascii="Arial" w:cs="Arial" w:eastAsia="Arial" w:hAnsi="Arial"/>
          <w:sz w:val="19"/>
          <w:szCs w:val="19"/>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12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32.10</w:t>
      </w:r>
      <w:r>
        <w:rPr>
          <w:sz w:val="20"/>
          <w:szCs w:val="20"/>
          <w:color w:val="auto"/>
        </w:rPr>
        <w:tab/>
      </w:r>
      <w:r>
        <w:rPr>
          <w:rFonts w:ascii="Arial" w:cs="Arial" w:eastAsia="Arial" w:hAnsi="Arial"/>
          <w:sz w:val="18"/>
          <w:szCs w:val="18"/>
          <w:color w:val="auto"/>
        </w:rPr>
        <w:t>For the purposes of Article 32.4:</w:t>
      </w:r>
    </w:p>
    <w:p>
      <w:pPr>
        <w:spacing w:after="0" w:line="189" w:lineRule="exact"/>
        <w:rPr>
          <w:sz w:val="20"/>
          <w:szCs w:val="20"/>
          <w:color w:val="auto"/>
        </w:rPr>
      </w:pPr>
    </w:p>
    <w:p>
      <w:pPr>
        <w:jc w:val="both"/>
        <w:ind w:left="1280" w:hanging="624"/>
        <w:spacing w:after="0" w:line="291" w:lineRule="auto"/>
        <w:tabs>
          <w:tab w:leader="none" w:pos="126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24" w:lineRule="exact"/>
        <w:rPr>
          <w:rFonts w:ascii="Arial" w:cs="Arial" w:eastAsia="Arial" w:hAnsi="Arial"/>
          <w:sz w:val="18"/>
          <w:szCs w:val="18"/>
          <w:color w:val="auto"/>
        </w:rPr>
      </w:pPr>
    </w:p>
    <w:p>
      <w:pPr>
        <w:ind w:left="1280" w:hanging="624"/>
        <w:spacing w:after="0" w:line="260" w:lineRule="auto"/>
        <w:tabs>
          <w:tab w:leader="none" w:pos="1262" w:val="left"/>
        </w:tabs>
        <w:numPr>
          <w:ilvl w:val="1"/>
          <w:numId w:val="91"/>
        </w:numPr>
        <w:rPr>
          <w:rFonts w:ascii="Arial" w:cs="Arial" w:eastAsia="Arial" w:hAnsi="Arial"/>
          <w:sz w:val="20"/>
          <w:szCs w:val="20"/>
          <w:color w:val="auto"/>
        </w:rPr>
      </w:pPr>
      <w:r>
        <w:rPr>
          <w:rFonts w:ascii="Arial" w:cs="Arial" w:eastAsia="Arial" w:hAnsi="Arial"/>
          <w:sz w:val="20"/>
          <w:szCs w:val="20"/>
          <w:color w:val="auto"/>
        </w:rPr>
        <w:t>an interest of which a Director has no knowledge and of which it is unreasonable to expect him to have knowledge shall not be treated as an interest of his;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1"/>
          <w:numId w:val="91"/>
        </w:numPr>
        <w:rPr>
          <w:rFonts w:ascii="Arial" w:cs="Arial" w:eastAsia="Arial" w:hAnsi="Arial"/>
          <w:sz w:val="20"/>
          <w:szCs w:val="20"/>
          <w:color w:val="auto"/>
        </w:rPr>
      </w:pPr>
      <w:r>
        <w:rPr>
          <w:rFonts w:ascii="Arial" w:cs="Arial" w:eastAsia="Arial" w:hAnsi="Arial"/>
          <w:sz w:val="20"/>
          <w:szCs w:val="20"/>
          <w:color w:val="auto"/>
        </w:rPr>
        <w:t>a Director shall be deemed to have disclosed the nature and extent of an interest which consists of him being a Director, officer or employee of any undertaking in which the Company is interested.</w:t>
      </w:r>
    </w:p>
    <w:p>
      <w:pPr>
        <w:spacing w:after="0" w:line="143" w:lineRule="exact"/>
        <w:rPr>
          <w:rFonts w:ascii="Arial" w:cs="Arial" w:eastAsia="Arial" w:hAnsi="Arial"/>
          <w:sz w:val="20"/>
          <w:szCs w:val="20"/>
          <w:color w:val="auto"/>
        </w:rPr>
      </w:pPr>
    </w:p>
    <w:p>
      <w:pPr>
        <w:ind w:left="620" w:hanging="612"/>
        <w:spacing w:after="0"/>
        <w:tabs>
          <w:tab w:leader="none" w:pos="62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OF DIRECTORS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8"/>
          <w:szCs w:val="18"/>
          <w:color w:val="auto"/>
        </w:rPr>
        <w:t>Subject to the provisions of these Articles, the Board may regulate their proceedings as they think fit.</w:t>
      </w:r>
    </w:p>
    <w:p>
      <w:pPr>
        <w:spacing w:after="0" w:line="189" w:lineRule="exact"/>
        <w:rPr>
          <w:sz w:val="20"/>
          <w:szCs w:val="20"/>
          <w:color w:val="auto"/>
        </w:rPr>
      </w:pPr>
    </w:p>
    <w:p>
      <w:pPr>
        <w:jc w:val="both"/>
        <w:ind w:left="620" w:hanging="620"/>
        <w:spacing w:after="0" w:line="258" w:lineRule="auto"/>
        <w:tabs>
          <w:tab w:leader="none" w:pos="60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9"/>
          <w:szCs w:val="19"/>
          <w:color w:val="auto"/>
        </w:rPr>
        <w:t>A Director may, and the secretary at the request of a Director shall, call a meeting of the Board or a committee of the Board by giving notice to each Director. A notice of a meeting of 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152"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19"/>
          <w:szCs w:val="19"/>
          <w:color w:val="auto"/>
        </w:rPr>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or more Directors shall be entitled to a separate vote on behalf of each of his appointors in the appointors’ absence.</w:t>
      </w:r>
    </w:p>
    <w:p>
      <w:pPr>
        <w:spacing w:after="0" w:line="150"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33.4</w:t>
        <w:tab/>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6" w:right="239" w:bottom="1440" w:gutter="0" w:footer="0" w:header="0"/>
        </w:sectPr>
      </w:pPr>
    </w:p>
    <w:bookmarkStart w:id="47" w:name="page48"/>
    <w:bookmarkEnd w:id="47"/>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33.5</w:t>
      </w:r>
      <w:r>
        <w:rPr>
          <w:sz w:val="20"/>
          <w:szCs w:val="20"/>
          <w:color w:val="auto"/>
        </w:rPr>
        <w:tab/>
      </w:r>
      <w:r>
        <w:rPr>
          <w:rFonts w:ascii="Arial" w:cs="Arial" w:eastAsia="Arial" w:hAnsi="Arial"/>
          <w:sz w:val="19"/>
          <w:szCs w:val="19"/>
          <w:color w:val="auto"/>
        </w:rPr>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minutes after the time appointed for the meeting, or if the chairman or deputy chairman is not willing to preside, the Directors present may choose one of their number to be chairman of the meeting.</w:t>
      </w:r>
    </w:p>
    <w:p>
      <w:pPr>
        <w:spacing w:after="0" w:line="154"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33.6</w:t>
        <w:tab/>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166" w:lineRule="exact"/>
        <w:rPr>
          <w:sz w:val="20"/>
          <w:szCs w:val="20"/>
          <w:color w:val="auto"/>
        </w:rPr>
      </w:pPr>
    </w:p>
    <w:p>
      <w:pPr>
        <w:jc w:val="both"/>
        <w:ind w:left="620" w:hanging="620"/>
        <w:spacing w:after="0" w:line="272" w:lineRule="auto"/>
        <w:tabs>
          <w:tab w:leader="none" w:pos="600" w:val="left"/>
        </w:tabs>
        <w:rPr>
          <w:sz w:val="20"/>
          <w:szCs w:val="20"/>
          <w:color w:val="auto"/>
        </w:rPr>
      </w:pPr>
      <w:r>
        <w:rPr>
          <w:rFonts w:ascii="Arial" w:cs="Arial" w:eastAsia="Arial" w:hAnsi="Arial"/>
          <w:sz w:val="20"/>
          <w:szCs w:val="20"/>
          <w:color w:val="auto"/>
        </w:rPr>
        <w:t>33.7</w:t>
      </w:r>
      <w:r>
        <w:rPr>
          <w:sz w:val="20"/>
          <w:szCs w:val="20"/>
          <w:color w:val="auto"/>
        </w:rPr>
        <w:tab/>
      </w:r>
      <w:r>
        <w:rPr>
          <w:rFonts w:ascii="Arial" w:cs="Arial" w:eastAsia="Arial" w:hAnsi="Arial"/>
          <w:sz w:val="18"/>
          <w:szCs w:val="18"/>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 who has appointed an alternate Director, it need not also be agreed to by the alternate Director in that capacity.</w:t>
      </w:r>
    </w:p>
    <w:p>
      <w:pPr>
        <w:spacing w:after="0" w:line="144"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33.8</w:t>
      </w:r>
      <w:r>
        <w:rPr>
          <w:sz w:val="20"/>
          <w:szCs w:val="20"/>
          <w:color w:val="auto"/>
        </w:rPr>
        <w:tab/>
      </w:r>
      <w:r>
        <w:rPr>
          <w:rFonts w:ascii="Arial" w:cs="Arial" w:eastAsia="Arial" w:hAnsi="Arial"/>
          <w:sz w:val="18"/>
          <w:szCs w:val="18"/>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142" w:lineRule="exact"/>
        <w:rPr>
          <w:sz w:val="20"/>
          <w:szCs w:val="20"/>
          <w:color w:val="auto"/>
        </w:rPr>
      </w:pPr>
    </w:p>
    <w:p>
      <w:pPr>
        <w:jc w:val="both"/>
        <w:ind w:left="620" w:hanging="620"/>
        <w:spacing w:after="0" w:line="282" w:lineRule="auto"/>
        <w:tabs>
          <w:tab w:leader="none" w:pos="600" w:val="left"/>
        </w:tabs>
        <w:rPr>
          <w:sz w:val="20"/>
          <w:szCs w:val="20"/>
          <w:color w:val="auto"/>
        </w:rPr>
      </w:pPr>
      <w:r>
        <w:rPr>
          <w:rFonts w:ascii="Arial" w:cs="Arial" w:eastAsia="Arial" w:hAnsi="Arial"/>
          <w:sz w:val="20"/>
          <w:szCs w:val="20"/>
          <w:color w:val="auto"/>
        </w:rPr>
        <w:t>33.9</w:t>
      </w:r>
      <w:r>
        <w:rPr>
          <w:sz w:val="20"/>
          <w:szCs w:val="20"/>
          <w:color w:val="auto"/>
        </w:rPr>
        <w:tab/>
      </w:r>
      <w:r>
        <w:rPr>
          <w:rFonts w:ascii="Arial" w:cs="Arial" w:eastAsia="Arial" w:hAnsi="Arial"/>
          <w:sz w:val="18"/>
          <w:szCs w:val="18"/>
          <w:color w:val="auto"/>
        </w:rPr>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135" w:lineRule="exact"/>
        <w:rPr>
          <w:sz w:val="20"/>
          <w:szCs w:val="20"/>
          <w:color w:val="auto"/>
        </w:rPr>
      </w:pPr>
    </w:p>
    <w:p>
      <w:pPr>
        <w:ind w:left="1280" w:hanging="624"/>
        <w:spacing w:after="0" w:line="260" w:lineRule="auto"/>
        <w:tabs>
          <w:tab w:leader="none" w:pos="1262"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giving of a guarantee, security or indemnity in respect of money lent to, or an obligation incurred by him at the request of, or for the benefit of, the Company or any of its subsidiary undertakings;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6" w:right="239" w:bottom="1440" w:gutter="0" w:footer="0" w:header="0"/>
        </w:sectPr>
      </w:pPr>
    </w:p>
    <w:bookmarkStart w:id="48" w:name="page49"/>
    <w:bookmarkEnd w:id="48"/>
    <w:p>
      <w:pPr>
        <w:jc w:val="both"/>
        <w:ind w:left="1280" w:hanging="624"/>
        <w:spacing w:after="0" w:line="250" w:lineRule="auto"/>
        <w:tabs>
          <w:tab w:leader="none" w:pos="12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59"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164" w:lineRule="exact"/>
        <w:rPr>
          <w:rFonts w:ascii="Arial" w:cs="Arial" w:eastAsia="Arial" w:hAnsi="Arial"/>
          <w:sz w:val="20"/>
          <w:szCs w:val="20"/>
          <w:color w:val="auto"/>
        </w:rPr>
      </w:pPr>
    </w:p>
    <w:p>
      <w:pPr>
        <w:jc w:val="both"/>
        <w:ind w:left="1280" w:hanging="624"/>
        <w:spacing w:after="0" w:line="269" w:lineRule="auto"/>
        <w:tabs>
          <w:tab w:leader="none" w:pos="1262"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143" w:lineRule="exact"/>
        <w:rPr>
          <w:rFonts w:ascii="Arial" w:cs="Arial" w:eastAsia="Arial" w:hAnsi="Arial"/>
          <w:sz w:val="19"/>
          <w:szCs w:val="19"/>
          <w:color w:val="auto"/>
        </w:rPr>
      </w:pPr>
    </w:p>
    <w:p>
      <w:pPr>
        <w:jc w:val="both"/>
        <w:ind w:left="1280" w:hanging="624"/>
        <w:spacing w:after="0" w:line="274" w:lineRule="auto"/>
        <w:tabs>
          <w:tab w:leader="none" w:pos="12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142" w:lineRule="exact"/>
        <w:rPr>
          <w:rFonts w:ascii="Arial" w:cs="Arial" w:eastAsia="Arial" w:hAnsi="Arial"/>
          <w:sz w:val="18"/>
          <w:szCs w:val="18"/>
          <w:color w:val="auto"/>
        </w:rPr>
      </w:pPr>
    </w:p>
    <w:p>
      <w:pPr>
        <w:jc w:val="both"/>
        <w:ind w:left="1280" w:hanging="624"/>
        <w:spacing w:after="0" w:line="243" w:lineRule="auto"/>
        <w:tabs>
          <w:tab w:leader="none" w:pos="12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contract, arrangement, transaction or proposal for the benefit of employees and directors and/or former employees and directors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16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50"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33.10</w:t>
        <w:tab/>
        <w:t>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168"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33.11</w:t>
      </w:r>
      <w:r>
        <w:rPr>
          <w:sz w:val="20"/>
          <w:szCs w:val="20"/>
          <w:color w:val="auto"/>
        </w:rPr>
        <w:tab/>
      </w:r>
      <w:r>
        <w:rPr>
          <w:rFonts w:ascii="Arial" w:cs="Arial" w:eastAsia="Arial" w:hAnsi="Arial"/>
          <w:sz w:val="19"/>
          <w:szCs w:val="19"/>
          <w:color w:val="auto"/>
        </w:rPr>
        <w:t>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6" w:right="239" w:bottom="1440" w:gutter="0" w:footer="0" w:header="0"/>
        </w:sectPr>
      </w:pPr>
    </w:p>
    <w:bookmarkStart w:id="49" w:name="page50"/>
    <w:bookmarkEnd w:id="49"/>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33.12</w:t>
        <w:tab/>
        <w:t>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159" w:lineRule="exact"/>
        <w:rPr>
          <w:sz w:val="20"/>
          <w:szCs w:val="20"/>
          <w:color w:val="auto"/>
        </w:rPr>
      </w:pPr>
    </w:p>
    <w:p>
      <w:pPr>
        <w:ind w:left="620" w:hanging="612"/>
        <w:spacing w:after="0"/>
        <w:tabs>
          <w:tab w:leader="none" w:pos="62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16"/>
          <w:szCs w:val="16"/>
          <w:color w:val="auto"/>
        </w:rPr>
        <w:t>The Directors shall cause minutes to be made in books kept for the purpose:</w:t>
      </w:r>
    </w:p>
    <w:p>
      <w:pPr>
        <w:spacing w:after="0" w:line="189" w:lineRule="exact"/>
        <w:rPr>
          <w:sz w:val="20"/>
          <w:szCs w:val="20"/>
          <w:color w:val="auto"/>
        </w:rPr>
      </w:pPr>
    </w:p>
    <w:p>
      <w:pPr>
        <w:ind w:left="1260" w:hanging="604"/>
        <w:spacing w:after="0"/>
        <w:tabs>
          <w:tab w:leader="none" w:pos="12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of all appointments of officers made by the Directors; and</w:t>
      </w:r>
    </w:p>
    <w:p>
      <w:pPr>
        <w:spacing w:after="0" w:line="188" w:lineRule="exact"/>
        <w:rPr>
          <w:rFonts w:ascii="Arial" w:cs="Arial" w:eastAsia="Arial" w:hAnsi="Arial"/>
          <w:sz w:val="20"/>
          <w:szCs w:val="20"/>
          <w:color w:val="auto"/>
        </w:rPr>
      </w:pPr>
    </w:p>
    <w:p>
      <w:pPr>
        <w:ind w:left="1280" w:hanging="624"/>
        <w:spacing w:after="0" w:line="287" w:lineRule="auto"/>
        <w:tabs>
          <w:tab w:leader="none" w:pos="1262" w:val="left"/>
        </w:tabs>
        <w:numPr>
          <w:ilvl w:val="0"/>
          <w:numId w:val="96"/>
        </w:numPr>
        <w:rPr>
          <w:rFonts w:ascii="Arial" w:cs="Arial" w:eastAsia="Arial" w:hAnsi="Arial"/>
          <w:sz w:val="19"/>
          <w:szCs w:val="19"/>
          <w:color w:val="auto"/>
        </w:rPr>
      </w:pPr>
      <w:r>
        <w:rPr>
          <w:rFonts w:ascii="Arial" w:cs="Arial" w:eastAsia="Arial" w:hAnsi="Arial"/>
          <w:sz w:val="19"/>
          <w:szCs w:val="19"/>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126"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34.2</w:t>
        <w:tab/>
        <w:t>Any such minutes, if purporting to be signed by the chairman of the meeting to which they relate or of the meeting at which they are read, shall be sufficient evidence without any further proof of the facts therein stated.</w:t>
      </w:r>
    </w:p>
    <w:p>
      <w:pPr>
        <w:spacing w:after="0" w:line="144" w:lineRule="exact"/>
        <w:rPr>
          <w:sz w:val="20"/>
          <w:szCs w:val="20"/>
          <w:color w:val="auto"/>
        </w:rPr>
      </w:pPr>
    </w:p>
    <w:p>
      <w:pPr>
        <w:ind w:left="620" w:hanging="612"/>
        <w:spacing w:after="0"/>
        <w:tabs>
          <w:tab w:leader="none" w:pos="62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SECRETARY</w:t>
      </w:r>
    </w:p>
    <w:p>
      <w:pPr>
        <w:spacing w:after="0" w:line="194" w:lineRule="exact"/>
        <w:rPr>
          <w:rFonts w:ascii="Arial" w:cs="Arial" w:eastAsia="Arial" w:hAnsi="Arial"/>
          <w:sz w:val="20"/>
          <w:szCs w:val="20"/>
          <w:b w:val="1"/>
          <w:bCs w:val="1"/>
          <w:color w:val="auto"/>
        </w:rPr>
      </w:pPr>
    </w:p>
    <w:p>
      <w:pPr>
        <w:jc w:val="both"/>
        <w:ind w:left="6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153" w:lineRule="exact"/>
        <w:rPr>
          <w:rFonts w:ascii="Arial" w:cs="Arial" w:eastAsia="Arial" w:hAnsi="Arial"/>
          <w:sz w:val="20"/>
          <w:szCs w:val="20"/>
          <w:b w:val="1"/>
          <w:bCs w:val="1"/>
          <w:color w:val="auto"/>
        </w:rPr>
      </w:pPr>
    </w:p>
    <w:p>
      <w:pPr>
        <w:ind w:left="620" w:hanging="612"/>
        <w:spacing w:after="0"/>
        <w:tabs>
          <w:tab w:leader="none" w:pos="62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THE SEAL</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36.1</w:t>
        <w:tab/>
        <w:t>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59" w:lineRule="exact"/>
        <w:rPr>
          <w:sz w:val="20"/>
          <w:szCs w:val="20"/>
          <w:color w:val="auto"/>
        </w:rPr>
      </w:pPr>
    </w:p>
    <w:p>
      <w:pPr>
        <w:jc w:val="both"/>
        <w:ind w:left="1280" w:hanging="624"/>
        <w:spacing w:after="0" w:line="250" w:lineRule="auto"/>
        <w:tabs>
          <w:tab w:leader="none" w:pos="1262" w:val="left"/>
        </w:tabs>
        <w:numPr>
          <w:ilvl w:val="0"/>
          <w:numId w:val="98"/>
        </w:numPr>
        <w:rPr>
          <w:rFonts w:ascii="Arial" w:cs="Arial" w:eastAsia="Arial" w:hAnsi="Arial"/>
          <w:sz w:val="20"/>
          <w:szCs w:val="20"/>
          <w:color w:val="auto"/>
        </w:rPr>
      </w:pPr>
      <w:r>
        <w:rPr>
          <w:rFonts w:ascii="Arial" w:cs="Arial" w:eastAsia="Arial" w:hAnsi="Arial"/>
          <w:sz w:val="20"/>
          <w:szCs w:val="20"/>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5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103"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9"/>
          <w:szCs w:val="19"/>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36.3</w:t>
      </w:r>
      <w:r>
        <w:rPr>
          <w:sz w:val="20"/>
          <w:szCs w:val="20"/>
          <w:color w:val="auto"/>
        </w:rPr>
        <w:tab/>
      </w:r>
      <w:r>
        <w:rPr>
          <w:rFonts w:ascii="Arial" w:cs="Arial" w:eastAsia="Arial" w:hAnsi="Arial"/>
          <w:sz w:val="16"/>
          <w:szCs w:val="16"/>
          <w:color w:val="auto"/>
        </w:rPr>
        <w:t>Subject to the provisions of the Companies Act, the Company may have an official seal for use in any place.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6" w:right="239" w:bottom="1440" w:gutter="0" w:footer="0" w:header="0"/>
        </w:sectPr>
      </w:pPr>
    </w:p>
    <w:bookmarkStart w:id="50" w:name="page51"/>
    <w:bookmarkEnd w:id="50"/>
    <w:p>
      <w:pPr>
        <w:ind w:left="620" w:hanging="612"/>
        <w:spacing w:after="0"/>
        <w:tabs>
          <w:tab w:leader="none" w:pos="62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REGISTERS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37.1</w:t>
        <w:tab/>
        <w:t>Subject to the provisions of the Companies Act, the Company may keep an overseas or local register in any place, and the Board may make, amend and revoke any regulations it thinks fit about the keeping of that register.</w:t>
      </w:r>
    </w:p>
    <w:p>
      <w:pPr>
        <w:spacing w:after="0" w:line="150" w:lineRule="exact"/>
        <w:rPr>
          <w:sz w:val="20"/>
          <w:szCs w:val="20"/>
          <w:color w:val="auto"/>
        </w:rPr>
      </w:pPr>
    </w:p>
    <w:p>
      <w:pPr>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37.2</w:t>
        <w:tab/>
        <w:t>Any Director or the secretary or any other person appointed by the Board for the purpose shall have power to authenticate and certify as true copies of and extracts from:</w:t>
      </w:r>
    </w:p>
    <w:p>
      <w:pPr>
        <w:spacing w:after="0" w:line="150" w:lineRule="exact"/>
        <w:rPr>
          <w:sz w:val="20"/>
          <w:szCs w:val="20"/>
          <w:color w:val="auto"/>
        </w:rPr>
      </w:pPr>
    </w:p>
    <w:p>
      <w:pPr>
        <w:ind w:left="1260" w:hanging="604"/>
        <w:spacing w:after="0"/>
        <w:tabs>
          <w:tab w:leader="none" w:pos="12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document comprising or affecting the constitution of the Company, whether in hard copy form or electronic form;</w:t>
      </w:r>
    </w:p>
    <w:p>
      <w:pPr>
        <w:spacing w:after="0" w:line="200" w:lineRule="exact"/>
        <w:rPr>
          <w:rFonts w:ascii="Arial" w:cs="Arial" w:eastAsia="Arial" w:hAnsi="Arial"/>
          <w:sz w:val="19"/>
          <w:szCs w:val="19"/>
          <w:color w:val="auto"/>
        </w:rPr>
      </w:pPr>
    </w:p>
    <w:p>
      <w:pPr>
        <w:ind w:left="1280" w:hanging="624"/>
        <w:spacing w:after="0" w:line="260" w:lineRule="auto"/>
        <w:tabs>
          <w:tab w:leader="none" w:pos="126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resolution passed by the Company, the holders of any class of shares in the capital of the Company, the Board or any committee of the Board, whether in hard copy form or electronic form;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book, record and document relating to the business of the Company, whether in hard copy form or electronic form (including without limitation the accounts).</w:t>
      </w:r>
    </w:p>
    <w:p>
      <w:pPr>
        <w:spacing w:after="0" w:line="150"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162" w:lineRule="exact"/>
        <w:rPr>
          <w:sz w:val="20"/>
          <w:szCs w:val="20"/>
          <w:color w:val="auto"/>
        </w:rPr>
      </w:pPr>
    </w:p>
    <w:p>
      <w:pPr>
        <w:ind w:left="620" w:hanging="612"/>
        <w:spacing w:after="0"/>
        <w:tabs>
          <w:tab w:leader="none" w:pos="62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DIVIDENDS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38.1</w:t>
      </w:r>
      <w:r>
        <w:rPr>
          <w:sz w:val="20"/>
          <w:szCs w:val="20"/>
          <w:color w:val="auto"/>
        </w:rPr>
        <w:tab/>
      </w:r>
      <w:r>
        <w:rPr>
          <w:rFonts w:ascii="Arial" w:cs="Arial" w:eastAsia="Arial" w:hAnsi="Arial"/>
          <w:sz w:val="16"/>
          <w:szCs w:val="16"/>
          <w:color w:val="auto"/>
        </w:rPr>
        <w:t>The rights as regarding income attaching to the Ordinary Shares shall be as set out in this Article.</w:t>
      </w:r>
    </w:p>
    <w:p>
      <w:pPr>
        <w:spacing w:after="0" w:line="18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38.2</w:t>
        <w:tab/>
        <w:t>Each Ordinary Share shall be entitled to receive all of the distributable profits available and declared by the Directors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16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38.3</w:t>
        <w:tab/>
        <w:t>Subject to the provisions of the Companies Act, the Company may by ordinary resolution declare dividends in accordance with the respective rights of the members, but no dividend shall exceed the amount recommended by the Directors.</w:t>
      </w:r>
    </w:p>
    <w:p>
      <w:pPr>
        <w:spacing w:after="0" w:line="150" w:lineRule="exact"/>
        <w:rPr>
          <w:sz w:val="20"/>
          <w:szCs w:val="20"/>
          <w:color w:val="auto"/>
        </w:rPr>
      </w:pPr>
    </w:p>
    <w:p>
      <w:pPr>
        <w:jc w:val="both"/>
        <w:ind w:left="620" w:hanging="620"/>
        <w:spacing w:after="0" w:line="282" w:lineRule="auto"/>
        <w:tabs>
          <w:tab w:leader="none" w:pos="600" w:val="left"/>
        </w:tabs>
        <w:rPr>
          <w:sz w:val="20"/>
          <w:szCs w:val="20"/>
          <w:color w:val="auto"/>
        </w:rPr>
      </w:pPr>
      <w:r>
        <w:rPr>
          <w:rFonts w:ascii="Arial" w:cs="Arial" w:eastAsia="Arial" w:hAnsi="Arial"/>
          <w:sz w:val="20"/>
          <w:szCs w:val="20"/>
          <w:color w:val="auto"/>
        </w:rPr>
        <w:t>38.4</w:t>
      </w:r>
      <w:r>
        <w:rPr>
          <w:sz w:val="20"/>
          <w:szCs w:val="20"/>
          <w:color w:val="auto"/>
        </w:rPr>
        <w:tab/>
      </w:r>
      <w:r>
        <w:rPr>
          <w:rFonts w:ascii="Arial" w:cs="Arial" w:eastAsia="Arial" w:hAnsi="Arial"/>
          <w:sz w:val="18"/>
          <w:szCs w:val="18"/>
          <w:color w:val="auto"/>
        </w:rPr>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135" w:lineRule="exact"/>
        <w:rPr>
          <w:sz w:val="20"/>
          <w:szCs w:val="20"/>
          <w:color w:val="auto"/>
        </w:rPr>
      </w:pPr>
    </w:p>
    <w:p>
      <w:pPr>
        <w:jc w:val="both"/>
        <w:ind w:left="1280" w:hanging="624"/>
        <w:spacing w:after="0" w:line="250" w:lineRule="auto"/>
        <w:tabs>
          <w:tab w:leader="none" w:pos="126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0" w:right="239" w:bottom="1440" w:gutter="0" w:footer="0" w:header="0"/>
        </w:sectPr>
      </w:pPr>
    </w:p>
    <w:bookmarkStart w:id="51" w:name="page52"/>
    <w:bookmarkEnd w:id="51"/>
    <w:p>
      <w:pPr>
        <w:ind w:left="1280" w:hanging="624"/>
        <w:spacing w:after="0" w:line="260" w:lineRule="auto"/>
        <w:tabs>
          <w:tab w:leader="none" w:pos="126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pay at intervals settled by them any dividend payable at a fixed rate if it appears to them that the profits available for distribution justify the payment;</w:t>
      </w:r>
    </w:p>
    <w:p>
      <w:pPr>
        <w:spacing w:after="0" w:line="150" w:lineRule="exact"/>
        <w:rPr>
          <w:sz w:val="20"/>
          <w:szCs w:val="20"/>
          <w:color w:val="auto"/>
        </w:rPr>
      </w:pPr>
    </w:p>
    <w:p>
      <w:pPr>
        <w:jc w:val="both"/>
        <w:ind w:left="620"/>
        <w:spacing w:after="0" w:line="259" w:lineRule="auto"/>
        <w:rPr>
          <w:sz w:val="20"/>
          <w:szCs w:val="20"/>
          <w:color w:val="auto"/>
        </w:rPr>
      </w:pPr>
      <w:r>
        <w:rPr>
          <w:rFonts w:ascii="Arial" w:cs="Arial" w:eastAsia="Arial" w:hAnsi="Arial"/>
          <w:sz w:val="19"/>
          <w:szCs w:val="19"/>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52" w:lineRule="exact"/>
        <w:rPr>
          <w:sz w:val="20"/>
          <w:szCs w:val="20"/>
          <w:color w:val="auto"/>
        </w:rPr>
      </w:pPr>
    </w:p>
    <w:p>
      <w:pPr>
        <w:jc w:val="both"/>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38.5</w:t>
        <w:tab/>
        <w:t>Dividends may be declared and paid in any currency or currencies that the Board shall determine. The Board may also determine the exchange rate and the relevant date for determining the value of any dividend in any currency.</w:t>
      </w:r>
    </w:p>
    <w:p>
      <w:pPr>
        <w:spacing w:after="0" w:line="150" w:lineRule="exact"/>
        <w:rPr>
          <w:sz w:val="20"/>
          <w:szCs w:val="20"/>
          <w:color w:val="auto"/>
        </w:rPr>
      </w:pPr>
    </w:p>
    <w:p>
      <w:pPr>
        <w:jc w:val="both"/>
        <w:ind w:left="620" w:hanging="620"/>
        <w:spacing w:after="0" w:line="276" w:lineRule="auto"/>
        <w:tabs>
          <w:tab w:leader="none" w:pos="600" w:val="left"/>
        </w:tabs>
        <w:rPr>
          <w:sz w:val="20"/>
          <w:szCs w:val="20"/>
          <w:color w:val="auto"/>
        </w:rPr>
      </w:pPr>
      <w:r>
        <w:rPr>
          <w:rFonts w:ascii="Arial" w:cs="Arial" w:eastAsia="Arial" w:hAnsi="Arial"/>
          <w:sz w:val="20"/>
          <w:szCs w:val="20"/>
          <w:color w:val="auto"/>
        </w:rPr>
        <w:t>38.6</w:t>
      </w:r>
      <w:r>
        <w:rPr>
          <w:sz w:val="20"/>
          <w:szCs w:val="20"/>
          <w:color w:val="auto"/>
        </w:rPr>
        <w:tab/>
      </w:r>
      <w:r>
        <w:rPr>
          <w:rFonts w:ascii="Arial" w:cs="Arial" w:eastAsia="Arial" w:hAnsi="Arial"/>
          <w:sz w:val="18"/>
          <w:szCs w:val="18"/>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138"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38.7</w:t>
        <w:tab/>
        <w:t>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6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38.8</w:t>
        <w:tab/>
        <w:t>Unless otherwise recommended by two-thirds of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38.9</w:t>
      </w:r>
      <w:r>
        <w:rPr>
          <w:sz w:val="20"/>
          <w:szCs w:val="20"/>
          <w:color w:val="auto"/>
        </w:rPr>
        <w:tab/>
      </w:r>
      <w:r>
        <w:rPr>
          <w:rFonts w:ascii="Arial" w:cs="Arial" w:eastAsia="Arial" w:hAnsi="Arial"/>
          <w:sz w:val="16"/>
          <w:szCs w:val="16"/>
          <w:color w:val="auto"/>
        </w:rPr>
        <w:t>Any dividend or other money payable in respect of a share may be paid:</w:t>
      </w:r>
    </w:p>
    <w:p>
      <w:pPr>
        <w:spacing w:after="0" w:line="189" w:lineRule="exact"/>
        <w:rPr>
          <w:sz w:val="20"/>
          <w:szCs w:val="20"/>
          <w:color w:val="auto"/>
        </w:rPr>
      </w:pPr>
    </w:p>
    <w:p>
      <w:pPr>
        <w:ind w:left="1260" w:hanging="604"/>
        <w:spacing w:after="0"/>
        <w:tabs>
          <w:tab w:leader="none" w:pos="12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 cash;</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cheque or warrant made payable to or to the order of the holder or person entitled to payment;</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direct debit, bank or other funds transfer system to the holder or person entitled to payment or, if practicable, to a person designated by notice to the Company by the holder or person entitled to payment; 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any other method approved by the Board and agreed (in such form as the Company thinks appropriate) by the holder or person entitled to payment.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6" w:right="239" w:bottom="1440" w:gutter="0" w:footer="0" w:header="0"/>
        </w:sectPr>
      </w:pPr>
    </w:p>
    <w:bookmarkStart w:id="52" w:name="page53"/>
    <w:bookmarkEnd w:id="52"/>
    <w:p>
      <w:pPr>
        <w:jc w:val="both"/>
        <w:ind w:left="620"/>
        <w:spacing w:after="0" w:line="246" w:lineRule="auto"/>
        <w:rPr>
          <w:sz w:val="20"/>
          <w:szCs w:val="20"/>
          <w:color w:val="auto"/>
        </w:rPr>
      </w:pPr>
      <w:r>
        <w:rPr>
          <w:rFonts w:ascii="Arial" w:cs="Arial" w:eastAsia="Arial" w:hAnsi="Arial"/>
          <w:sz w:val="20"/>
          <w:szCs w:val="20"/>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38.10</w:t>
      </w:r>
      <w:r>
        <w:rPr>
          <w:sz w:val="20"/>
          <w:szCs w:val="20"/>
          <w:color w:val="auto"/>
        </w:rPr>
        <w:tab/>
      </w:r>
      <w:r>
        <w:rPr>
          <w:rFonts w:ascii="Arial" w:cs="Arial" w:eastAsia="Arial" w:hAnsi="Arial"/>
          <w:sz w:val="16"/>
          <w:szCs w:val="16"/>
          <w:color w:val="auto"/>
        </w:rPr>
        <w:t>If two or more persons are registered as joint holders of any share, or are entitled by transmission jointly to a share, the Company may:</w:t>
      </w:r>
    </w:p>
    <w:p>
      <w:pPr>
        <w:spacing w:after="0" w:line="189" w:lineRule="exact"/>
        <w:rPr>
          <w:sz w:val="20"/>
          <w:szCs w:val="20"/>
          <w:color w:val="auto"/>
        </w:rPr>
      </w:pPr>
    </w:p>
    <w:p>
      <w:pPr>
        <w:ind w:left="1280" w:hanging="624"/>
        <w:spacing w:after="0" w:line="260" w:lineRule="auto"/>
        <w:tabs>
          <w:tab w:leader="none" w:pos="12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pay any dividend or other moneys payable in respect of the share to any one of them and any one of them may give effectual receipt for the payment;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for the purpose of Article 38.9, rely in relation to the share on the written direction, designation or agreement of, or notice to the Company by, any one of them.</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38.11</w:t>
      </w:r>
      <w:r>
        <w:rPr>
          <w:sz w:val="20"/>
          <w:szCs w:val="20"/>
          <w:color w:val="auto"/>
        </w:rPr>
        <w:tab/>
      </w:r>
      <w:r>
        <w:rPr>
          <w:rFonts w:ascii="Arial" w:cs="Arial" w:eastAsia="Arial" w:hAnsi="Arial"/>
          <w:sz w:val="16"/>
          <w:szCs w:val="16"/>
          <w:color w:val="auto"/>
        </w:rPr>
        <w:t>A cheque or warrant may be sent by post:</w:t>
      </w:r>
    </w:p>
    <w:p>
      <w:pPr>
        <w:spacing w:after="0" w:line="189" w:lineRule="exact"/>
        <w:rPr>
          <w:sz w:val="20"/>
          <w:szCs w:val="20"/>
          <w:color w:val="auto"/>
        </w:rPr>
      </w:pPr>
    </w:p>
    <w:p>
      <w:pPr>
        <w:ind w:left="1260" w:hanging="604"/>
        <w:spacing w:after="0"/>
        <w:tabs>
          <w:tab w:leader="none" w:pos="12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where a share is held by a sole holder, to the registered address of the holder of the share;</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two or more persons are the holders of the share, to the registered address of the person who is first named in the register of members;</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any case to such person and to such address as the person entitled to payment may direct by notice to the Company.</w:t>
      </w:r>
    </w:p>
    <w:p>
      <w:pPr>
        <w:spacing w:after="0" w:line="20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38.12</w:t>
      </w:r>
      <w:r>
        <w:rPr>
          <w:sz w:val="20"/>
          <w:szCs w:val="20"/>
          <w:color w:val="auto"/>
        </w:rPr>
        <w:tab/>
      </w:r>
      <w:r>
        <w:rPr>
          <w:rFonts w:ascii="Arial" w:cs="Arial" w:eastAsia="Arial" w:hAnsi="Arial"/>
          <w:sz w:val="19"/>
          <w:szCs w:val="19"/>
          <w:color w:val="auto"/>
        </w:rPr>
        <w:t>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38.9.</w:t>
      </w:r>
    </w:p>
    <w:p>
      <w:pPr>
        <w:spacing w:after="0" w:line="154"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38.13</w:t>
        <w:tab/>
        <w:t>The Company may cease to send any cheque or warrant (or to use any other method of payment) for any dividend payable in respect of a share if:</w:t>
      </w:r>
    </w:p>
    <w:p>
      <w:pPr>
        <w:spacing w:after="0" w:line="150" w:lineRule="exact"/>
        <w:rPr>
          <w:sz w:val="20"/>
          <w:szCs w:val="20"/>
          <w:color w:val="auto"/>
        </w:rPr>
      </w:pPr>
    </w:p>
    <w:p>
      <w:pPr>
        <w:ind w:left="1280" w:hanging="624"/>
        <w:spacing w:after="0" w:line="260" w:lineRule="auto"/>
        <w:tabs>
          <w:tab w:leader="none" w:pos="126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respect of at least two consecutive dividends payable on that share the cheque or warrant has been returned undelivered or remains uncashed (or that other method of payment has failed);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following one such occasion, reasonable enquiries have failed to establish any new address of the holder;</w:t>
      </w:r>
    </w:p>
    <w:p>
      <w:pPr>
        <w:spacing w:after="0" w:line="189"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59" w:lineRule="exact"/>
        <w:rPr>
          <w:sz w:val="20"/>
          <w:szCs w:val="20"/>
          <w:color w:val="auto"/>
        </w:rPr>
      </w:pPr>
    </w:p>
    <w:p>
      <w:pPr>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38.14</w:t>
        <w:tab/>
        <w:t>The Board may deduct from any dividend or other moneys payable to any member in respect of a share any moneys presently payable by him to the Company in respect of that share. Where 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6" w:right="239" w:bottom="1440" w:gutter="0" w:footer="0" w:header="0"/>
        </w:sectPr>
      </w:pPr>
    </w:p>
    <w:bookmarkStart w:id="53" w:name="page54"/>
    <w:bookmarkEnd w:id="53"/>
    <w:p>
      <w:pPr>
        <w:ind w:left="620"/>
        <w:spacing w:after="0" w:line="289" w:lineRule="auto"/>
        <w:rPr>
          <w:sz w:val="20"/>
          <w:szCs w:val="20"/>
          <w:color w:val="auto"/>
        </w:rPr>
      </w:pPr>
      <w:r>
        <w:rPr>
          <w:rFonts w:ascii="Arial" w:cs="Arial" w:eastAsia="Arial" w:hAnsi="Arial"/>
          <w:sz w:val="20"/>
          <w:szCs w:val="20"/>
          <w:color w:val="auto"/>
        </w:rPr>
        <w:t>person is entitled by transmission to a share, the Board may retain any dividend payable in respect of that share until that person (or that person’s transferee) becomes the holder of that share.</w:t>
      </w:r>
    </w:p>
    <w:p>
      <w:pPr>
        <w:spacing w:after="0" w:line="13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38.15</w:t>
        <w:tab/>
        <w:t>No dividend or other money payable in respect of a share shall bear interest against the Company, unless otherwise provided by the rights attached to the share.</w:t>
      </w:r>
    </w:p>
    <w:p>
      <w:pPr>
        <w:spacing w:after="0" w:line="150"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38.16</w:t>
        <w:tab/>
        <w:t>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159" w:lineRule="exact"/>
        <w:rPr>
          <w:sz w:val="20"/>
          <w:szCs w:val="20"/>
          <w:color w:val="auto"/>
        </w:rPr>
      </w:pPr>
    </w:p>
    <w:p>
      <w:pPr>
        <w:ind w:left="620" w:hanging="612"/>
        <w:spacing w:after="0"/>
        <w:tabs>
          <w:tab w:leader="none" w:pos="62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SCRIP DIVIDENDS</w:t>
      </w:r>
    </w:p>
    <w:p>
      <w:pPr>
        <w:spacing w:after="0" w:line="195"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0"/>
          <w:szCs w:val="20"/>
          <w:color w:val="auto"/>
        </w:rPr>
        <w:t>39.1</w:t>
      </w:r>
      <w:r>
        <w:rPr>
          <w:sz w:val="20"/>
          <w:szCs w:val="20"/>
          <w:color w:val="auto"/>
        </w:rPr>
        <w:tab/>
      </w:r>
      <w:r>
        <w:rPr>
          <w:rFonts w:ascii="Arial" w:cs="Arial" w:eastAsia="Arial" w:hAnsi="Arial"/>
          <w:sz w:val="19"/>
          <w:szCs w:val="19"/>
          <w:color w:val="auto"/>
        </w:rPr>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126" w:lineRule="exact"/>
        <w:rPr>
          <w:sz w:val="20"/>
          <w:szCs w:val="20"/>
          <w:color w:val="auto"/>
        </w:rPr>
      </w:pPr>
    </w:p>
    <w:p>
      <w:pPr>
        <w:jc w:val="both"/>
        <w:ind w:left="1280" w:hanging="624"/>
        <w:spacing w:after="0" w:line="291" w:lineRule="auto"/>
        <w:tabs>
          <w:tab w:leader="none" w:pos="12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spacing w:after="0" w:line="124" w:lineRule="exact"/>
        <w:rPr>
          <w:rFonts w:ascii="Arial" w:cs="Arial" w:eastAsia="Arial" w:hAnsi="Arial"/>
          <w:sz w:val="18"/>
          <w:szCs w:val="18"/>
          <w:color w:val="auto"/>
        </w:rPr>
      </w:pPr>
    </w:p>
    <w:p>
      <w:pPr>
        <w:jc w:val="both"/>
        <w:ind w:left="1920" w:right="20" w:hanging="642"/>
        <w:spacing w:after="0" w:line="282" w:lineRule="auto"/>
        <w:tabs>
          <w:tab w:leader="none" w:pos="19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equal to the average quotation for the relevant shares in the capital of the Company, that is, the average of the closing prices for those shares on the NASDAQ, or the London Stock Exchange or other exchange or quotation service on which the Company’s shares are listed or quoted as derived from such source as the Board may deem appropriate, on the day on which such shares are first quoted ex the relevant dividend and the four subsequent business days; or</w:t>
      </w:r>
    </w:p>
    <w:p>
      <w:pPr>
        <w:spacing w:after="0" w:line="134" w:lineRule="exact"/>
        <w:rPr>
          <w:rFonts w:ascii="Arial" w:cs="Arial" w:eastAsia="Arial" w:hAnsi="Arial"/>
          <w:sz w:val="18"/>
          <w:szCs w:val="18"/>
          <w:color w:val="auto"/>
        </w:rPr>
      </w:pPr>
    </w:p>
    <w:p>
      <w:pPr>
        <w:ind w:left="1920" w:hanging="642"/>
        <w:spacing w:after="0"/>
        <w:tabs>
          <w:tab w:leader="none" w:pos="192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calculated in any other manner the Board considers fit;</w:t>
      </w:r>
    </w:p>
    <w:p>
      <w:pPr>
        <w:spacing w:after="0" w:line="189"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but shall never be less than the par value of the new share. A certificate or report by the auditors as to the value of a new share in respect of any dividend shall be conclusive evidence of that value.</w:t>
      </w:r>
    </w:p>
    <w:p>
      <w:pPr>
        <w:spacing w:after="0" w:line="150" w:lineRule="exact"/>
        <w:rPr>
          <w:sz w:val="20"/>
          <w:szCs w:val="20"/>
          <w:color w:val="auto"/>
        </w:rPr>
      </w:pPr>
    </w:p>
    <w:p>
      <w:pPr>
        <w:ind w:left="1260" w:hanging="604"/>
        <w:spacing w:after="0"/>
        <w:tabs>
          <w:tab w:leader="none" w:pos="12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Each holder of shares shall only be entitled to new Ordinary Shares.</w:t>
      </w:r>
    </w:p>
    <w:p>
      <w:pPr>
        <w:spacing w:after="0" w:line="188" w:lineRule="exact"/>
        <w:rPr>
          <w:rFonts w:ascii="Arial" w:cs="Arial" w:eastAsia="Arial" w:hAnsi="Arial"/>
          <w:sz w:val="20"/>
          <w:szCs w:val="20"/>
          <w:color w:val="auto"/>
        </w:rPr>
      </w:pPr>
    </w:p>
    <w:p>
      <w:pPr>
        <w:jc w:val="both"/>
        <w:ind w:left="1280" w:hanging="624"/>
        <w:spacing w:after="0" w:line="260" w:lineRule="auto"/>
        <w:tabs>
          <w:tab w:leader="none" w:pos="126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153" w:lineRule="exact"/>
        <w:rPr>
          <w:rFonts w:ascii="Arial" w:cs="Arial" w:eastAsia="Arial" w:hAnsi="Arial"/>
          <w:sz w:val="19"/>
          <w:szCs w:val="19"/>
          <w:color w:val="auto"/>
        </w:rPr>
      </w:pPr>
    </w:p>
    <w:p>
      <w:pPr>
        <w:ind w:left="1280" w:hanging="624"/>
        <w:spacing w:after="0" w:line="260" w:lineRule="auto"/>
        <w:tabs>
          <w:tab w:leader="none" w:pos="126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4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79" w:right="239" w:bottom="1440" w:gutter="0" w:footer="0" w:header="0"/>
        </w:sectPr>
      </w:pPr>
    </w:p>
    <w:bookmarkStart w:id="54" w:name="page55"/>
    <w:bookmarkEnd w:id="54"/>
    <w:p>
      <w:pPr>
        <w:jc w:val="both"/>
        <w:ind w:left="1280" w:hanging="624"/>
        <w:spacing w:after="0" w:line="242" w:lineRule="auto"/>
        <w:tabs>
          <w:tab w:leader="none" w:pos="1262"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170" w:lineRule="exact"/>
        <w:rPr>
          <w:rFonts w:ascii="Arial" w:cs="Arial" w:eastAsia="Arial" w:hAnsi="Arial"/>
          <w:sz w:val="20"/>
          <w:szCs w:val="20"/>
          <w:color w:val="auto"/>
        </w:rPr>
      </w:pPr>
    </w:p>
    <w:p>
      <w:pPr>
        <w:ind w:left="1280" w:hanging="624"/>
        <w:spacing w:after="0" w:line="287" w:lineRule="auto"/>
        <w:tabs>
          <w:tab w:leader="none" w:pos="126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The new shares when allotted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all respects with the fully paid shares of the same class then in issue except that they shall not be entitled to participate in the relevant dividend in lieu of which they were allotted.</w:t>
      </w:r>
    </w:p>
    <w:p>
      <w:pPr>
        <w:spacing w:after="0" w:line="125" w:lineRule="exact"/>
        <w:rPr>
          <w:rFonts w:ascii="Arial" w:cs="Arial" w:eastAsia="Arial" w:hAnsi="Arial"/>
          <w:sz w:val="19"/>
          <w:szCs w:val="19"/>
          <w:color w:val="auto"/>
        </w:rPr>
      </w:pPr>
    </w:p>
    <w:p>
      <w:pPr>
        <w:jc w:val="both"/>
        <w:ind w:left="1280" w:hanging="624"/>
        <w:spacing w:after="0" w:line="282" w:lineRule="auto"/>
        <w:tabs>
          <w:tab w:leader="none" w:pos="126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134" w:lineRule="exact"/>
        <w:rPr>
          <w:rFonts w:ascii="Arial" w:cs="Arial" w:eastAsia="Arial" w:hAnsi="Arial"/>
          <w:sz w:val="18"/>
          <w:szCs w:val="18"/>
          <w:color w:val="auto"/>
        </w:rPr>
      </w:pPr>
    </w:p>
    <w:p>
      <w:pPr>
        <w:jc w:val="both"/>
        <w:ind w:left="1280" w:hanging="624"/>
        <w:spacing w:after="0" w:line="282" w:lineRule="auto"/>
        <w:tabs>
          <w:tab w:leader="none" w:pos="126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134" w:lineRule="exact"/>
        <w:rPr>
          <w:rFonts w:ascii="Arial" w:cs="Arial" w:eastAsia="Arial" w:hAnsi="Arial"/>
          <w:sz w:val="18"/>
          <w:szCs w:val="18"/>
          <w:color w:val="auto"/>
        </w:rPr>
      </w:pPr>
    </w:p>
    <w:p>
      <w:pPr>
        <w:ind w:left="1260" w:hanging="604"/>
        <w:spacing w:after="0"/>
        <w:tabs>
          <w:tab w:leader="none" w:pos="12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Board may, at its discretion, amend, suspend or terminate any offer pursuant to the above.</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CAPITALISATION OF PROFITS</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40.1</w:t>
        <w:tab/>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165" w:lineRule="exact"/>
        <w:rPr>
          <w:sz w:val="20"/>
          <w:szCs w:val="20"/>
          <w:color w:val="auto"/>
        </w:rPr>
      </w:pPr>
    </w:p>
    <w:p>
      <w:pPr>
        <w:jc w:val="both"/>
        <w:ind w:left="1280" w:hanging="624"/>
        <w:spacing w:after="0" w:line="244" w:lineRule="auto"/>
        <w:tabs>
          <w:tab w:leader="none" w:pos="126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167" w:lineRule="exact"/>
        <w:rPr>
          <w:rFonts w:ascii="Arial" w:cs="Arial" w:eastAsia="Arial" w:hAnsi="Arial"/>
          <w:sz w:val="20"/>
          <w:szCs w:val="20"/>
          <w:color w:val="auto"/>
        </w:rPr>
      </w:pPr>
    </w:p>
    <w:p>
      <w:pPr>
        <w:jc w:val="both"/>
        <w:ind w:left="1280" w:hanging="624"/>
        <w:spacing w:after="0" w:line="244" w:lineRule="auto"/>
        <w:tabs>
          <w:tab w:leader="none" w:pos="126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6" w:right="239" w:bottom="1440" w:gutter="0" w:footer="0" w:header="0"/>
        </w:sectPr>
      </w:pPr>
    </w:p>
    <w:bookmarkStart w:id="55" w:name="page56"/>
    <w:bookmarkEnd w:id="55"/>
    <w:p>
      <w:pPr>
        <w:ind w:left="1280" w:right="20" w:hanging="624"/>
        <w:spacing w:after="0" w:line="260" w:lineRule="auto"/>
        <w:tabs>
          <w:tab w:leader="none" w:pos="126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allot the shares, debentures or other obligations credited as fully paid to those members or as they may direct, in those proportions, or partly in one way and partly in the other;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149" w:lineRule="exact"/>
        <w:rPr>
          <w:rFonts w:ascii="Arial" w:cs="Arial" w:eastAsia="Arial" w:hAnsi="Arial"/>
          <w:sz w:val="20"/>
          <w:szCs w:val="20"/>
          <w:color w:val="auto"/>
        </w:rPr>
      </w:pPr>
    </w:p>
    <w:p>
      <w:pPr>
        <w:jc w:val="both"/>
        <w:ind w:left="1280" w:hanging="624"/>
        <w:spacing w:after="0" w:line="282" w:lineRule="auto"/>
        <w:tabs>
          <w:tab w:leader="none" w:pos="126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134" w:lineRule="exact"/>
        <w:rPr>
          <w:rFonts w:ascii="Arial" w:cs="Arial" w:eastAsia="Arial" w:hAnsi="Arial"/>
          <w:sz w:val="18"/>
          <w:szCs w:val="18"/>
          <w:color w:val="auto"/>
        </w:rPr>
      </w:pPr>
    </w:p>
    <w:p>
      <w:pPr>
        <w:ind w:left="1260" w:hanging="604"/>
        <w:spacing w:after="0"/>
        <w:tabs>
          <w:tab w:leader="none" w:pos="1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authorise any person to enter on behalf of all the members concerned into an agreement with the Company providing for either:</w:t>
      </w:r>
    </w:p>
    <w:p>
      <w:pPr>
        <w:spacing w:after="0" w:line="211" w:lineRule="exact"/>
        <w:rPr>
          <w:rFonts w:ascii="Arial" w:cs="Arial" w:eastAsia="Arial" w:hAnsi="Arial"/>
          <w:sz w:val="18"/>
          <w:szCs w:val="18"/>
          <w:color w:val="auto"/>
        </w:rPr>
      </w:pPr>
    </w:p>
    <w:p>
      <w:pPr>
        <w:ind w:left="1920" w:right="20" w:hanging="642"/>
        <w:spacing w:after="0" w:line="260" w:lineRule="auto"/>
        <w:tabs>
          <w:tab w:leader="none" w:pos="192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allotment to members respectively, credited as fully paid, of any further shares, debentures or other obligations to which they are entitled upon such capitalisation; or</w:t>
      </w:r>
    </w:p>
    <w:p>
      <w:pPr>
        <w:spacing w:after="0" w:line="149" w:lineRule="exact"/>
        <w:rPr>
          <w:rFonts w:ascii="Arial" w:cs="Arial" w:eastAsia="Arial" w:hAnsi="Arial"/>
          <w:sz w:val="20"/>
          <w:szCs w:val="20"/>
          <w:color w:val="auto"/>
        </w:rPr>
      </w:pPr>
    </w:p>
    <w:p>
      <w:pPr>
        <w:ind w:left="1920" w:hanging="642"/>
        <w:spacing w:after="0" w:line="316" w:lineRule="auto"/>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and any agreement made under such authority being binding on all such members, and</w:t>
      </w:r>
    </w:p>
    <w:p>
      <w:pPr>
        <w:spacing w:after="0" w:line="189" w:lineRule="exact"/>
        <w:rPr>
          <w:sz w:val="20"/>
          <w:szCs w:val="20"/>
          <w:color w:val="auto"/>
        </w:rPr>
      </w:pPr>
    </w:p>
    <w:p>
      <w:pPr>
        <w:ind w:left="1260" w:hanging="604"/>
        <w:spacing w:after="0"/>
        <w:tabs>
          <w:tab w:leader="none" w:pos="12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generally do all acts and things required to give effect to such resolution as aforesaid.</w:t>
      </w:r>
    </w:p>
    <w:p>
      <w:pPr>
        <w:spacing w:after="0" w:line="189"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color w:val="auto"/>
        </w:rPr>
        <w:t>In exercising its authority under Article 40.1, unless recommended by two-thirds of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40.3</w:t>
      </w:r>
    </w:p>
    <w:p>
      <w:pPr>
        <w:spacing w:after="0" w:line="189" w:lineRule="exact"/>
        <w:rPr>
          <w:sz w:val="20"/>
          <w:szCs w:val="20"/>
          <w:color w:val="auto"/>
        </w:rPr>
      </w:pPr>
    </w:p>
    <w:p>
      <w:pPr>
        <w:jc w:val="both"/>
        <w:ind w:left="1280" w:hanging="624"/>
        <w:spacing w:after="0" w:line="270" w:lineRule="auto"/>
        <w:tabs>
          <w:tab w:leader="none" w:pos="12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on terms which provide (inter aim)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6" w:right="239" w:bottom="1440" w:gutter="0" w:footer="0" w:header="0"/>
        </w:sectPr>
      </w:pPr>
    </w:p>
    <w:bookmarkStart w:id="56" w:name="page57"/>
    <w:bookmarkEnd w:id="56"/>
    <w:p>
      <w:pPr>
        <w:ind w:left="1280"/>
        <w:spacing w:after="0"/>
        <w:rPr>
          <w:sz w:val="20"/>
          <w:szCs w:val="20"/>
          <w:color w:val="auto"/>
        </w:rPr>
      </w:pPr>
      <w:r>
        <w:rPr>
          <w:rFonts w:ascii="Arial" w:cs="Arial" w:eastAsia="Arial" w:hAnsi="Arial"/>
          <w:sz w:val="20"/>
          <w:szCs w:val="20"/>
          <w:color w:val="auto"/>
        </w:rPr>
        <w:t>apply mutatis mutandis to this Article 40.3(a) as if Article 40.1 did not make reference to Article 40.2.</w:t>
      </w:r>
    </w:p>
    <w:p>
      <w:pPr>
        <w:spacing w:after="0" w:line="202" w:lineRule="exact"/>
        <w:rPr>
          <w:sz w:val="20"/>
          <w:szCs w:val="20"/>
          <w:color w:val="auto"/>
        </w:rPr>
      </w:pPr>
    </w:p>
    <w:p>
      <w:pPr>
        <w:jc w:val="both"/>
        <w:ind w:left="1280" w:hanging="624"/>
        <w:spacing w:after="0" w:line="256" w:lineRule="auto"/>
        <w:tabs>
          <w:tab w:leader="none" w:pos="1262" w:val="left"/>
        </w:tabs>
        <w:numPr>
          <w:ilvl w:val="1"/>
          <w:numId w:val="117"/>
        </w:numPr>
        <w:rPr>
          <w:rFonts w:ascii="Arial" w:cs="Arial" w:eastAsia="Arial" w:hAnsi="Arial"/>
          <w:sz w:val="19"/>
          <w:szCs w:val="19"/>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151" w:lineRule="exact"/>
        <w:rPr>
          <w:rFonts w:ascii="Arial" w:cs="Arial" w:eastAsia="Arial" w:hAnsi="Arial"/>
          <w:sz w:val="19"/>
          <w:szCs w:val="19"/>
          <w:color w:val="auto"/>
        </w:rPr>
      </w:pPr>
    </w:p>
    <w:p>
      <w:pPr>
        <w:ind w:left="620" w:hanging="612"/>
        <w:spacing w:after="0"/>
        <w:tabs>
          <w:tab w:leader="none" w:pos="620"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RETURN OF CAPITAL</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6"/>
          <w:szCs w:val="16"/>
          <w:color w:val="auto"/>
        </w:rPr>
        <w:t>The rights as regards return of capital attaching to the Ordinary Shares shall be as set out in this Article.</w:t>
      </w:r>
    </w:p>
    <w:p>
      <w:pPr>
        <w:spacing w:after="0" w:line="18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41.2</w:t>
        <w:tab/>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153" w:lineRule="exact"/>
        <w:rPr>
          <w:sz w:val="20"/>
          <w:szCs w:val="20"/>
          <w:color w:val="auto"/>
        </w:rPr>
      </w:pPr>
    </w:p>
    <w:p>
      <w:pPr>
        <w:ind w:left="620" w:hanging="612"/>
        <w:spacing w:after="0"/>
        <w:tabs>
          <w:tab w:leader="none" w:pos="62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THE COMPANY’S NAME</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The Company’s name may be changed by resolution of the Board.</w:t>
      </w:r>
    </w:p>
    <w:p>
      <w:pPr>
        <w:spacing w:after="0" w:line="182" w:lineRule="exact"/>
        <w:rPr>
          <w:rFonts w:ascii="Arial" w:cs="Arial" w:eastAsia="Arial" w:hAnsi="Arial"/>
          <w:sz w:val="20"/>
          <w:szCs w:val="20"/>
          <w:b w:val="1"/>
          <w:bCs w:val="1"/>
          <w:color w:val="auto"/>
        </w:rPr>
      </w:pPr>
    </w:p>
    <w:p>
      <w:pPr>
        <w:ind w:left="620" w:hanging="612"/>
        <w:spacing w:after="0"/>
        <w:tabs>
          <w:tab w:leader="none" w:pos="62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RECORD DATES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43.1</w:t>
        <w:tab/>
        <w:t>Notwithstanding any other provision of these Articles, and subject to the Companies Act, but without prejudice to any special rights attached to any shares, the Company or the Directors may:</w:t>
      </w:r>
    </w:p>
    <w:p>
      <w:pPr>
        <w:spacing w:after="0" w:line="150" w:lineRule="exact"/>
        <w:rPr>
          <w:sz w:val="20"/>
          <w:szCs w:val="20"/>
          <w:color w:val="auto"/>
        </w:rPr>
      </w:pPr>
    </w:p>
    <w:p>
      <w:pPr>
        <w:ind w:left="1280" w:hanging="624"/>
        <w:spacing w:after="0" w:line="260" w:lineRule="auto"/>
        <w:tabs>
          <w:tab w:leader="none" w:pos="126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fix any date as the record date for any dividend, distribution, allotment or issue, which shall not be more than 60 days prior to such action;</w:t>
      </w:r>
    </w:p>
    <w:p>
      <w:pPr>
        <w:spacing w:after="0" w:line="149" w:lineRule="exact"/>
        <w:rPr>
          <w:rFonts w:ascii="Arial" w:cs="Arial" w:eastAsia="Arial" w:hAnsi="Arial"/>
          <w:sz w:val="20"/>
          <w:szCs w:val="20"/>
          <w:color w:val="auto"/>
        </w:rPr>
      </w:pPr>
    </w:p>
    <w:p>
      <w:pPr>
        <w:jc w:val="both"/>
        <w:ind w:left="1280" w:hanging="624"/>
        <w:spacing w:after="0" w:line="259" w:lineRule="auto"/>
        <w:tabs>
          <w:tab w:leader="none" w:pos="126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79" w:right="239" w:bottom="1440" w:gutter="0" w:footer="0" w:header="0"/>
        </w:sectPr>
      </w:pPr>
    </w:p>
    <w:bookmarkStart w:id="57" w:name="page58"/>
    <w:bookmarkEnd w:id="57"/>
    <w:p>
      <w:pPr>
        <w:jc w:val="both"/>
        <w:ind w:left="1280" w:hanging="624"/>
        <w:spacing w:after="0" w:line="246" w:lineRule="auto"/>
        <w:tabs>
          <w:tab w:leader="none" w:pos="1262" w:val="left"/>
        </w:tabs>
        <w:numPr>
          <w:ilvl w:val="1"/>
          <w:numId w:val="121"/>
        </w:numPr>
        <w:rPr>
          <w:rFonts w:ascii="Arial" w:cs="Arial" w:eastAsia="Arial" w:hAnsi="Arial"/>
          <w:sz w:val="20"/>
          <w:szCs w:val="20"/>
          <w:color w:val="auto"/>
        </w:rPr>
      </w:pPr>
      <w:r>
        <w:rPr>
          <w:rFonts w:ascii="Arial" w:cs="Arial" w:eastAsia="Arial" w:hAnsi="Arial"/>
          <w:sz w:val="20"/>
          <w:szCs w:val="20"/>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60 days before the day that such notices are sent.</w:t>
      </w:r>
    </w:p>
    <w:p>
      <w:pPr>
        <w:spacing w:after="0" w:line="158" w:lineRule="exact"/>
        <w:rPr>
          <w:rFonts w:ascii="Arial" w:cs="Arial" w:eastAsia="Arial" w:hAnsi="Arial"/>
          <w:sz w:val="20"/>
          <w:szCs w:val="20"/>
          <w:color w:val="auto"/>
        </w:rPr>
      </w:pPr>
    </w:p>
    <w:p>
      <w:pPr>
        <w:ind w:left="620" w:hanging="612"/>
        <w:spacing w:after="0"/>
        <w:tabs>
          <w:tab w:leader="none" w:pos="62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ACCOUNTS</w:t>
      </w:r>
    </w:p>
    <w:p>
      <w:pPr>
        <w:spacing w:after="0" w:line="195" w:lineRule="exact"/>
        <w:rPr>
          <w:sz w:val="20"/>
          <w:szCs w:val="20"/>
          <w:color w:val="auto"/>
        </w:rPr>
      </w:pPr>
    </w:p>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44.1</w:t>
      </w:r>
      <w:r>
        <w:rPr>
          <w:sz w:val="20"/>
          <w:szCs w:val="20"/>
          <w:color w:val="auto"/>
        </w:rPr>
        <w:tab/>
      </w:r>
      <w:r>
        <w:rPr>
          <w:rFonts w:ascii="Arial" w:cs="Arial" w:eastAsia="Arial" w:hAnsi="Arial"/>
          <w:sz w:val="18"/>
          <w:szCs w:val="18"/>
          <w:color w:val="auto"/>
        </w:rPr>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103" w:lineRule="exact"/>
        <w:rPr>
          <w:sz w:val="20"/>
          <w:szCs w:val="20"/>
          <w:color w:val="auto"/>
        </w:rPr>
      </w:pPr>
    </w:p>
    <w:p>
      <w:pPr>
        <w:jc w:val="both"/>
        <w:ind w:left="620" w:hanging="620"/>
        <w:spacing w:after="0" w:line="278" w:lineRule="auto"/>
        <w:tabs>
          <w:tab w:leader="none" w:pos="600" w:val="left"/>
        </w:tabs>
        <w:rPr>
          <w:sz w:val="20"/>
          <w:szCs w:val="20"/>
          <w:color w:val="auto"/>
        </w:rPr>
      </w:pPr>
      <w:r>
        <w:rPr>
          <w:rFonts w:ascii="Arial" w:cs="Arial" w:eastAsia="Arial" w:hAnsi="Arial"/>
          <w:sz w:val="20"/>
          <w:szCs w:val="20"/>
          <w:color w:val="auto"/>
        </w:rPr>
        <w:t>44.2</w:t>
      </w:r>
      <w:r>
        <w:rPr>
          <w:sz w:val="20"/>
          <w:szCs w:val="20"/>
          <w:color w:val="auto"/>
        </w:rPr>
        <w:tab/>
      </w:r>
      <w:r>
        <w:rPr>
          <w:rFonts w:ascii="Arial" w:cs="Arial" w:eastAsia="Arial" w:hAnsi="Arial"/>
          <w:sz w:val="18"/>
          <w:szCs w:val="18"/>
          <w:color w:val="auto"/>
        </w:rPr>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of the joint holders. A copy need not be sent to a person for whom the Company does not have a current address.</w:t>
      </w:r>
    </w:p>
    <w:p>
      <w:pPr>
        <w:spacing w:after="0" w:line="138"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44.3</w:t>
        <w:tab/>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159" w:lineRule="exact"/>
        <w:rPr>
          <w:sz w:val="20"/>
          <w:szCs w:val="20"/>
          <w:color w:val="auto"/>
        </w:rPr>
      </w:pPr>
    </w:p>
    <w:p>
      <w:pPr>
        <w:ind w:left="620" w:hanging="612"/>
        <w:spacing w:after="0"/>
        <w:tabs>
          <w:tab w:leader="none" w:pos="62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NOTICES AND OTHER COMMUNICATIONS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45.1</w:t>
        <w:tab/>
        <w:t>Any notice to be given to or by any person pursuant to these Articles shall be in writing other than a notice calling a meeting of the Directors which need not be in writing.</w:t>
      </w:r>
    </w:p>
    <w:p>
      <w:pPr>
        <w:spacing w:after="0" w:line="150" w:lineRule="exact"/>
        <w:rPr>
          <w:sz w:val="20"/>
          <w:szCs w:val="20"/>
          <w:color w:val="auto"/>
        </w:rPr>
      </w:pPr>
    </w:p>
    <w:p>
      <w:pPr>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45.2</w:t>
        <w:tab/>
        <w:t>Any notice, document or information may (without prejudice to Articles 45.9 and 45.10) be given, sent or supplied by the Company to any member either:</w:t>
      </w:r>
    </w:p>
    <w:p>
      <w:pPr>
        <w:spacing w:after="0" w:line="150" w:lineRule="exact"/>
        <w:rPr>
          <w:sz w:val="20"/>
          <w:szCs w:val="20"/>
          <w:color w:val="auto"/>
        </w:rPr>
      </w:pPr>
    </w:p>
    <w:p>
      <w:pPr>
        <w:ind w:left="1260" w:hanging="604"/>
        <w:spacing w:after="0"/>
        <w:tabs>
          <w:tab w:leader="none" w:pos="12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personally;</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by sending it by post in a prepaid envelope addressed to the member at his registered address or postal address given to the Company for that purpose, or by leaving it at that address;</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through a relevant system, where the notice, document or information relates to uncertificated shares;</w:t>
      </w:r>
    </w:p>
    <w:p>
      <w:pPr>
        <w:spacing w:after="0" w:line="188"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subject to the provisions of the Companies Act, by making it available on a website, provided that the requirements in (i) to (iv) below are satisfied.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requirements referred to in paragraph (e) are that:</w:t>
      </w:r>
    </w:p>
    <w:p>
      <w:pPr>
        <w:spacing w:after="0" w:line="189" w:lineRule="exact"/>
        <w:rPr>
          <w:sz w:val="20"/>
          <w:szCs w:val="20"/>
          <w:color w:val="auto"/>
        </w:rPr>
      </w:pPr>
    </w:p>
    <w:p>
      <w:pPr>
        <w:ind w:left="1920" w:hanging="642"/>
        <w:spacing w:after="0" w:line="260" w:lineRule="auto"/>
        <w:tabs>
          <w:tab w:leader="none" w:pos="19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member has agreed (generally or specifically) that the notice, document or information may be sent or supplied to him by being made available on a website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6" w:right="239" w:bottom="1440" w:gutter="0" w:footer="0" w:header="0"/>
        </w:sectPr>
      </w:pPr>
    </w:p>
    <w:bookmarkStart w:id="58" w:name="page59"/>
    <w:bookmarkEnd w:id="58"/>
    <w:p>
      <w:pPr>
        <w:jc w:val="both"/>
        <w:ind w:left="1920"/>
        <w:spacing w:after="0" w:line="273" w:lineRule="auto"/>
        <w:rPr>
          <w:sz w:val="20"/>
          <w:szCs w:val="20"/>
          <w:color w:val="auto"/>
        </w:rPr>
      </w:pPr>
      <w:r>
        <w:rPr>
          <w:rFonts w:ascii="Arial" w:cs="Arial" w:eastAsia="Arial" w:hAnsi="Arial"/>
          <w:sz w:val="20"/>
          <w:szCs w:val="20"/>
          <w:color w:val="auto"/>
        </w:rPr>
        <w:t>(and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151" w:lineRule="exact"/>
        <w:rPr>
          <w:sz w:val="20"/>
          <w:szCs w:val="20"/>
          <w:color w:val="auto"/>
        </w:rPr>
      </w:pPr>
    </w:p>
    <w:p>
      <w:pPr>
        <w:jc w:val="both"/>
        <w:ind w:left="1920" w:hanging="642"/>
        <w:spacing w:after="0" w:line="250" w:lineRule="auto"/>
        <w:tabs>
          <w:tab w:leader="none" w:pos="19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20"/>
          <w:szCs w:val="20"/>
          <w:b w:val="1"/>
          <w:bCs w:val="1"/>
          <w:color w:val="auto"/>
        </w:rPr>
        <w:t>notification of</w:t>
      </w:r>
      <w:r>
        <w:rPr>
          <w:rFonts w:ascii="Arial" w:cs="Arial" w:eastAsia="Arial" w:hAnsi="Arial"/>
          <w:sz w:val="20"/>
          <w:szCs w:val="20"/>
          <w:color w:val="auto"/>
        </w:rPr>
        <w:t xml:space="preserve"> </w:t>
      </w:r>
      <w:r>
        <w:rPr>
          <w:rFonts w:ascii="Arial" w:cs="Arial" w:eastAsia="Arial" w:hAnsi="Arial"/>
          <w:sz w:val="20"/>
          <w:szCs w:val="20"/>
          <w:b w:val="1"/>
          <w:bCs w:val="1"/>
          <w:color w:val="auto"/>
        </w:rPr>
        <w:t>availability</w:t>
      </w:r>
      <w:r>
        <w:rPr>
          <w:rFonts w:ascii="Arial" w:cs="Arial" w:eastAsia="Arial" w:hAnsi="Arial"/>
          <w:sz w:val="20"/>
          <w:szCs w:val="20"/>
          <w:color w:val="auto"/>
        </w:rPr>
        <w:t>”); and</w:t>
      </w:r>
    </w:p>
    <w:p>
      <w:pPr>
        <w:spacing w:after="0" w:line="159" w:lineRule="exact"/>
        <w:rPr>
          <w:rFonts w:ascii="Arial" w:cs="Arial" w:eastAsia="Arial" w:hAnsi="Arial"/>
          <w:sz w:val="20"/>
          <w:szCs w:val="20"/>
          <w:color w:val="auto"/>
        </w:rPr>
      </w:pPr>
    </w:p>
    <w:p>
      <w:pPr>
        <w:ind w:left="1920" w:right="20" w:hanging="642"/>
        <w:spacing w:after="0" w:line="316" w:lineRule="auto"/>
        <w:tabs>
          <w:tab w:leader="none" w:pos="1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103" w:lineRule="exact"/>
        <w:rPr>
          <w:rFonts w:ascii="Arial" w:cs="Arial" w:eastAsia="Arial" w:hAnsi="Arial"/>
          <w:sz w:val="18"/>
          <w:szCs w:val="18"/>
          <w:color w:val="auto"/>
        </w:rPr>
      </w:pPr>
    </w:p>
    <w:p>
      <w:pPr>
        <w:jc w:val="both"/>
        <w:ind w:left="1920" w:hanging="642"/>
        <w:spacing w:after="0" w:line="274" w:lineRule="auto"/>
        <w:tabs>
          <w:tab w:leader="none" w:pos="1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4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45.3</w:t>
        <w:tab/>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45.4</w:t>
      </w:r>
      <w:r>
        <w:rPr>
          <w:sz w:val="20"/>
          <w:szCs w:val="20"/>
          <w:color w:val="auto"/>
        </w:rPr>
        <w:tab/>
      </w:r>
      <w:r>
        <w:rPr>
          <w:rFonts w:ascii="Arial" w:cs="Arial" w:eastAsia="Arial" w:hAnsi="Arial"/>
          <w:sz w:val="16"/>
          <w:szCs w:val="16"/>
          <w:color w:val="auto"/>
        </w:rPr>
        <w:t>In the case of joint holders of a share:</w:t>
      </w:r>
    </w:p>
    <w:p>
      <w:pPr>
        <w:spacing w:after="0" w:line="189" w:lineRule="exact"/>
        <w:rPr>
          <w:sz w:val="20"/>
          <w:szCs w:val="20"/>
          <w:color w:val="auto"/>
        </w:rPr>
      </w:pPr>
    </w:p>
    <w:p>
      <w:pPr>
        <w:jc w:val="both"/>
        <w:ind w:left="1280" w:hanging="624"/>
        <w:spacing w:after="0" w:line="269" w:lineRule="auto"/>
        <w:tabs>
          <w:tab w:leader="none" w:pos="126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it shall be sufficient for all notices, documents and other information to be given, sent or supplied to the joint holder whose name stands first in the register of members in respect of the joint holding (“</w:t>
      </w:r>
      <w:r>
        <w:rPr>
          <w:rFonts w:ascii="Arial" w:cs="Arial" w:eastAsia="Arial" w:hAnsi="Arial"/>
          <w:sz w:val="19"/>
          <w:szCs w:val="19"/>
          <w:b w:val="1"/>
          <w:bCs w:val="1"/>
          <w:color w:val="auto"/>
        </w:rPr>
        <w:t>first named holder</w:t>
      </w:r>
      <w:r>
        <w:rPr>
          <w:rFonts w:ascii="Arial" w:cs="Arial" w:eastAsia="Arial" w:hAnsi="Arial"/>
          <w:sz w:val="19"/>
          <w:szCs w:val="19"/>
          <w:color w:val="auto"/>
        </w:rPr>
        <w:t>”) only and any notice, document or other information so sent shall be deemed for all purposes sent to all the joint holders; and</w:t>
      </w:r>
    </w:p>
    <w:p>
      <w:pPr>
        <w:spacing w:after="0" w:line="143" w:lineRule="exact"/>
        <w:rPr>
          <w:rFonts w:ascii="Arial" w:cs="Arial" w:eastAsia="Arial" w:hAnsi="Arial"/>
          <w:sz w:val="19"/>
          <w:szCs w:val="19"/>
          <w:color w:val="auto"/>
        </w:rPr>
      </w:pPr>
    </w:p>
    <w:p>
      <w:pPr>
        <w:ind w:left="1280" w:hanging="624"/>
        <w:spacing w:after="0" w:line="260" w:lineRule="auto"/>
        <w:tabs>
          <w:tab w:leader="none" w:pos="126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agreement of the first named holder that notices, documents and information may be given, sent or supplied in electronic form or by being made available on a website shall be binding on all the joint holders.</w:t>
      </w:r>
    </w:p>
    <w:p>
      <w:pPr>
        <w:spacing w:after="0" w:line="15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45.5</w:t>
        <w:tab/>
        <w:t>The Company may at any time and at its sole discretion choose to give, send or supply notices, documents and information only in hard copy form to some or all members.</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45.6</w:t>
      </w:r>
      <w:r>
        <w:rPr>
          <w:sz w:val="20"/>
          <w:szCs w:val="20"/>
          <w:color w:val="auto"/>
        </w:rPr>
        <w:tab/>
      </w:r>
      <w:r>
        <w:rPr>
          <w:rFonts w:ascii="Arial" w:cs="Arial" w:eastAsia="Arial" w:hAnsi="Arial"/>
          <w:sz w:val="18"/>
          <w:szCs w:val="18"/>
          <w:color w:val="auto"/>
        </w:rPr>
        <w:t>For the avoidance of doubt, the provisions of Articles 45.1 to 45.5 are subject to Article 17.6.</w:t>
      </w:r>
    </w:p>
    <w:p>
      <w:pPr>
        <w:spacing w:after="0" w:line="18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45.7</w:t>
        <w:tab/>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79" w:right="239" w:bottom="1440" w:gutter="0" w:footer="0" w:header="0"/>
        </w:sectPr>
      </w:pPr>
    </w:p>
    <w:bookmarkStart w:id="59" w:name="page60"/>
    <w:bookmarkEnd w:id="59"/>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45.8</w:t>
        <w:tab/>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15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45.9</w:t>
        <w:tab/>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16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45.10</w:t>
        <w:tab/>
        <w:t>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45.11</w:t>
      </w:r>
      <w:r>
        <w:rPr>
          <w:sz w:val="20"/>
          <w:szCs w:val="20"/>
          <w:color w:val="auto"/>
        </w:rPr>
        <w:tab/>
      </w:r>
      <w:r>
        <w:rPr>
          <w:rFonts w:ascii="Arial" w:cs="Arial" w:eastAsia="Arial" w:hAnsi="Arial"/>
          <w:sz w:val="18"/>
          <w:szCs w:val="18"/>
          <w:color w:val="auto"/>
        </w:rPr>
        <w:t>Any notice, document or information given, sent or supplied by the Company to the members or any of them:</w:t>
      </w:r>
    </w:p>
    <w:p>
      <w:pPr>
        <w:spacing w:after="0" w:line="189" w:lineRule="exact"/>
        <w:rPr>
          <w:sz w:val="20"/>
          <w:szCs w:val="20"/>
          <w:color w:val="auto"/>
        </w:rPr>
      </w:pPr>
    </w:p>
    <w:p>
      <w:pPr>
        <w:ind w:left="1260" w:hanging="604"/>
        <w:spacing w:after="0"/>
        <w:tabs>
          <w:tab w:leader="none" w:pos="12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by hand shall be deemed to have been received by the member when it is handed to the member or left at his registered address;</w:t>
      </w:r>
    </w:p>
    <w:p>
      <w:pPr>
        <w:spacing w:after="0" w:line="234" w:lineRule="exact"/>
        <w:rPr>
          <w:rFonts w:ascii="Arial" w:cs="Arial" w:eastAsia="Arial" w:hAnsi="Arial"/>
          <w:sz w:val="16"/>
          <w:szCs w:val="16"/>
          <w:color w:val="auto"/>
        </w:rPr>
      </w:pPr>
    </w:p>
    <w:p>
      <w:pPr>
        <w:jc w:val="both"/>
        <w:ind w:left="1280" w:hanging="624"/>
        <w:spacing w:after="0" w:line="244" w:lineRule="auto"/>
        <w:tabs>
          <w:tab w:leader="none" w:pos="126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167" w:lineRule="exact"/>
        <w:rPr>
          <w:rFonts w:ascii="Arial" w:cs="Arial" w:eastAsia="Arial" w:hAnsi="Arial"/>
          <w:sz w:val="20"/>
          <w:szCs w:val="20"/>
          <w:color w:val="auto"/>
        </w:rPr>
      </w:pPr>
    </w:p>
    <w:p>
      <w:pPr>
        <w:ind w:left="1280" w:right="20" w:hanging="624"/>
        <w:spacing w:after="0" w:line="287" w:lineRule="auto"/>
        <w:tabs>
          <w:tab w:leader="none" w:pos="126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by means of a relevant system, shall be deemed to have been received when the Company or any sponsoring system-participant acting on its behalf sends the issuer instructions relating to the notice, document or other information;</w:t>
      </w:r>
    </w:p>
    <w:p>
      <w:pPr>
        <w:spacing w:after="0" w:line="125" w:lineRule="exact"/>
        <w:rPr>
          <w:rFonts w:ascii="Arial" w:cs="Arial" w:eastAsia="Arial" w:hAnsi="Arial"/>
          <w:sz w:val="19"/>
          <w:szCs w:val="19"/>
          <w:color w:val="auto"/>
        </w:rPr>
      </w:pPr>
    </w:p>
    <w:p>
      <w:pPr>
        <w:ind w:left="1260" w:hanging="604"/>
        <w:spacing w:after="0"/>
        <w:tabs>
          <w:tab w:leader="none" w:pos="12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by advertisement, shall be deemed to have been received on the day on which the advertisement appears;</w:t>
      </w:r>
    </w:p>
    <w:p>
      <w:pPr>
        <w:spacing w:after="0" w:line="188" w:lineRule="exact"/>
        <w:rPr>
          <w:rFonts w:ascii="Arial" w:cs="Arial" w:eastAsia="Arial" w:hAnsi="Arial"/>
          <w:sz w:val="20"/>
          <w:szCs w:val="20"/>
          <w:color w:val="auto"/>
        </w:rPr>
      </w:pPr>
    </w:p>
    <w:p>
      <w:pPr>
        <w:jc w:val="both"/>
        <w:ind w:left="1280" w:hanging="624"/>
        <w:spacing w:after="0" w:line="258" w:lineRule="auto"/>
        <w:tabs>
          <w:tab w:leader="none" w:pos="126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152" w:lineRule="exact"/>
        <w:rPr>
          <w:rFonts w:ascii="Arial" w:cs="Arial" w:eastAsia="Arial" w:hAnsi="Arial"/>
          <w:sz w:val="19"/>
          <w:szCs w:val="19"/>
          <w:color w:val="auto"/>
        </w:rPr>
      </w:pPr>
    </w:p>
    <w:p>
      <w:pPr>
        <w:jc w:val="both"/>
        <w:ind w:left="1280" w:hanging="624"/>
        <w:spacing w:after="0" w:line="276" w:lineRule="auto"/>
        <w:tabs>
          <w:tab w:leader="none" w:pos="12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6" w:right="239" w:bottom="1440" w:gutter="0" w:footer="0" w:header="0"/>
        </w:sectPr>
      </w:pPr>
    </w:p>
    <w:bookmarkStart w:id="60" w:name="page61"/>
    <w:bookmarkEnd w:id="60"/>
    <w:p>
      <w:pPr>
        <w:jc w:val="both"/>
        <w:ind w:left="620" w:hanging="620"/>
        <w:spacing w:after="0" w:line="316" w:lineRule="auto"/>
        <w:tabs>
          <w:tab w:leader="none" w:pos="600" w:val="left"/>
        </w:tabs>
        <w:rPr>
          <w:sz w:val="20"/>
          <w:szCs w:val="20"/>
          <w:color w:val="auto"/>
        </w:rPr>
      </w:pPr>
      <w:r>
        <w:rPr>
          <w:rFonts w:ascii="Arial" w:cs="Arial" w:eastAsia="Arial" w:hAnsi="Arial"/>
          <w:sz w:val="20"/>
          <w:szCs w:val="20"/>
          <w:color w:val="auto"/>
        </w:rPr>
        <w:t>45.12</w:t>
      </w:r>
      <w:r>
        <w:rPr>
          <w:sz w:val="20"/>
          <w:szCs w:val="20"/>
          <w:color w:val="auto"/>
        </w:rPr>
        <w:tab/>
      </w:r>
      <w:r>
        <w:rPr>
          <w:rFonts w:ascii="Arial" w:cs="Arial" w:eastAsia="Arial" w:hAnsi="Arial"/>
          <w:sz w:val="16"/>
          <w:szCs w:val="16"/>
          <w:color w:val="auto"/>
        </w:rPr>
        <w:t>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13" w:lineRule="exact"/>
        <w:rPr>
          <w:sz w:val="20"/>
          <w:szCs w:val="20"/>
          <w:color w:val="auto"/>
        </w:rPr>
      </w:pPr>
    </w:p>
    <w:p>
      <w:pPr>
        <w:jc w:val="both"/>
        <w:ind w:left="620" w:hanging="620"/>
        <w:spacing w:after="0" w:line="272" w:lineRule="auto"/>
        <w:tabs>
          <w:tab w:leader="none" w:pos="600" w:val="left"/>
        </w:tabs>
        <w:rPr>
          <w:sz w:val="20"/>
          <w:szCs w:val="20"/>
          <w:color w:val="auto"/>
        </w:rPr>
      </w:pPr>
      <w:r>
        <w:rPr>
          <w:rFonts w:ascii="Arial" w:cs="Arial" w:eastAsia="Arial" w:hAnsi="Arial"/>
          <w:sz w:val="20"/>
          <w:szCs w:val="20"/>
          <w:color w:val="auto"/>
        </w:rPr>
        <w:t>45.13</w:t>
      </w:r>
      <w:r>
        <w:rPr>
          <w:sz w:val="20"/>
          <w:szCs w:val="20"/>
          <w:color w:val="auto"/>
        </w:rPr>
        <w:tab/>
      </w:r>
      <w:r>
        <w:rPr>
          <w:rFonts w:ascii="Arial" w:cs="Arial" w:eastAsia="Arial" w:hAnsi="Arial"/>
          <w:sz w:val="18"/>
          <w:szCs w:val="18"/>
          <w:color w:val="auto"/>
        </w:rPr>
        <w:t>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144"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45.14</w:t>
        <w:tab/>
        <w:t>Where a document is required under these Articles to be signed by a member or any other person, if the document is in electronic form, then in order to be valid the document must either:</w:t>
      </w:r>
    </w:p>
    <w:p>
      <w:pPr>
        <w:spacing w:after="0" w:line="150" w:lineRule="exact"/>
        <w:rPr>
          <w:sz w:val="20"/>
          <w:szCs w:val="20"/>
          <w:color w:val="auto"/>
        </w:rPr>
      </w:pPr>
    </w:p>
    <w:p>
      <w:pPr>
        <w:ind w:left="1280" w:hanging="624"/>
        <w:spacing w:after="0" w:line="260" w:lineRule="auto"/>
        <w:tabs>
          <w:tab w:leader="none" w:pos="126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incorporate the electronic signature, or personal identification details (which may be details previously allocated by the Company), of that member or other person, in such form as the Directors may approve;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be accompanied by such other evidence as the Directors may require in order to be satisfied that the document is genuine.</w:t>
      </w:r>
    </w:p>
    <w:p>
      <w:pPr>
        <w:spacing w:after="0" w:line="212"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22.7(b).</w:t>
      </w:r>
    </w:p>
    <w:p>
      <w:pPr>
        <w:spacing w:after="0" w:line="159" w:lineRule="exact"/>
        <w:rPr>
          <w:sz w:val="20"/>
          <w:szCs w:val="20"/>
          <w:color w:val="auto"/>
        </w:rPr>
      </w:pPr>
    </w:p>
    <w:p>
      <w:pPr>
        <w:ind w:left="620" w:hanging="612"/>
        <w:spacing w:after="0"/>
        <w:tabs>
          <w:tab w:leader="none" w:pos="62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DESTRUCTION OF DOCUMENTS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46.1</w:t>
      </w:r>
      <w:r>
        <w:rPr>
          <w:sz w:val="20"/>
          <w:szCs w:val="20"/>
          <w:color w:val="auto"/>
        </w:rPr>
        <w:tab/>
      </w:r>
      <w:r>
        <w:rPr>
          <w:rFonts w:ascii="Arial" w:cs="Arial" w:eastAsia="Arial" w:hAnsi="Arial"/>
          <w:sz w:val="16"/>
          <w:szCs w:val="16"/>
          <w:color w:val="auto"/>
        </w:rPr>
        <w:t>The Company shall be entitled to destroy:</w:t>
      </w:r>
    </w:p>
    <w:p>
      <w:pPr>
        <w:spacing w:after="0" w:line="189" w:lineRule="exact"/>
        <w:rPr>
          <w:sz w:val="20"/>
          <w:szCs w:val="20"/>
          <w:color w:val="auto"/>
        </w:rPr>
      </w:pPr>
    </w:p>
    <w:p>
      <w:pPr>
        <w:ind w:left="1280" w:hanging="624"/>
        <w:spacing w:after="0" w:line="260" w:lineRule="auto"/>
        <w:tabs>
          <w:tab w:leader="none" w:pos="126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dividend mandate, variation or cancellation of dividend mandates, and notification of change of name or address, at any time after two years from the date on which it is recorded;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6" w:right="239" w:bottom="1440" w:gutter="0" w:footer="0" w:header="0"/>
        </w:sectPr>
      </w:pPr>
    </w:p>
    <w:bookmarkStart w:id="61" w:name="page62"/>
    <w:bookmarkEnd w:id="61"/>
    <w:p>
      <w:pPr>
        <w:ind w:left="1280" w:hanging="624"/>
        <w:spacing w:after="0" w:line="260" w:lineRule="auto"/>
        <w:tabs>
          <w:tab w:leader="none" w:pos="126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share certificate which has been cancelled at any time after the expiration of one year from the date on which it is cancelled;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all paid dividend warrants and cheques at any time after the expiration of one year from the date of actual payment;</w:t>
      </w:r>
    </w:p>
    <w:p>
      <w:pPr>
        <w:spacing w:after="0" w:line="200" w:lineRule="exact"/>
        <w:rPr>
          <w:rFonts w:ascii="Arial" w:cs="Arial" w:eastAsia="Arial" w:hAnsi="Arial"/>
          <w:sz w:val="19"/>
          <w:szCs w:val="19"/>
          <w:color w:val="auto"/>
        </w:rPr>
      </w:pPr>
    </w:p>
    <w:p>
      <w:pPr>
        <w:ind w:left="1280" w:right="20" w:hanging="624"/>
        <w:spacing w:after="0" w:line="260" w:lineRule="auto"/>
        <w:tabs>
          <w:tab w:leader="none" w:pos="126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all proxy appointments which have been used for the purpose of a poll at any time after the expiration of one year from the date of use;</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all proxy appointments which have not been used for the purpose of a poll at any time after one month from the end of the meeting to which the proxy appointment relates and at which no poll was demanded; and</w:t>
      </w:r>
    </w:p>
    <w:p>
      <w:pPr>
        <w:spacing w:after="0" w:line="14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other document on the basis of which an entry in the register of members is made, after six years from the date on which it is made.</w:t>
      </w:r>
    </w:p>
    <w:p>
      <w:pPr>
        <w:spacing w:after="0" w:line="150"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Any document referred to in this Article 46.1 may be destroyed earlier than the relevant date authorised, provided that a permanent record of the document is made which is not destroyed before that date.</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46.2</w:t>
      </w:r>
      <w:r>
        <w:rPr>
          <w:sz w:val="20"/>
          <w:szCs w:val="20"/>
          <w:color w:val="auto"/>
        </w:rPr>
        <w:tab/>
      </w:r>
      <w:r>
        <w:rPr>
          <w:rFonts w:ascii="Arial" w:cs="Arial" w:eastAsia="Arial" w:hAnsi="Arial"/>
          <w:sz w:val="18"/>
          <w:szCs w:val="18"/>
          <w:color w:val="auto"/>
        </w:rPr>
        <w:t>It shall be conclusively presumed in favour of the Company that:</w:t>
      </w:r>
    </w:p>
    <w:p>
      <w:pPr>
        <w:spacing w:after="0" w:line="189" w:lineRule="exact"/>
        <w:rPr>
          <w:sz w:val="20"/>
          <w:szCs w:val="20"/>
          <w:color w:val="auto"/>
        </w:rPr>
      </w:pPr>
    </w:p>
    <w:p>
      <w:pPr>
        <w:ind w:left="1280" w:hanging="624"/>
        <w:spacing w:after="0" w:line="260" w:lineRule="auto"/>
        <w:tabs>
          <w:tab w:leader="none" w:pos="126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every entry in the register of members purporting to have been made on the basis of an instrument of transfer or other document destroyed in accordance with Article 46.1 was duly and properly made;</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that every instrument of transfer destroyed in accordance with Article 46.1 was a valid and effective instrument duly and properly registered;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that every share certificate destroyed in accordance with Article 46.1 was a valid and effective certificate duly and properly cancelled;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that every other document destroyed in accordance with Article 46.1 was a valid and effective document in accordance with the particulars in the records of the Company.</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provided that</w:t>
      </w:r>
    </w:p>
    <w:p>
      <w:pPr>
        <w:spacing w:after="0" w:line="189" w:lineRule="exact"/>
        <w:rPr>
          <w:sz w:val="20"/>
          <w:szCs w:val="20"/>
          <w:color w:val="auto"/>
        </w:rPr>
      </w:pPr>
    </w:p>
    <w:p>
      <w:pPr>
        <w:ind w:left="1920" w:hanging="642"/>
        <w:spacing w:after="0" w:line="260" w:lineRule="auto"/>
        <w:tabs>
          <w:tab w:leader="none" w:pos="19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Article 46.1 shall apply only to the destruction of a document in good faith and without notice of any claim (regardless of the parties to it) to which the document might be relevant;</w:t>
      </w:r>
    </w:p>
    <w:p>
      <w:pPr>
        <w:spacing w:after="0" w:line="149" w:lineRule="exact"/>
        <w:rPr>
          <w:rFonts w:ascii="Arial" w:cs="Arial" w:eastAsia="Arial" w:hAnsi="Arial"/>
          <w:sz w:val="20"/>
          <w:szCs w:val="20"/>
          <w:color w:val="auto"/>
        </w:rPr>
      </w:pPr>
    </w:p>
    <w:p>
      <w:pPr>
        <w:jc w:val="both"/>
        <w:ind w:left="1920" w:hanging="642"/>
        <w:spacing w:after="0" w:line="250" w:lineRule="auto"/>
        <w:tabs>
          <w:tab w:leader="none" w:pos="19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159" w:lineRule="exact"/>
        <w:rPr>
          <w:rFonts w:ascii="Arial" w:cs="Arial" w:eastAsia="Arial" w:hAnsi="Arial"/>
          <w:sz w:val="20"/>
          <w:szCs w:val="20"/>
          <w:color w:val="auto"/>
        </w:rPr>
      </w:pPr>
    </w:p>
    <w:p>
      <w:pPr>
        <w:ind w:left="1920" w:hanging="642"/>
        <w:spacing w:after="0"/>
        <w:tabs>
          <w:tab w:leader="none" w:pos="19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references in Article 46.1 to the destruction of any document include references to the disposal of it in any manner.</w:t>
      </w:r>
    </w:p>
    <w:p>
      <w:pPr>
        <w:spacing w:after="0" w:line="212"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46.3</w:t>
        <w:tab/>
        <w:t>References in this Article 46 to instruments of transfer shall include, in relation to uncertificated shares, instructions and/or notifications made in accordance with the relevant system relating to transfer of such shares.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6" w:right="239" w:bottom="1440" w:gutter="0" w:footer="0" w:header="0"/>
        </w:sectPr>
      </w:pPr>
    </w:p>
    <w:bookmarkStart w:id="62" w:name="page63"/>
    <w:bookmarkEnd w:id="62"/>
    <w:p>
      <w:pPr>
        <w:ind w:left="620" w:hanging="612"/>
        <w:spacing w:after="0"/>
        <w:tabs>
          <w:tab w:leader="none" w:pos="62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WINDING UP</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47.1</w:t>
        <w:tab/>
        <w:t>If the Company commences liquidation, the liquidator may, with the sanction of a special resolution of the Company and any other sanction required by law, subject to the provisions of the Companies Act:</w:t>
      </w:r>
    </w:p>
    <w:p>
      <w:pPr>
        <w:spacing w:after="0" w:line="150" w:lineRule="exact"/>
        <w:rPr>
          <w:sz w:val="20"/>
          <w:szCs w:val="20"/>
          <w:color w:val="auto"/>
        </w:rPr>
      </w:pPr>
    </w:p>
    <w:p>
      <w:pPr>
        <w:jc w:val="both"/>
        <w:ind w:left="1280" w:hanging="624"/>
        <w:spacing w:after="0" w:line="250" w:lineRule="auto"/>
        <w:tabs>
          <w:tab w:leader="none" w:pos="126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15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vest the whole or any part of the assets in trustees upon such trusts for the benefit of the members as he may with the like sanction determine;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but no member shall be compelled to accept any assets upon which there is a liability.</w:t>
      </w:r>
    </w:p>
    <w:p>
      <w:pPr>
        <w:spacing w:after="0" w:line="189" w:lineRule="exact"/>
        <w:rPr>
          <w:sz w:val="20"/>
          <w:szCs w:val="20"/>
          <w:color w:val="auto"/>
        </w:rPr>
      </w:pPr>
    </w:p>
    <w:p>
      <w:pPr>
        <w:ind w:left="620" w:hanging="620"/>
        <w:spacing w:after="0" w:line="287" w:lineRule="auto"/>
        <w:tabs>
          <w:tab w:leader="none" w:pos="600" w:val="left"/>
        </w:tabs>
        <w:rPr>
          <w:sz w:val="20"/>
          <w:szCs w:val="20"/>
          <w:color w:val="auto"/>
        </w:rPr>
      </w:pPr>
      <w:r>
        <w:rPr>
          <w:rFonts w:ascii="Arial" w:cs="Arial" w:eastAsia="Arial" w:hAnsi="Arial"/>
          <w:sz w:val="20"/>
          <w:szCs w:val="20"/>
          <w:color w:val="auto"/>
        </w:rPr>
        <w:t>47.2</w:t>
      </w:r>
      <w:r>
        <w:rPr>
          <w:sz w:val="20"/>
          <w:szCs w:val="20"/>
          <w:color w:val="auto"/>
        </w:rPr>
        <w:tab/>
      </w:r>
      <w:r>
        <w:rPr>
          <w:rFonts w:ascii="Arial" w:cs="Arial" w:eastAsia="Arial" w:hAnsi="Arial"/>
          <w:sz w:val="19"/>
          <w:szCs w:val="19"/>
          <w:color w:val="auto"/>
        </w:rPr>
        <w:t>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120" w:lineRule="exact"/>
        <w:rPr>
          <w:sz w:val="20"/>
          <w:szCs w:val="20"/>
          <w:color w:val="auto"/>
        </w:rPr>
      </w:pPr>
    </w:p>
    <w:p>
      <w:pPr>
        <w:ind w:left="620" w:hanging="612"/>
        <w:spacing w:after="0"/>
        <w:tabs>
          <w:tab w:leader="none" w:pos="62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INDEMNITY AND INSURANCE</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48.1</w:t>
      </w:r>
      <w:r>
        <w:rPr>
          <w:sz w:val="20"/>
          <w:szCs w:val="20"/>
          <w:color w:val="auto"/>
        </w:rPr>
        <w:tab/>
      </w:r>
      <w:r>
        <w:rPr>
          <w:rFonts w:ascii="Arial" w:cs="Arial" w:eastAsia="Arial" w:hAnsi="Arial"/>
          <w:sz w:val="16"/>
          <w:szCs w:val="16"/>
          <w:color w:val="auto"/>
        </w:rPr>
        <w:t>Subject to the provisions of the Companies Act, the Company may exercise all the powers of the Company to:</w:t>
      </w:r>
    </w:p>
    <w:p>
      <w:pPr>
        <w:spacing w:after="0" w:line="189" w:lineRule="exact"/>
        <w:rPr>
          <w:sz w:val="20"/>
          <w:szCs w:val="20"/>
          <w:color w:val="auto"/>
        </w:rPr>
      </w:pPr>
    </w:p>
    <w:p>
      <w:pPr>
        <w:jc w:val="both"/>
        <w:ind w:left="1280" w:hanging="624"/>
        <w:spacing w:after="0" w:line="246" w:lineRule="auto"/>
        <w:tabs>
          <w:tab w:leader="none" w:pos="126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164"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spacing w:after="0" w:line="124" w:lineRule="exact"/>
        <w:rPr>
          <w:rFonts w:ascii="Arial" w:cs="Arial" w:eastAsia="Arial" w:hAnsi="Arial"/>
          <w:sz w:val="18"/>
          <w:szCs w:val="18"/>
          <w:color w:val="auto"/>
        </w:rPr>
      </w:pPr>
    </w:p>
    <w:p>
      <w:pPr>
        <w:ind w:left="1260" w:hanging="604"/>
        <w:spacing w:after="0"/>
        <w:tabs>
          <w:tab w:leader="none" w:pos="12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purchase and maintain insurance for or for the benefit of any person who is or was:</w:t>
      </w:r>
    </w:p>
    <w:p>
      <w:pPr>
        <w:spacing w:after="0" w:line="188" w:lineRule="exact"/>
        <w:rPr>
          <w:rFonts w:ascii="Arial" w:cs="Arial" w:eastAsia="Arial" w:hAnsi="Arial"/>
          <w:sz w:val="20"/>
          <w:szCs w:val="20"/>
          <w:color w:val="auto"/>
        </w:rPr>
      </w:pPr>
    </w:p>
    <w:p>
      <w:pPr>
        <w:jc w:val="both"/>
        <w:ind w:left="1920" w:hanging="642"/>
        <w:spacing w:after="0" w:line="246" w:lineRule="auto"/>
        <w:tabs>
          <w:tab w:leader="none" w:pos="192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164"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 trustee of any pension fund in which employees of the Company or any other body referred to in paragraph (c)(1) of this Article 48.1 are or have been interested;</w:t>
      </w:r>
    </w:p>
    <w:p>
      <w:pPr>
        <w:spacing w:after="0" w:line="150"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 or offices, whether comprising negligence, default, breach of duty, breach of trust or otherwise, in relation to the relevant body or fund.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0" w:right="239" w:bottom="1440" w:gutter="0" w:footer="0" w:header="0"/>
        </w:sectPr>
      </w:pPr>
    </w:p>
    <w:bookmarkStart w:id="63" w:name="page64"/>
    <w:bookmarkEnd w:id="63"/>
    <w:p>
      <w:pPr>
        <w:ind w:left="620" w:hanging="620"/>
        <w:spacing w:after="0" w:line="287" w:lineRule="auto"/>
        <w:tabs>
          <w:tab w:leader="none" w:pos="600" w:val="left"/>
        </w:tabs>
        <w:rPr>
          <w:sz w:val="20"/>
          <w:szCs w:val="20"/>
          <w:color w:val="auto"/>
        </w:rPr>
      </w:pPr>
      <w:r>
        <w:rPr>
          <w:rFonts w:ascii="Arial" w:cs="Arial" w:eastAsia="Arial" w:hAnsi="Arial"/>
          <w:sz w:val="20"/>
          <w:szCs w:val="20"/>
          <w:color w:val="auto"/>
        </w:rPr>
        <w:t>48.2</w:t>
      </w:r>
      <w:r>
        <w:rPr>
          <w:sz w:val="20"/>
          <w:szCs w:val="20"/>
          <w:color w:val="auto"/>
        </w:rPr>
        <w:tab/>
      </w:r>
      <w:r>
        <w:rPr>
          <w:rFonts w:ascii="Arial" w:cs="Arial" w:eastAsia="Arial" w:hAnsi="Arial"/>
          <w:sz w:val="19"/>
          <w:szCs w:val="19"/>
          <w:color w:val="auto"/>
        </w:rPr>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120" w:lineRule="exact"/>
        <w:rPr>
          <w:sz w:val="20"/>
          <w:szCs w:val="20"/>
          <w:color w:val="auto"/>
        </w:rPr>
      </w:pPr>
    </w:p>
    <w:p>
      <w:pPr>
        <w:ind w:left="620" w:hanging="612"/>
        <w:spacing w:after="0"/>
        <w:tabs>
          <w:tab w:leader="none" w:pos="620"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DISPUTE RESOLUTION</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49.1</w:t>
        <w:tab/>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16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49.2</w:t>
        <w:tab/>
        <w:t>The governing law of these Articles is the law of England and Wales and these Articles shall be interpreted in accordance with English law.</w:t>
      </w:r>
    </w:p>
    <w:p>
      <w:pPr>
        <w:spacing w:after="0" w:line="15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49.3</w:t>
        <w:tab/>
        <w:t>For the purposes of Article 49.1, Director shall be read so as to include each and any Director of the Company from time to time in his capacity as such or as an employee of the Company and shall include any former Director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1."/>
      <w:numFmt w:val="decimal"/>
      <w:start w:val="2"/>
    </w:lvl>
  </w:abstractNum>
  <w:abstractNum w:abstractNumId="2">
    <w:nsid w:val="799D0247"/>
    <w:multiLevelType w:val="hybridMultilevel"/>
    <w:lvl w:ilvl="0">
      <w:lvlJc w:val="left"/>
      <w:lvlText w:val="%1."/>
      <w:numFmt w:val="decimal"/>
      <w:start w:val="3"/>
    </w:lvl>
  </w:abstractNum>
  <w:abstractNum w:abstractNumId="3">
    <w:nsid w:val="6B94764"/>
    <w:multiLevelType w:val="hybridMultilevel"/>
    <w:lvl w:ilvl="0">
      <w:lvlJc w:val="left"/>
      <w:lvlText w:val="%1."/>
      <w:numFmt w:val="decimal"/>
      <w:start w:val="4"/>
    </w:lvl>
  </w:abstractNum>
  <w:abstractNum w:abstractNumId="4">
    <w:nsid w:val="42C296BD"/>
    <w:multiLevelType w:val="hybridMultilevel"/>
    <w:lvl w:ilvl="0">
      <w:lvlJc w:val="left"/>
      <w:lvlText w:val="%1."/>
      <w:numFmt w:val="decimal"/>
      <w:start w:val="5"/>
    </w:lvl>
  </w:abstractNum>
  <w:abstractNum w:abstractNumId="5">
    <w:nsid w:val="168E121F"/>
    <w:multiLevelType w:val="hybridMultilevel"/>
    <w:lvl w:ilvl="0">
      <w:lvlJc w:val="left"/>
      <w:lvlText w:val="%1."/>
      <w:numFmt w:val="decimal"/>
      <w:start w:val="6"/>
    </w:lvl>
  </w:abstractNum>
  <w:abstractNum w:abstractNumId="6">
    <w:nsid w:val="1EBA5D23"/>
    <w:multiLevelType w:val="hybridMultilevel"/>
    <w:lvl w:ilvl="0">
      <w:lvlJc w:val="left"/>
      <w:lvlText w:val="%1."/>
      <w:numFmt w:val="decimal"/>
      <w:start w:val="1"/>
    </w:lvl>
  </w:abstractNum>
  <w:abstractNum w:abstractNumId="7">
    <w:nsid w:val="661E3F1E"/>
    <w:multiLevelType w:val="hybridMultilevel"/>
    <w:lvl w:ilvl="0">
      <w:lvlJc w:val="left"/>
      <w:lvlText w:val="(%1)"/>
      <w:numFmt w:val="lowerLetter"/>
      <w:start w:val="1"/>
    </w:lvl>
  </w:abstractNum>
  <w:abstractNum w:abstractNumId="8">
    <w:nsid w:val="5DC79EA8"/>
    <w:multiLevelType w:val="hybridMultilevel"/>
    <w:lvl w:ilvl="0">
      <w:lvlJc w:val="left"/>
      <w:lvlText w:val="(%1)"/>
      <w:numFmt w:val="lowerLetter"/>
      <w:start w:val="11"/>
    </w:lvl>
  </w:abstractNum>
  <w:abstractNum w:abstractNumId="9">
    <w:nsid w:val="540A471C"/>
    <w:multiLevelType w:val="hybridMultilevel"/>
    <w:lvl w:ilvl="0">
      <w:lvlJc w:val="left"/>
      <w:lvlText w:val="%1."/>
      <w:numFmt w:val="decimal"/>
      <w:start w:val="3"/>
    </w:lvl>
  </w:abstractNum>
  <w:abstractNum w:abstractNumId="10">
    <w:nsid w:val="7BD3EE7B"/>
    <w:multiLevelType w:val="hybridMultilevel"/>
    <w:lvl w:ilvl="0">
      <w:lvlJc w:val="left"/>
      <w:lvlText w:val="(%1)"/>
      <w:numFmt w:val="lowerLetter"/>
      <w:start w:val="1"/>
    </w:lvl>
  </w:abstractNum>
  <w:abstractNum w:abstractNumId="11">
    <w:nsid w:val="51D9C564"/>
    <w:multiLevelType w:val="hybridMultilevel"/>
    <w:lvl w:ilvl="0">
      <w:lvlJc w:val="left"/>
      <w:lvlText w:val="(%1)"/>
      <w:numFmt w:val="lowerLetter"/>
      <w:start w:val="1"/>
    </w:lvl>
  </w:abstractNum>
  <w:abstractNum w:abstractNumId="12">
    <w:nsid w:val="613EFDC5"/>
    <w:multiLevelType w:val="hybridMultilevel"/>
    <w:lvl w:ilvl="0">
      <w:lvlJc w:val="left"/>
      <w:lvlText w:val="(%1)"/>
      <w:numFmt w:val="lowerLetter"/>
      <w:start w:val="1"/>
    </w:lvl>
  </w:abstractNum>
  <w:abstractNum w:abstractNumId="13">
    <w:nsid w:val="BF72B14"/>
    <w:multiLevelType w:val="hybridMultilevel"/>
    <w:lvl w:ilvl="0">
      <w:lvlJc w:val="left"/>
      <w:lvlText w:val="(%1)"/>
      <w:numFmt w:val="lowerLetter"/>
      <w:start w:val="1"/>
    </w:lvl>
  </w:abstractNum>
  <w:abstractNum w:abstractNumId="14">
    <w:nsid w:val="11447B73"/>
    <w:multiLevelType w:val="hybridMultilevel"/>
    <w:lvl w:ilvl="0">
      <w:lvlJc w:val="left"/>
      <w:lvlText w:val="%1."/>
      <w:numFmt w:val="decimal"/>
      <w:start w:val="5"/>
    </w:lvl>
  </w:abstractNum>
  <w:abstractNum w:abstractNumId="15">
    <w:nsid w:val="42963E5A"/>
    <w:multiLevelType w:val="hybridMultilevel"/>
    <w:lvl w:ilvl="0">
      <w:lvlJc w:val="left"/>
      <w:lvlText w:val="(%1)"/>
      <w:numFmt w:val="lowerLetter"/>
      <w:start w:val="1"/>
    </w:lvl>
  </w:abstractNum>
  <w:abstractNum w:abstractNumId="16">
    <w:nsid w:val="A0382C5"/>
    <w:multiLevelType w:val="hybridMultilevel"/>
    <w:lvl w:ilvl="0">
      <w:lvlJc w:val="left"/>
      <w:lvlText w:val="(%1)"/>
      <w:numFmt w:val="lowerLetter"/>
      <w:start w:val="1"/>
    </w:lvl>
  </w:abstractNum>
  <w:abstractNum w:abstractNumId="17">
    <w:nsid w:val="8F2B15E"/>
    <w:multiLevelType w:val="hybridMultilevel"/>
    <w:lvl w:ilvl="0">
      <w:lvlJc w:val="left"/>
      <w:lvlText w:val="%1."/>
      <w:numFmt w:val="decimal"/>
      <w:start w:val="6"/>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1"/>
    </w:lvl>
  </w:abstractNum>
  <w:abstractNum w:abstractNumId="20">
    <w:nsid w:val="68EB2F63"/>
    <w:multiLevelType w:val="hybridMultilevel"/>
    <w:lvl w:ilvl="0">
      <w:lvlJc w:val="left"/>
      <w:lvlText w:val="%1"/>
      <w:numFmt w:val="decimal"/>
      <w:start w:val="1"/>
    </w:lvl>
    <w:lvl w:ilvl="1">
      <w:lvlJc w:val="left"/>
      <w:lvlText w:val="(%2)"/>
      <w:numFmt w:val="lowerLetter"/>
      <w:start w:val="2"/>
    </w:lvl>
  </w:abstractNum>
  <w:abstractNum w:abstractNumId="21">
    <w:nsid w:val="4962813B"/>
    <w:multiLevelType w:val="hybridMultilevel"/>
    <w:lvl w:ilvl="0">
      <w:lvlJc w:val="left"/>
      <w:lvlText w:val="%1."/>
      <w:numFmt w:val="decimal"/>
      <w:start w:val="7"/>
    </w:lvl>
    <w:lvl w:ilvl="1">
      <w:lvlJc w:val="left"/>
      <w:lvlText w:val="%2"/>
      <w:numFmt w:val="lowerLetter"/>
      <w:start w:val="1"/>
    </w:lvl>
  </w:abstractNum>
  <w:abstractNum w:abstractNumId="22">
    <w:nsid w:val="60B6DF70"/>
    <w:multiLevelType w:val="hybridMultilevel"/>
    <w:lvl w:ilvl="0">
      <w:lvlJc w:val="left"/>
      <w:lvlText w:val="(%1)"/>
      <w:numFmt w:val="lowerLetter"/>
      <w:start w:val="1"/>
    </w:lvl>
  </w:abstractNum>
  <w:abstractNum w:abstractNumId="23">
    <w:nsid w:val="6A5EE64"/>
    <w:multiLevelType w:val="hybridMultilevel"/>
    <w:lvl w:ilvl="0">
      <w:lvlJc w:val="left"/>
      <w:lvlText w:val="%1."/>
      <w:numFmt w:val="decimal"/>
      <w:start w:val="8"/>
    </w:lvl>
  </w:abstractNum>
  <w:abstractNum w:abstractNumId="24">
    <w:nsid w:val="14330624"/>
    <w:multiLevelType w:val="hybridMultilevel"/>
    <w:lvl w:ilvl="0">
      <w:lvlJc w:val="left"/>
      <w:lvlText w:val="%1."/>
      <w:numFmt w:val="decimal"/>
      <w:start w:val="9"/>
    </w:lvl>
  </w:abstractNum>
  <w:abstractNum w:abstractNumId="25">
    <w:nsid w:val="7FFFCA11"/>
    <w:multiLevelType w:val="hybridMultilevel"/>
    <w:lvl w:ilvl="0">
      <w:lvlJc w:val="left"/>
      <w:lvlText w:val="%1."/>
      <w:numFmt w:val="decimal"/>
      <w:start w:val="10"/>
    </w:lvl>
  </w:abstractNum>
  <w:abstractNum w:abstractNumId="26">
    <w:nsid w:val="1A27709E"/>
    <w:multiLevelType w:val="hybridMultilevel"/>
    <w:lvl w:ilvl="0">
      <w:lvlJc w:val="left"/>
      <w:lvlText w:val="%1."/>
      <w:numFmt w:val="decimal"/>
      <w:start w:val="11"/>
    </w:lvl>
  </w:abstractNum>
  <w:abstractNum w:abstractNumId="27">
    <w:nsid w:val="71EA1109"/>
    <w:multiLevelType w:val="hybridMultilevel"/>
    <w:lvl w:ilvl="0">
      <w:lvlJc w:val="left"/>
      <w:lvlText w:val="(%1)"/>
      <w:numFmt w:val="lowerLetter"/>
      <w:start w:val="1"/>
    </w:lvl>
    <w:lvl w:ilvl="1">
      <w:lvlJc w:val="left"/>
      <w:lvlText w:val="(%2)"/>
      <w:numFmt w:val="lowerRoman"/>
      <w:start w:val="1"/>
    </w:lvl>
  </w:abstractNum>
  <w:abstractNum w:abstractNumId="28">
    <w:nsid w:val="100F59DC"/>
    <w:multiLevelType w:val="hybridMultilevel"/>
    <w:lvl w:ilvl="0">
      <w:lvlJc w:val="left"/>
      <w:lvlText w:val="(%1)"/>
      <w:numFmt w:val="lowerRoman"/>
      <w:start w:val="2"/>
    </w:lvl>
  </w:abstractNum>
  <w:abstractNum w:abstractNumId="29">
    <w:nsid w:val="7FB7E0AA"/>
    <w:multiLevelType w:val="hybridMultilevel"/>
    <w:lvl w:ilvl="0">
      <w:lvlJc w:val="left"/>
      <w:lvlText w:val="(%1)"/>
      <w:numFmt w:val="lowerLetter"/>
      <w:start w:val="2"/>
    </w:lvl>
  </w:abstractNum>
  <w:abstractNum w:abstractNumId="30">
    <w:nsid w:val="6EB5BD4"/>
    <w:multiLevelType w:val="hybridMultilevel"/>
    <w:lvl w:ilvl="0">
      <w:lvlJc w:val="left"/>
      <w:lvlText w:val="%1."/>
      <w:numFmt w:val="decimal"/>
      <w:start w:val="12"/>
    </w:lvl>
  </w:abstractNum>
  <w:abstractNum w:abstractNumId="31">
    <w:nsid w:val="6F6DD9AC"/>
    <w:multiLevelType w:val="hybridMultilevel"/>
    <w:lvl w:ilvl="0">
      <w:lvlJc w:val="left"/>
      <w:lvlText w:val="(%1)"/>
      <w:numFmt w:val="lowerLetter"/>
      <w:start w:val="1"/>
    </w:lvl>
  </w:abstractNum>
  <w:abstractNum w:abstractNumId="32">
    <w:nsid w:val="94211F2"/>
    <w:multiLevelType w:val="hybridMultilevel"/>
    <w:lvl w:ilvl="0">
      <w:lvlJc w:val="left"/>
      <w:lvlText w:val="%1."/>
      <w:numFmt w:val="decimal"/>
      <w:start w:val="13"/>
    </w:lvl>
  </w:abstractNum>
  <w:abstractNum w:abstractNumId="33">
    <w:nsid w:val="885E1B"/>
    <w:multiLevelType w:val="hybridMultilevel"/>
    <w:lvl w:ilvl="0">
      <w:lvlJc w:val="left"/>
      <w:lvlText w:val="(%1)"/>
      <w:numFmt w:val="lowerLetter"/>
      <w:start w:val="1"/>
    </w:lvl>
  </w:abstractNum>
  <w:abstractNum w:abstractNumId="34">
    <w:nsid w:val="76272110"/>
    <w:multiLevelType w:val="hybridMultilevel"/>
    <w:lvl w:ilvl="0">
      <w:lvlJc w:val="left"/>
      <w:lvlText w:val="(%1)"/>
      <w:numFmt w:val="lowerLetter"/>
      <w:start w:val="1"/>
    </w:lvl>
  </w:abstractNum>
  <w:abstractNum w:abstractNumId="35">
    <w:nsid w:val="4C04A8AF"/>
    <w:multiLevelType w:val="hybridMultilevel"/>
    <w:lvl w:ilvl="0">
      <w:lvlJc w:val="left"/>
      <w:lvlText w:val="%1."/>
      <w:numFmt w:val="decimal"/>
      <w:start w:val="15"/>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decimal"/>
      <w:start w:val="16"/>
    </w:lvl>
  </w:abstractNum>
  <w:abstractNum w:abstractNumId="38">
    <w:nsid w:val="3222E7CD"/>
    <w:multiLevelType w:val="hybridMultilevel"/>
    <w:lvl w:ilvl="0">
      <w:lvlJc w:val="left"/>
      <w:lvlText w:val="(%1)"/>
      <w:numFmt w:val="lowerLetter"/>
      <w:start w:val="1"/>
    </w:lvl>
  </w:abstractNum>
  <w:abstractNum w:abstractNumId="39">
    <w:nsid w:val="74DE0EE3"/>
    <w:multiLevelType w:val="hybridMultilevel"/>
    <w:lvl w:ilvl="0">
      <w:lvlJc w:val="left"/>
      <w:lvlText w:val="%1."/>
      <w:numFmt w:val="decimal"/>
      <w:start w:val="17"/>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decimal"/>
      <w:start w:val="18"/>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lowerLetter"/>
      <w:start w:val="2"/>
    </w:lvl>
  </w:abstractNum>
  <w:abstractNum w:abstractNumId="44">
    <w:nsid w:val="39EE015C"/>
    <w:multiLevelType w:val="hybridMultilevel"/>
    <w:lvl w:ilvl="0">
      <w:lvlJc w:val="left"/>
      <w:lvlText w:val="(%1)"/>
      <w:numFmt w:val="lowerLetter"/>
      <w:start w:val="1"/>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2"/>
    </w:lvl>
  </w:abstractNum>
  <w:abstractNum w:abstractNumId="47">
    <w:nsid w:val="43F18422"/>
    <w:multiLevelType w:val="hybridMultilevel"/>
    <w:lvl w:ilvl="0">
      <w:lvlJc w:val="left"/>
      <w:lvlText w:val="(%1)"/>
      <w:numFmt w:val="lowerLetter"/>
      <w:start w:val="1"/>
    </w:lvl>
    <w:lvl w:ilvl="1">
      <w:lvlJc w:val="left"/>
      <w:lvlText w:val="(%2)"/>
      <w:numFmt w:val="lowerRoman"/>
      <w:start w:val="1"/>
    </w:lvl>
  </w:abstractNum>
  <w:abstractNum w:abstractNumId="48">
    <w:nsid w:val="60EF0119"/>
    <w:multiLevelType w:val="hybridMultilevel"/>
    <w:lvl w:ilvl="0">
      <w:lvlJc w:val="left"/>
      <w:lvlText w:val="%1."/>
      <w:numFmt w:val="decimal"/>
      <w:start w:val="19"/>
    </w:lvl>
  </w:abstractNum>
  <w:abstractNum w:abstractNumId="49">
    <w:nsid w:val="26F324BA"/>
    <w:multiLevelType w:val="hybridMultilevel"/>
    <w:lvl w:ilvl="0">
      <w:lvlJc w:val="left"/>
      <w:lvlText w:val="(%1)"/>
      <w:numFmt w:val="lowerLetter"/>
      <w:start w:val="1"/>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decimal"/>
      <w:start w:val="20"/>
    </w:lvl>
  </w:abstractNum>
  <w:abstractNum w:abstractNumId="52">
    <w:nsid w:val="7055A5F5"/>
    <w:multiLevelType w:val="hybridMultilevel"/>
    <w:lvl w:ilvl="0">
      <w:lvlJc w:val="left"/>
      <w:lvlText w:val="(%1)"/>
      <w:numFmt w:val="lowerLetter"/>
      <w:start w:val="1"/>
    </w:lvl>
    <w:lvl w:ilvl="1">
      <w:lvlJc w:val="left"/>
      <w:lvlText w:val="(%2)"/>
      <w:numFmt w:val="lowerRoman"/>
      <w:start w:val="1"/>
    </w:lvl>
  </w:abstractNum>
  <w:abstractNum w:abstractNumId="53">
    <w:nsid w:val="5FB8370B"/>
    <w:multiLevelType w:val="hybridMultilevel"/>
    <w:lvl w:ilvl="0">
      <w:lvlJc w:val="left"/>
      <w:lvlText w:val="(%1)"/>
      <w:numFmt w:val="upperLetter"/>
      <w:start w:val="1"/>
    </w:lvl>
  </w:abstractNum>
  <w:abstractNum w:abstractNumId="54">
    <w:nsid w:val="50801EE1"/>
    <w:multiLevelType w:val="hybridMultilevel"/>
    <w:lvl w:ilvl="0">
      <w:lvlJc w:val="left"/>
      <w:lvlText w:val="%1."/>
      <w:numFmt w:val="decimal"/>
      <w:start w:val="21"/>
    </w:lvl>
  </w:abstractNum>
  <w:abstractNum w:abstractNumId="55">
    <w:nsid w:val="488AC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
    <w:nsid w:val="5FB8011C"/>
    <w:multiLevelType w:val="hybridMultilevel"/>
    <w:lvl w:ilvl="0">
      <w:lvlJc w:val="left"/>
      <w:lvlText w:val="(%1)"/>
      <w:numFmt w:val="upperLetter"/>
      <w:start w:val="2"/>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Letter"/>
      <w:start w:val="1"/>
    </w:lvl>
    <w:lvl w:ilvl="1">
      <w:lvlJc w:val="left"/>
      <w:lvlText w:val="(%2)"/>
      <w:numFmt w:val="lowerRoman"/>
      <w:start w:val="1"/>
    </w:lvl>
  </w:abstractNum>
  <w:abstractNum w:abstractNumId="59">
    <w:nsid w:val="6FC75AF8"/>
    <w:multiLevelType w:val="hybridMultilevel"/>
    <w:lvl w:ilvl="0">
      <w:lvlJc w:val="left"/>
      <w:lvlText w:val="%1."/>
      <w:numFmt w:val="decimal"/>
      <w:start w:val="22"/>
    </w:lvl>
  </w:abstractNum>
  <w:abstractNum w:abstractNumId="60">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
    <w:nsid w:val="7D5E18F8"/>
    <w:multiLevelType w:val="hybridMultilevel"/>
    <w:lvl w:ilvl="0">
      <w:lvlJc w:val="left"/>
      <w:lvlText w:val="(%1)"/>
      <w:numFmt w:val="lowerLetter"/>
      <w:start w:val="1"/>
    </w:lvl>
  </w:abstractNum>
  <w:abstractNum w:abstractNumId="62">
    <w:nsid w:val="5F3534A4"/>
    <w:multiLevelType w:val="hybridMultilevel"/>
    <w:lvl w:ilvl="0">
      <w:lvlJc w:val="left"/>
      <w:lvlText w:val="(%1)"/>
      <w:numFmt w:val="lowerLetter"/>
      <w:start w:val="1"/>
    </w:lvl>
    <w:lvl w:ilvl="1">
      <w:lvlJc w:val="left"/>
      <w:lvlText w:val="(%2)"/>
      <w:numFmt w:val="lowerRoman"/>
      <w:start w:val="1"/>
    </w:lvl>
  </w:abstractNum>
  <w:abstractNum w:abstractNumId="63">
    <w:nsid w:val="73A1821B"/>
    <w:multiLevelType w:val="hybridMultilevel"/>
    <w:lvl w:ilvl="0">
      <w:lvlJc w:val="left"/>
      <w:lvlText w:val="(%1)"/>
      <w:numFmt w:val="lowerLetter"/>
      <w:start w:val="2"/>
    </w:lvl>
    <w:lvl w:ilvl="1">
      <w:lvlJc w:val="left"/>
      <w:lvlText w:val="(%2)"/>
      <w:numFmt w:val="lowerRoman"/>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1"/>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decimal"/>
      <w:start w:val="23"/>
    </w:lvl>
  </w:abstractNum>
  <w:abstractNum w:abstractNumId="68">
    <w:nsid w:val="6A3DD3E8"/>
    <w:multiLevelType w:val="hybridMultilevel"/>
    <w:lvl w:ilvl="0">
      <w:lvlJc w:val="left"/>
      <w:lvlText w:val="%1."/>
      <w:numFmt w:val="decimal"/>
      <w:start w:val="24"/>
    </w:lvl>
  </w:abstractNum>
  <w:abstractNum w:abstractNumId="69">
    <w:nsid w:val="71C91298"/>
    <w:multiLevelType w:val="hybridMultilevel"/>
    <w:lvl w:ilvl="0">
      <w:lvlJc w:val="left"/>
      <w:lvlText w:val="(%1)"/>
      <w:numFmt w:val="lowerLetter"/>
      <w:start w:val="1"/>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decimal"/>
      <w:start w:val="25"/>
    </w:lvl>
  </w:abstractNum>
  <w:abstractNum w:abstractNumId="73">
    <w:nsid w:val="5092CA79"/>
    <w:multiLevelType w:val="hybridMultilevel"/>
    <w:lvl w:ilvl="0">
      <w:lvlJc w:val="left"/>
      <w:lvlText w:val="%1."/>
      <w:numFmt w:val="decimal"/>
      <w:start w:val="26"/>
    </w:lvl>
  </w:abstractNum>
  <w:abstractNum w:abstractNumId="74">
    <w:nsid w:val="1D545C4D"/>
    <w:multiLevelType w:val="hybridMultilevel"/>
    <w:lvl w:ilvl="0">
      <w:lvlJc w:val="left"/>
      <w:lvlText w:val="%1."/>
      <w:numFmt w:val="decimal"/>
      <w:start w:val="28"/>
    </w:lvl>
  </w:abstractNum>
  <w:abstractNum w:abstractNumId="75">
    <w:nsid w:val="59ADEA3D"/>
    <w:multiLevelType w:val="hybridMultilevel"/>
    <w:lvl w:ilvl="0">
      <w:lvlJc w:val="left"/>
      <w:lvlText w:val="%1."/>
      <w:numFmt w:val="decimal"/>
      <w:start w:val="29"/>
    </w:lvl>
  </w:abstractNum>
  <w:abstractNum w:abstractNumId="76">
    <w:nsid w:val="288F1A34"/>
    <w:multiLevelType w:val="hybridMultilevel"/>
    <w:lvl w:ilvl="0">
      <w:lvlJc w:val="left"/>
      <w:lvlText w:val="(%1)"/>
      <w:numFmt w:val="lowerLetter"/>
      <w:start w:val="1"/>
    </w:lvl>
  </w:abstractNum>
  <w:abstractNum w:abstractNumId="77">
    <w:nsid w:val="2A155DBC"/>
    <w:multiLevelType w:val="hybridMultilevel"/>
    <w:lvl w:ilvl="0">
      <w:lvlJc w:val="left"/>
      <w:lvlText w:val="(%1)"/>
      <w:numFmt w:val="lowerLetter"/>
      <w:start w:val="2"/>
    </w:lvl>
  </w:abstractNum>
  <w:abstractNum w:abstractNumId="78">
    <w:nsid w:val="1D9F6E5F"/>
    <w:multiLevelType w:val="hybridMultilevel"/>
    <w:lvl w:ilvl="0">
      <w:lvlJc w:val="left"/>
      <w:lvlText w:val="%1."/>
      <w:numFmt w:val="decimal"/>
      <w:start w:val="30"/>
    </w:lvl>
  </w:abstractNum>
  <w:abstractNum w:abstractNumId="79">
    <w:nsid w:val="97E1B4E"/>
    <w:multiLevelType w:val="hybridMultilevel"/>
    <w:lvl w:ilvl="0">
      <w:lvlJc w:val="left"/>
      <w:lvlText w:val="(%1)"/>
      <w:numFmt w:val="lowerLetter"/>
      <w:start w:val="1"/>
    </w:lvl>
  </w:abstractNum>
  <w:abstractNum w:abstractNumId="80">
    <w:nsid w:val="51088277"/>
    <w:multiLevelType w:val="hybridMultilevel"/>
    <w:lvl w:ilvl="0">
      <w:lvlJc w:val="left"/>
      <w:lvlText w:val="(%1)"/>
      <w:numFmt w:val="lowerLetter"/>
      <w:start w:val="6"/>
    </w:lvl>
  </w:abstractNum>
  <w:abstractNum w:abstractNumId="81">
    <w:nsid w:val="1CA0C5FA"/>
    <w:multiLevelType w:val="hybridMultilevel"/>
    <w:lvl w:ilvl="0">
      <w:lvlJc w:val="left"/>
      <w:lvlText w:val="%1."/>
      <w:numFmt w:val="decimal"/>
      <w:start w:val="31"/>
    </w:lvl>
  </w:abstractNum>
  <w:abstractNum w:abstractNumId="82">
    <w:nsid w:val="53584BCB"/>
    <w:multiLevelType w:val="hybridMultilevel"/>
    <w:lvl w:ilvl="0">
      <w:lvlJc w:val="left"/>
      <w:lvlText w:val="%1."/>
      <w:numFmt w:val="decimal"/>
      <w:start w:val="32"/>
    </w:lvl>
  </w:abstractNum>
  <w:abstractNum w:abstractNumId="83">
    <w:nsid w:val="415E286C"/>
    <w:multiLevelType w:val="hybridMultilevel"/>
    <w:lvl w:ilvl="0">
      <w:lvlJc w:val="left"/>
      <w:lvlText w:val="(%1)"/>
      <w:numFmt w:val="lowerLetter"/>
      <w:start w:val="1"/>
    </w:lvl>
  </w:abstractNum>
  <w:abstractNum w:abstractNumId="84">
    <w:nsid w:val="7C58FD05"/>
    <w:multiLevelType w:val="hybridMultilevel"/>
    <w:lvl w:ilvl="0">
      <w:lvlJc w:val="left"/>
      <w:lvlText w:val="(%1)"/>
      <w:numFmt w:val="lowerRoman"/>
      <w:start w:val="1"/>
    </w:lvl>
  </w:abstractNum>
  <w:abstractNum w:abstractNumId="85">
    <w:nsid w:val="23D86AAC"/>
    <w:multiLevelType w:val="hybridMultilevel"/>
    <w:lvl w:ilvl="0">
      <w:lvlJc w:val="left"/>
      <w:lvlText w:val="(%1)"/>
      <w:numFmt w:val="lowerLetter"/>
      <w:start w:val="1"/>
    </w:lvl>
    <w:lvl w:ilvl="1">
      <w:lvlJc w:val="left"/>
      <w:lvlText w:val="(%2)"/>
      <w:numFmt w:val="lowerRoman"/>
      <w:start w:val="1"/>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1"/>
    </w:lvl>
  </w:abstractNum>
  <w:abstractNum w:abstractNumId="88">
    <w:nsid w:val="E7FFA2B"/>
    <w:multiLevelType w:val="hybridMultilevel"/>
    <w:lvl w:ilvl="0">
      <w:lvlJc w:val="left"/>
      <w:lvlText w:val="(%1)"/>
      <w:numFmt w:val="lowerLetter"/>
      <w:start w:val="1"/>
    </w:lvl>
  </w:abstractNum>
  <w:abstractNum w:abstractNumId="89">
    <w:nsid w:val="3C5991AA"/>
    <w:multiLevelType w:val="hybridMultilevel"/>
    <w:lvl w:ilvl="0">
      <w:lvlJc w:val="left"/>
      <w:lvlText w:val="(%1)"/>
      <w:numFmt w:val="lowerLetter"/>
      <w:start w:val="1"/>
    </w:lvl>
  </w:abstractNum>
  <w:abstractNum w:abstractNumId="90">
    <w:nsid w:val="4BD8591A"/>
    <w:multiLevelType w:val="hybridMultilevel"/>
    <w:lvl w:ilvl="0">
      <w:lvlJc w:val="left"/>
      <w:lvlText w:val="%1"/>
      <w:numFmt w:val="decimal"/>
      <w:start w:val="1"/>
    </w:lvl>
    <w:lvl w:ilvl="1">
      <w:lvlJc w:val="left"/>
      <w:lvlText w:val="(%2)"/>
      <w:numFmt w:val="lowerLetter"/>
      <w:start w:val="1"/>
    </w:lvl>
  </w:abstractNum>
  <w:abstractNum w:abstractNumId="91">
    <w:nsid w:val="78DF6A55"/>
    <w:multiLevelType w:val="hybridMultilevel"/>
    <w:lvl w:ilvl="0">
      <w:lvlJc w:val="left"/>
      <w:lvlText w:val="%1."/>
      <w:numFmt w:val="decimal"/>
      <w:start w:val="33"/>
    </w:lvl>
    <w:lvl w:ilvl="1">
      <w:lvlJc w:val="left"/>
      <w:lvlText w:val="%2"/>
      <w:numFmt w:val="lowerLetter"/>
      <w:start w:val="1"/>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1)"/>
      <w:numFmt w:val="lowerLetter"/>
      <w:start w:val="2"/>
    </w:lvl>
  </w:abstractNum>
  <w:abstractNum w:abstractNumId="94">
    <w:nsid w:val="6C80EC70"/>
    <w:multiLevelType w:val="hybridMultilevel"/>
    <w:lvl w:ilvl="0">
      <w:lvlJc w:val="left"/>
      <w:lvlText w:val="%1."/>
      <w:numFmt w:val="decimal"/>
      <w:start w:val="34"/>
    </w:lvl>
  </w:abstractNum>
  <w:abstractNum w:abstractNumId="95">
    <w:nsid w:val="379E21B5"/>
    <w:multiLevelType w:val="hybridMultilevel"/>
    <w:lvl w:ilvl="0">
      <w:lvlJc w:val="left"/>
      <w:lvlText w:val="(%1)"/>
      <w:numFmt w:val="lowerLetter"/>
      <w:start w:val="1"/>
    </w:lvl>
  </w:abstractNum>
  <w:abstractNum w:abstractNumId="96">
    <w:nsid w:val="69E373"/>
    <w:multiLevelType w:val="hybridMultilevel"/>
    <w:lvl w:ilvl="0">
      <w:lvlJc w:val="left"/>
      <w:lvlText w:val="%1."/>
      <w:numFmt w:val="decimal"/>
      <w:start w:val="35"/>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decimal"/>
      <w:start w:val="37"/>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decimal"/>
      <w:start w:val="38"/>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Letter"/>
      <w:start w:val="2"/>
    </w:lvl>
  </w:abstractNum>
  <w:abstractNum w:abstractNumId="103">
    <w:nsid w:val="3DB012B3"/>
    <w:multiLevelType w:val="hybridMultilevel"/>
    <w:lvl w:ilvl="0">
      <w:lvlJc w:val="left"/>
      <w:lvlText w:val="(%1)"/>
      <w:numFmt w:val="lowerLetter"/>
      <w:start w:val="1"/>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lowerLetter"/>
      <w:start w:val="1"/>
    </w:lvl>
  </w:abstractNum>
  <w:abstractNum w:abstractNumId="107">
    <w:nsid w:val="4F97E3E4"/>
    <w:multiLevelType w:val="hybridMultilevel"/>
    <w:lvl w:ilvl="0">
      <w:lvlJc w:val="left"/>
      <w:lvlText w:val="%1."/>
      <w:numFmt w:val="decimal"/>
      <w:start w:val="39"/>
    </w:lvl>
  </w:abstractNum>
  <w:abstractNum w:abstractNumId="108">
    <w:nsid w:val="53B0A9E"/>
    <w:multiLevelType w:val="hybridMultilevel"/>
    <w:lvl w:ilvl="0">
      <w:lvlJc w:val="left"/>
      <w:lvlText w:val="(%1)"/>
      <w:numFmt w:val="lowerLetter"/>
      <w:start w:val="1"/>
    </w:lvl>
    <w:lvl w:ilvl="1">
      <w:lvlJc w:val="left"/>
      <w:lvlText w:val="(%2)"/>
      <w:numFmt w:val="lowerRoman"/>
      <w:start w:val="1"/>
    </w:lvl>
  </w:abstractNum>
  <w:abstractNum w:abstractNumId="109">
    <w:nsid w:val="34FD6B4F"/>
    <w:multiLevelType w:val="hybridMultilevel"/>
    <w:lvl w:ilvl="0">
      <w:lvlJc w:val="left"/>
      <w:lvlText w:val="(%1)"/>
      <w:numFmt w:val="lowerLetter"/>
      <w:start w:val="2"/>
    </w:lvl>
  </w:abstractNum>
  <w:abstractNum w:abstractNumId="110">
    <w:nsid w:val="5915FF32"/>
    <w:multiLevelType w:val="hybridMultilevel"/>
    <w:lvl w:ilvl="0">
      <w:lvlJc w:val="left"/>
      <w:lvlText w:val="%1"/>
      <w:numFmt w:val="decimal"/>
      <w:start w:val="1"/>
    </w:lvl>
    <w:lvl w:ilvl="1">
      <w:lvlJc w:val="left"/>
      <w:lvlText w:val="(%2)"/>
      <w:numFmt w:val="lowerLetter"/>
      <w:start w:val="6"/>
    </w:lvl>
  </w:abstractNum>
  <w:abstractNum w:abstractNumId="111">
    <w:nsid w:val="56438D15"/>
    <w:multiLevelType w:val="hybridMultilevel"/>
    <w:lvl w:ilvl="0">
      <w:lvlJc w:val="left"/>
      <w:lvlText w:val="%1."/>
      <w:numFmt w:val="decimal"/>
      <w:start w:val="40"/>
    </w:lvl>
    <w:lvl w:ilvl="1">
      <w:lvlJc w:val="left"/>
      <w:lvlText w:val="%2"/>
      <w:numFmt w:val="lowerLetter"/>
      <w:start w:val="1"/>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lowerLetter"/>
      <w:start w:val="3"/>
    </w:lvl>
    <w:lvl w:ilvl="1">
      <w:lvlJc w:val="left"/>
      <w:lvlText w:val="(%2)"/>
      <w:numFmt w:val="lowerRoman"/>
      <w:start w:val="1"/>
    </w:lvl>
  </w:abstractNum>
  <w:abstractNum w:abstractNumId="114">
    <w:nsid w:val="17A1B582"/>
    <w:multiLevelType w:val="hybridMultilevel"/>
    <w:lvl w:ilvl="0">
      <w:lvlJc w:val="left"/>
      <w:lvlText w:val="(%1)"/>
      <w:numFmt w:val="lowerLetter"/>
      <w:start w:val="7"/>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decimal"/>
      <w:start w:val="1"/>
    </w:lvl>
    <w:lvl w:ilvl="1">
      <w:lvlJc w:val="left"/>
      <w:lvlText w:val="(%2)"/>
      <w:numFmt w:val="lowerLetter"/>
      <w:start w:val="2"/>
    </w:lvl>
  </w:abstractNum>
  <w:abstractNum w:abstractNumId="117">
    <w:nsid w:val="5D888A08"/>
    <w:multiLevelType w:val="hybridMultilevel"/>
    <w:lvl w:ilvl="0">
      <w:lvlJc w:val="left"/>
      <w:lvlText w:val="%1."/>
      <w:numFmt w:val="decimal"/>
      <w:start w:val="41"/>
    </w:lvl>
    <w:lvl w:ilvl="1">
      <w:lvlJc w:val="left"/>
      <w:lvlText w:val="%2"/>
      <w:numFmt w:val="lowerLetter"/>
      <w:start w:val="1"/>
    </w:lvl>
  </w:abstractNum>
  <w:abstractNum w:abstractNumId="118">
    <w:nsid w:val="2A082C70"/>
    <w:multiLevelType w:val="hybridMultilevel"/>
    <w:lvl w:ilvl="0">
      <w:lvlJc w:val="left"/>
      <w:lvlText w:val="%1."/>
      <w:numFmt w:val="decimal"/>
      <w:start w:val="42"/>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decimal"/>
      <w:start w:val="1"/>
    </w:lvl>
    <w:lvl w:ilvl="1">
      <w:lvlJc w:val="left"/>
      <w:lvlText w:val="(%2)"/>
      <w:numFmt w:val="lowerLetter"/>
      <w:start w:val="3"/>
    </w:lvl>
  </w:abstractNum>
  <w:abstractNum w:abstractNumId="121">
    <w:nsid w:val="75E0858A"/>
    <w:multiLevelType w:val="hybridMultilevel"/>
    <w:lvl w:ilvl="0">
      <w:lvlJc w:val="left"/>
      <w:lvlText w:val="%1."/>
      <w:numFmt w:val="decimal"/>
      <w:start w:val="44"/>
    </w:lvl>
    <w:lvl w:ilvl="1">
      <w:lvlJc w:val="left"/>
      <w:lvlText w:val="%2"/>
      <w:numFmt w:val="lowerLetter"/>
      <w:start w:val="1"/>
    </w:lvl>
  </w:abstractNum>
  <w:abstractNum w:abstractNumId="122">
    <w:nsid w:val="57A61A29"/>
    <w:multiLevelType w:val="hybridMultilevel"/>
    <w:lvl w:ilvl="0">
      <w:lvlJc w:val="left"/>
      <w:lvlText w:val="%1."/>
      <w:numFmt w:val="decimal"/>
      <w:start w:val="45"/>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lowerRoman"/>
      <w:start w:val="1"/>
    </w:lvl>
  </w:abstractNum>
  <w:abstractNum w:abstractNumId="125">
    <w:nsid w:val="4427069A"/>
    <w:multiLevelType w:val="hybridMultilevel"/>
    <w:lvl w:ilvl="0">
      <w:lvlJc w:val="left"/>
      <w:lvlText w:val="(%1)"/>
      <w:numFmt w:val="lowerRoman"/>
      <w:start w:val="2"/>
    </w:lvl>
  </w:abstractNum>
  <w:abstractNum w:abstractNumId="126">
    <w:nsid w:val="B37E80A"/>
    <w:multiLevelType w:val="hybridMultilevel"/>
    <w:lvl w:ilvl="0">
      <w:lvlJc w:val="left"/>
      <w:lvlText w:val="(%1)"/>
      <w:numFmt w:val="lowerLetter"/>
      <w:start w:val="1"/>
    </w:lvl>
  </w:abstractNum>
  <w:abstractNum w:abstractNumId="127">
    <w:nsid w:val="2157F6BC"/>
    <w:multiLevelType w:val="hybridMultilevel"/>
    <w:lvl w:ilvl="0">
      <w:lvlJc w:val="left"/>
      <w:lvlText w:val="(%1)"/>
      <w:numFmt w:val="lowerLetter"/>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46"/>
    </w:lvl>
  </w:abstractNum>
  <w:abstractNum w:abstractNumId="130">
    <w:nsid w:val="BFFAE18"/>
    <w:multiLevelType w:val="hybridMultilevel"/>
    <w:lvl w:ilvl="0">
      <w:lvlJc w:val="left"/>
      <w:lvlText w:val="(%1)"/>
      <w:numFmt w:val="lowerLetter"/>
      <w:start w:val="1"/>
    </w:lvl>
  </w:abstractNum>
  <w:abstractNum w:abstractNumId="131">
    <w:nsid w:val="E3E47A8"/>
    <w:multiLevelType w:val="hybridMultilevel"/>
    <w:lvl w:ilvl="0">
      <w:lvlJc w:val="left"/>
      <w:lvlText w:val="(%1)"/>
      <w:numFmt w:val="lowerLetter"/>
      <w:start w:val="3"/>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lowerRoman"/>
      <w:start w:val="1"/>
    </w:lvl>
  </w:abstractNum>
  <w:abstractNum w:abstractNumId="134">
    <w:nsid w:val="4BEE5A5B"/>
    <w:multiLevelType w:val="hybridMultilevel"/>
    <w:lvl w:ilvl="0">
      <w:lvlJc w:val="left"/>
      <w:lvlText w:val="%1."/>
      <w:numFmt w:val="decimal"/>
      <w:start w:val="47"/>
    </w:lvl>
  </w:abstractNum>
  <w:abstractNum w:abstractNumId="135">
    <w:nsid w:val="5551B9F3"/>
    <w:multiLevelType w:val="hybridMultilevel"/>
    <w:lvl w:ilvl="0">
      <w:lvlJc w:val="left"/>
      <w:lvlText w:val="(%1)"/>
      <w:numFmt w:val="lowerLetter"/>
      <w:start w:val="1"/>
    </w:lvl>
  </w:abstractNum>
  <w:abstractNum w:abstractNumId="136">
    <w:nsid w:val="24F6AB8E"/>
    <w:multiLevelType w:val="hybridMultilevel"/>
    <w:lvl w:ilvl="0">
      <w:lvlJc w:val="left"/>
      <w:lvlText w:val="%1."/>
      <w:numFmt w:val="decimal"/>
      <w:start w:val="48"/>
    </w:lvl>
  </w:abstractNum>
  <w:abstractNum w:abstractNumId="137">
    <w:nsid w:val="634C574C"/>
    <w:multiLevelType w:val="hybridMultilevel"/>
    <w:lvl w:ilvl="0">
      <w:lvlJc w:val="left"/>
      <w:lvlText w:val="(%1)"/>
      <w:numFmt w:val="lowerLetter"/>
      <w:start w:val="1"/>
    </w:lvl>
    <w:lvl w:ilvl="1">
      <w:lvlJc w:val="left"/>
      <w:lvlText w:val="(%2)"/>
      <w:numFmt w:val="lowerRoman"/>
      <w:start w:val="1"/>
    </w:lvl>
  </w:abstractNum>
  <w:abstractNum w:abstractNumId="138">
    <w:nsid w:val="24E99DD7"/>
    <w:multiLevelType w:val="hybridMultilevel"/>
    <w:lvl w:ilvl="0">
      <w:lvlJc w:val="left"/>
      <w:lvlText w:val="%1."/>
      <w:numFmt w:val="decimal"/>
      <w:start w:val="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2019-12-08T02:53:06Z</dcterms:created>
  <dcterms:modified xsi:type="dcterms:W3CDTF">2019-12-08T02:53:06Z</dcterms:modified>
</cp:coreProperties>
</file>