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289560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 w:name="page2"/>
    <w:bookmarkEnd w:id="1"/>
    <w:p>
      <w:pPr>
        <w:jc w:val="both"/>
        <w:ind w:right="20"/>
        <w:spacing w:after="0" w:line="329"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Adoption of Amended Non-Employee Director RSU Agreements</w:t>
      </w:r>
    </w:p>
    <w:p>
      <w:pPr>
        <w:spacing w:after="0" w:line="333"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On June 12, 2018, the board of directors (the "Board") of LivaNova Plc (the "Company") approved, pursuant to the Company's Non-Employee Director Compensation Policy (the "Director Compensation Policy") and consistent with its shareholder-approved 2016 UK Remuneration Policy, an amended form of award agreement (the "2018 Director RSU Agreement"). Grants under the 2018 Director RSU Agreements vest one year after grant date and, for any termination of service, will automatically vest at such termination on a pro-rated basis. Grants to each non-employee director will be made on June 15, 2018 under the 2018 Director RSU Agreements.</w:t>
      </w:r>
    </w:p>
    <w:p>
      <w:pPr>
        <w:spacing w:after="0" w:line="285"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foregoing description of the 2018 Director RSU Agreement is a summary and does not purport to be complete. Such description is qualified in its entirety by reference to the text of the form of 2018 Director RSU Agreement, which is filed with this Current Report on Form 8-K as Exhibit 10.1 and is 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On June 12, 2018, the Company held its 2018 Annual General Meeting of shareholders (“AGM”) in Houston, Texas, USA.</w:t>
      </w:r>
    </w:p>
    <w:p>
      <w:pPr>
        <w:spacing w:after="0" w:line="306"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At the Company’s AGM, LivaNova’s shareholders considered nine proposals as more fully described in the Company’s 2018 Proxy Statement and as summarized below. Each of the ordinary resolutions 1-9 was adopted. The number of votes for and against, as well as the number of abstentions and the percentage of votes cast to each such resolution, are set forth below.</w:t>
      </w:r>
    </w:p>
    <w:p>
      <w:pPr>
        <w:spacing w:after="0" w:line="262" w:lineRule="exact"/>
        <w:rPr>
          <w:sz w:val="20"/>
          <w:szCs w:val="20"/>
          <w:color w:val="auto"/>
        </w:rPr>
      </w:pPr>
    </w:p>
    <w:p>
      <w:pPr>
        <w:ind w:right="20" w:firstLine="8"/>
        <w:spacing w:after="0" w:line="434" w:lineRule="auto"/>
        <w:tabs>
          <w:tab w:leader="none" w:pos="783" w:val="left"/>
        </w:tabs>
        <w:numPr>
          <w:ilvl w:val="0"/>
          <w:numId w:val="1"/>
        </w:numPr>
        <w:rPr>
          <w:rFonts w:ascii="Arial" w:cs="Arial" w:eastAsia="Arial" w:hAnsi="Arial"/>
          <w:sz w:val="18"/>
          <w:szCs w:val="18"/>
          <w:color w:val="auto"/>
        </w:rPr>
      </w:pPr>
      <w:r>
        <w:rPr>
          <w:rFonts w:ascii="Arial" w:cs="Arial" w:eastAsia="Arial" w:hAnsi="Arial"/>
          <w:sz w:val="18"/>
          <w:szCs w:val="18"/>
          <w:color w:val="auto"/>
        </w:rPr>
        <w:t>Ordinary resolution to elect, by separate resolutions, each of the following nine (9) directors for a term expiring at the AGM to be held in 2019. All nominees were elected.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Mr. Francesco Bianchi</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00"/>
        </w:trPr>
        <w:tc>
          <w:tcPr>
            <w:tcW w:w="6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372"/>
        </w:trPr>
        <w:tc>
          <w:tcPr>
            <w:tcW w:w="64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40,564,382</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83,089</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16,109</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1,578,590</w:t>
            </w:r>
          </w:p>
        </w:tc>
      </w:tr>
      <w:tr>
        <w:trPr>
          <w:trHeight w:val="243"/>
        </w:trPr>
        <w:tc>
          <w:tcPr>
            <w:tcW w:w="64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243"/>
        </w:trPr>
        <w:tc>
          <w:tcPr>
            <w:tcW w:w="640" w:type="dxa"/>
            <w:vAlign w:val="bottom"/>
          </w:tcPr>
          <w:p>
            <w:pPr>
              <w:spacing w:after="0"/>
              <w:rPr>
                <w:sz w:val="21"/>
                <w:szCs w:val="21"/>
                <w:color w:val="auto"/>
              </w:rPr>
            </w:pPr>
          </w:p>
        </w:tc>
        <w:tc>
          <w:tcPr>
            <w:tcW w:w="25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99.76</w:t>
            </w:r>
          </w:p>
        </w:tc>
        <w:tc>
          <w:tcPr>
            <w:tcW w:w="100" w:type="dxa"/>
            <w:vAlign w:val="bottom"/>
          </w:tcPr>
          <w:p>
            <w:pPr>
              <w:spacing w:after="0"/>
              <w:rPr>
                <w:sz w:val="21"/>
                <w:szCs w:val="21"/>
                <w:color w:val="auto"/>
              </w:rPr>
            </w:pPr>
          </w:p>
        </w:tc>
        <w:tc>
          <w:tcPr>
            <w:tcW w:w="24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4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4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0</w:t>
            </w:r>
          </w:p>
        </w:tc>
      </w:tr>
      <w:tr>
        <w:trPr>
          <w:trHeight w:val="27"/>
        </w:trPr>
        <w:tc>
          <w:tcPr>
            <w:tcW w:w="640" w:type="dxa"/>
            <w:vAlign w:val="bottom"/>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9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Mr. William A. Kozy</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00"/>
        </w:trPr>
        <w:tc>
          <w:tcPr>
            <w:tcW w:w="6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372"/>
        </w:trPr>
        <w:tc>
          <w:tcPr>
            <w:tcW w:w="64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40,617,746</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29,725</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16,109</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1,578,590</w:t>
            </w:r>
          </w:p>
        </w:tc>
      </w:tr>
      <w:tr>
        <w:trPr>
          <w:trHeight w:val="243"/>
        </w:trPr>
        <w:tc>
          <w:tcPr>
            <w:tcW w:w="64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99.89</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0.07</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0.04</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55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Mr. Damien McDonald</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00"/>
        </w:trPr>
        <w:tc>
          <w:tcPr>
            <w:tcW w:w="6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372"/>
        </w:trPr>
        <w:tc>
          <w:tcPr>
            <w:tcW w:w="64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40,509,621</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137,850</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16,109</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1,578,590</w:t>
            </w:r>
          </w:p>
        </w:tc>
      </w:tr>
      <w:tr>
        <w:trPr>
          <w:trHeight w:val="243"/>
        </w:trPr>
        <w:tc>
          <w:tcPr>
            <w:tcW w:w="64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99.62</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0.34</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0.04</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527"/>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Mr. Daniel J. Moore</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00"/>
        </w:trPr>
        <w:tc>
          <w:tcPr>
            <w:tcW w:w="6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372"/>
        </w:trPr>
        <w:tc>
          <w:tcPr>
            <w:tcW w:w="64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40,483,491</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162,360</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17,729</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1,578,590</w:t>
            </w:r>
          </w:p>
        </w:tc>
      </w:tr>
      <w:tr>
        <w:trPr>
          <w:trHeight w:val="243"/>
        </w:trPr>
        <w:tc>
          <w:tcPr>
            <w:tcW w:w="64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99.56</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0.40</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0.04</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473"/>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Mr. Hugh M. Morrison</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00"/>
        </w:trPr>
        <w:tc>
          <w:tcPr>
            <w:tcW w:w="6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372"/>
        </w:trPr>
        <w:tc>
          <w:tcPr>
            <w:tcW w:w="64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40,008,295</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639,176</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16,109</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1,578,590</w:t>
            </w:r>
          </w:p>
        </w:tc>
      </w:tr>
      <w:tr>
        <w:trPr>
          <w:trHeight w:val="243"/>
        </w:trPr>
        <w:tc>
          <w:tcPr>
            <w:tcW w:w="64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98.39</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1.57</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0.04</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527"/>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Mr. Alfred J. Novak</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00"/>
        </w:trPr>
        <w:tc>
          <w:tcPr>
            <w:tcW w:w="64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372"/>
        </w:trPr>
        <w:tc>
          <w:tcPr>
            <w:tcW w:w="64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40,507,692</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138,281</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17,607</w:t>
            </w:r>
          </w:p>
        </w:tc>
        <w:tc>
          <w:tcPr>
            <w:tcW w:w="10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1,578,590</w:t>
            </w:r>
          </w:p>
        </w:tc>
      </w:tr>
      <w:tr>
        <w:trPr>
          <w:trHeight w:val="243"/>
        </w:trPr>
        <w:tc>
          <w:tcPr>
            <w:tcW w:w="64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318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r>
      <w:tr>
        <w:trPr>
          <w:trHeight w:val="243"/>
        </w:trPr>
        <w:tc>
          <w:tcPr>
            <w:tcW w:w="640" w:type="dxa"/>
            <w:vAlign w:val="bottom"/>
          </w:tcPr>
          <w:p>
            <w:pPr>
              <w:spacing w:after="0"/>
              <w:rPr>
                <w:sz w:val="21"/>
                <w:szCs w:val="21"/>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99.62</w:t>
            </w:r>
          </w:p>
        </w:tc>
        <w:tc>
          <w:tcPr>
            <w:tcW w:w="100" w:type="dxa"/>
            <w:vAlign w:val="bottom"/>
          </w:tcPr>
          <w:p>
            <w:pPr>
              <w:spacing w:after="0"/>
              <w:rPr>
                <w:sz w:val="21"/>
                <w:szCs w:val="21"/>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0.34</w:t>
            </w:r>
          </w:p>
        </w:tc>
        <w:tc>
          <w:tcPr>
            <w:tcW w:w="100" w:type="dxa"/>
            <w:vAlign w:val="bottom"/>
          </w:tcPr>
          <w:p>
            <w:pPr>
              <w:spacing w:after="0"/>
              <w:rPr>
                <w:sz w:val="21"/>
                <w:szCs w:val="21"/>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0.04</w:t>
            </w:r>
          </w:p>
        </w:tc>
        <w:tc>
          <w:tcPr>
            <w:tcW w:w="100" w:type="dxa"/>
            <w:vAlign w:val="bottom"/>
          </w:tcPr>
          <w:p>
            <w:pPr>
              <w:spacing w:after="0"/>
              <w:rPr>
                <w:sz w:val="21"/>
                <w:szCs w:val="21"/>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7"/>
        </w:trPr>
        <w:tc>
          <w:tcPr>
            <w:tcW w:w="640" w:type="dxa"/>
            <w:vAlign w:val="bottom"/>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00"/>
          </w:cols>
          <w:pgMar w:left="240" w:top="364"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Dr. Sharon O’Kane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700" w:type="dxa"/>
            <w:vAlign w:val="bottom"/>
          </w:tcPr>
          <w:p>
            <w:pPr>
              <w:spacing w:after="0"/>
              <w:rPr>
                <w:sz w:val="24"/>
                <w:szCs w:val="24"/>
                <w:color w:val="auto"/>
              </w:rPr>
            </w:pPr>
          </w:p>
        </w:tc>
        <w:tc>
          <w:tcPr>
            <w:tcW w:w="2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4"/>
                <w:szCs w:val="24"/>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72"/>
        </w:trPr>
        <w:tc>
          <w:tcPr>
            <w:tcW w:w="70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50"/>
        </w:trPr>
        <w:tc>
          <w:tcPr>
            <w:tcW w:w="700" w:type="dxa"/>
            <w:vAlign w:val="bottom"/>
            <w:tcBorders>
              <w:right w:val="single" w:sz="8" w:color="CCEEFF"/>
            </w:tcBorders>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37,964,503</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2,682,968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16,109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1,578,590</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 of votes cast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00" w:type="dxa"/>
            <w:vAlign w:val="bottom"/>
            <w:tcBorders>
              <w:right w:val="single" w:sz="8" w:color="CCEEFF"/>
            </w:tcBorders>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93.36</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6.60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0.04</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432"/>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Dr. Arthur L. Rosenthal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70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Votes Against</w:t>
            </w:r>
          </w:p>
        </w:tc>
        <w:tc>
          <w:tcPr>
            <w:tcW w:w="100" w:type="dxa"/>
            <w:vAlign w:val="bottom"/>
          </w:tcPr>
          <w:p>
            <w:pPr>
              <w:spacing w:after="0"/>
              <w:rPr>
                <w:sz w:val="24"/>
                <w:szCs w:val="24"/>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gridSpan w:val="2"/>
          </w:tcPr>
          <w:p>
            <w:pPr>
              <w:ind w:left="46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72"/>
        </w:trPr>
        <w:tc>
          <w:tcPr>
            <w:tcW w:w="70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70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40,509,111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138,360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16,109</w:t>
            </w:r>
          </w:p>
        </w:tc>
        <w:tc>
          <w:tcPr>
            <w:tcW w:w="140" w:type="dxa"/>
            <w:vAlign w:val="bottom"/>
            <w:tcBorders>
              <w:right w:val="single" w:sz="8" w:color="CCEEFF"/>
            </w:tcBorders>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1,578,590</w:t>
            </w:r>
          </w:p>
        </w:tc>
        <w:tc>
          <w:tcPr>
            <w:tcW w:w="60" w:type="dxa"/>
            <w:vAlign w:val="bottom"/>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 of votes cast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 of votes cast</w:t>
            </w:r>
          </w:p>
        </w:tc>
        <w:tc>
          <w:tcPr>
            <w:tcW w:w="100" w:type="dxa"/>
            <w:vAlign w:val="bottom"/>
          </w:tcPr>
          <w:p>
            <w:pPr>
              <w:spacing w:after="0"/>
              <w:rPr>
                <w:sz w:val="21"/>
                <w:szCs w:val="21"/>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3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0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99.62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0.04</w:t>
            </w:r>
          </w:p>
        </w:tc>
        <w:tc>
          <w:tcPr>
            <w:tcW w:w="140" w:type="dxa"/>
            <w:vAlign w:val="bottom"/>
            <w:tcBorders>
              <w:right w:val="single" w:sz="8" w:color="CCEEFF"/>
            </w:tcBorders>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r>
      <w:tr>
        <w:trPr>
          <w:trHeight w:val="500"/>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Ms. Andrea L. Saia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29"/>
        </w:trPr>
        <w:tc>
          <w:tcPr>
            <w:tcW w:w="700" w:type="dxa"/>
            <w:vAlign w:val="bottom"/>
          </w:tcPr>
          <w:p>
            <w:pPr>
              <w:spacing w:after="0"/>
              <w:rPr>
                <w:sz w:val="24"/>
                <w:szCs w:val="24"/>
                <w:color w:val="auto"/>
              </w:rPr>
            </w:pPr>
          </w:p>
        </w:tc>
        <w:tc>
          <w:tcPr>
            <w:tcW w:w="2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Votes Against</w:t>
            </w:r>
          </w:p>
        </w:tc>
        <w:tc>
          <w:tcPr>
            <w:tcW w:w="100" w:type="dxa"/>
            <w:vAlign w:val="bottom"/>
          </w:tcPr>
          <w:p>
            <w:pPr>
              <w:spacing w:after="0"/>
              <w:rPr>
                <w:sz w:val="24"/>
                <w:szCs w:val="24"/>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Broker non-votes</w:t>
            </w:r>
          </w:p>
        </w:tc>
      </w:tr>
      <w:tr>
        <w:trPr>
          <w:trHeight w:val="27"/>
        </w:trPr>
        <w:tc>
          <w:tcPr>
            <w:tcW w:w="3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72"/>
        </w:trPr>
        <w:tc>
          <w:tcPr>
            <w:tcW w:w="70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700" w:type="dxa"/>
            <w:vAlign w:val="bottom"/>
            <w:tcBorders>
              <w:right w:val="single" w:sz="8" w:color="CCEEFF"/>
            </w:tcBorders>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40,562,110</w:t>
            </w:r>
          </w:p>
        </w:tc>
        <w:tc>
          <w:tcPr>
            <w:tcW w:w="80" w:type="dxa"/>
            <w:vAlign w:val="bottom"/>
            <w:tcBorders>
              <w:left w:val="single" w:sz="8" w:color="CCEEFF"/>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85,361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16,109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1,578,590</w:t>
            </w:r>
          </w:p>
        </w:tc>
        <w:tc>
          <w:tcPr>
            <w:tcW w:w="60" w:type="dxa"/>
            <w:vAlign w:val="bottom"/>
            <w:tcBorders>
              <w:left w:val="single" w:sz="8" w:color="CCEEFF"/>
            </w:tcBorders>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 of votes cast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 of votes cast</w:t>
            </w:r>
          </w:p>
        </w:tc>
        <w:tc>
          <w:tcPr>
            <w:tcW w:w="100" w:type="dxa"/>
            <w:vAlign w:val="bottom"/>
          </w:tcPr>
          <w:p>
            <w:pPr>
              <w:spacing w:after="0"/>
              <w:rPr>
                <w:sz w:val="21"/>
                <w:szCs w:val="21"/>
                <w:color w:val="auto"/>
              </w:rPr>
            </w:pPr>
          </w:p>
        </w:tc>
        <w:tc>
          <w:tcPr>
            <w:tcW w:w="2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 of votes cast</w:t>
            </w: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3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700" w:type="dxa"/>
            <w:vAlign w:val="bottom"/>
            <w:tcBorders>
              <w:right w:val="single" w:sz="8" w:color="CCEEFF"/>
            </w:tcBorders>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99.75</w:t>
            </w:r>
          </w:p>
        </w:tc>
        <w:tc>
          <w:tcPr>
            <w:tcW w:w="80" w:type="dxa"/>
            <w:vAlign w:val="bottom"/>
            <w:tcBorders>
              <w:left w:val="single" w:sz="8" w:color="CCEEFF"/>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3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0.04</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tcBorders>
              <w:left w:val="single" w:sz="8" w:color="CCEEFF"/>
            </w:tcBorders>
          </w:tcPr>
          <w:p>
            <w:pPr>
              <w:spacing w:after="0"/>
              <w:rPr>
                <w:sz w:val="21"/>
                <w:szCs w:val="21"/>
                <w:color w:val="auto"/>
              </w:rPr>
            </w:pPr>
          </w:p>
        </w:tc>
      </w:tr>
      <w:tr>
        <w:trPr>
          <w:trHeight w:val="27"/>
        </w:trPr>
        <w:tc>
          <w:tcPr>
            <w:tcW w:w="700" w:type="dxa"/>
            <w:vAlign w:val="bottom"/>
            <w:tcBorders>
              <w:right w:val="single" w:sz="8" w:color="CCEEFF"/>
            </w:tcBorders>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80" w:type="dxa"/>
            <w:vAlign w:val="bottom"/>
            <w:tcBorders>
              <w:left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60" w:type="dxa"/>
            <w:vAlign w:val="bottom"/>
            <w:tcBorders>
              <w:left w:val="single" w:sz="8" w:color="CCEEFF"/>
            </w:tcBorders>
          </w:tcPr>
          <w:p>
            <w:pPr>
              <w:spacing w:after="0"/>
              <w:rPr>
                <w:sz w:val="2"/>
                <w:szCs w:val="2"/>
                <w:color w:val="auto"/>
              </w:rPr>
            </w:pPr>
          </w:p>
        </w:tc>
      </w:tr>
    </w:tbl>
    <w:p>
      <w:pPr>
        <w:spacing w:after="0" w:line="350" w:lineRule="exact"/>
        <w:rPr>
          <w:sz w:val="20"/>
          <w:szCs w:val="20"/>
          <w:color w:val="auto"/>
        </w:rPr>
      </w:pPr>
    </w:p>
    <w:p>
      <w:pPr>
        <w:jc w:val="both"/>
        <w:ind w:firstLine="8"/>
        <w:spacing w:after="0" w:line="420"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resolution to approve, on an advisory basis, the frequency (“U.S. Say-on-Frequency”) of future advisory votes on the Company’s compensation of its Named Executive Officers (“U.S. Say-on-Pay”). A plurality of votes cast were voted in favor of holding future U.S. Say-on-Pay votes annually.</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2"/>
              </w:rPr>
              <w:t>Every 1 year</w:t>
            </w: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Every 2 years</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Every 3 years</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372"/>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0"/>
        </w:trPr>
        <w:tc>
          <w:tcPr>
            <w:tcW w:w="19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38,700,486</w:t>
            </w:r>
          </w:p>
        </w:tc>
        <w:tc>
          <w:tcPr>
            <w:tcW w:w="1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372,270</w:t>
            </w:r>
          </w:p>
        </w:tc>
        <w:tc>
          <w:tcPr>
            <w:tcW w:w="1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1,568,525</w:t>
            </w:r>
          </w:p>
        </w:tc>
        <w:tc>
          <w:tcPr>
            <w:tcW w:w="10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22,299</w:t>
            </w:r>
          </w:p>
        </w:tc>
        <w:tc>
          <w:tcPr>
            <w:tcW w:w="1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1,578,590</w:t>
            </w:r>
          </w:p>
        </w:tc>
      </w:tr>
      <w:tr>
        <w:trPr>
          <w:trHeight w:val="243"/>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2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6"/>
              </w:rPr>
              <w:t>% of votes cast</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2280" w:type="dxa"/>
            <w:vAlign w:val="bottom"/>
            <w:gridSpan w:val="2"/>
          </w:tcPr>
          <w:p>
            <w:pPr>
              <w:spacing w:after="0"/>
              <w:rPr>
                <w:sz w:val="2"/>
                <w:szCs w:val="2"/>
                <w:color w:val="auto"/>
              </w:rPr>
            </w:pPr>
          </w:p>
        </w:tc>
        <w:tc>
          <w:tcPr>
            <w:tcW w:w="2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1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95.17</w:t>
            </w:r>
          </w:p>
        </w:tc>
        <w:tc>
          <w:tcPr>
            <w:tcW w:w="120" w:type="dxa"/>
            <w:vAlign w:val="bottom"/>
          </w:tcPr>
          <w:p>
            <w:pPr>
              <w:spacing w:after="0"/>
              <w:rPr>
                <w:sz w:val="21"/>
                <w:szCs w:val="21"/>
                <w:color w:val="auto"/>
              </w:rPr>
            </w:pPr>
          </w:p>
        </w:tc>
        <w:tc>
          <w:tcPr>
            <w:tcW w:w="24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21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1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27"/>
        </w:trPr>
        <w:tc>
          <w:tcPr>
            <w:tcW w:w="196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222222"/>
        </w:rPr>
        <w:t>Based on the voting results for this Proposal 2 at the AGM, and the Board’s consideration of the appropriate voting frequency for the Company at this time, the Board has decided that the Company will include a U.S. Say-on Pay vote in its proxy materials every year until such time as the next advisory vote is submitted to stockholders regarding the frequency of advisory votes on executive compensation, or until the Board otherwise determines that it is in the best interest of the Company to hold a U.S. Say on Pay vote with different frequency.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91" w:right="239" w:bottom="1440" w:gutter="0" w:footer="0" w:header="0"/>
        </w:sectPr>
      </w:pPr>
    </w:p>
    <w:bookmarkStart w:id="4" w:name="page5"/>
    <w:bookmarkEnd w:id="4"/>
    <w:p>
      <w:pPr>
        <w:ind w:firstLine="8"/>
        <w:spacing w:after="0" w:line="371" w:lineRule="auto"/>
        <w:tabs>
          <w:tab w:leader="none" w:pos="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resolution to approve, on an advisory basis LivaNova’s compensation of its Named Executive Officers (“U.S. Say-on-Pay”). This advisory resolution was approved.</w:t>
      </w:r>
    </w:p>
    <w:p>
      <w:pPr>
        <w:spacing w:after="0" w:line="200" w:lineRule="exact"/>
        <w:rPr>
          <w:sz w:val="20"/>
          <w:szCs w:val="20"/>
          <w:color w:val="auto"/>
        </w:rPr>
      </w:pPr>
    </w:p>
    <w:p>
      <w:pPr>
        <w:spacing w:after="0" w:line="209"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372"/>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24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38,737,927</w:t>
            </w:r>
          </w:p>
        </w:tc>
        <w:tc>
          <w:tcPr>
            <w:tcW w:w="10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1,849,958</w:t>
            </w:r>
          </w:p>
        </w:tc>
        <w:tc>
          <w:tcPr>
            <w:tcW w:w="10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75,695</w:t>
            </w:r>
          </w:p>
        </w:tc>
        <w:tc>
          <w:tcPr>
            <w:tcW w:w="1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1,578,590</w:t>
            </w:r>
          </w:p>
        </w:tc>
      </w:tr>
      <w:tr>
        <w:trPr>
          <w:trHeight w:val="243"/>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 of votes cast</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
        </w:trPr>
        <w:tc>
          <w:tcPr>
            <w:tcW w:w="240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2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24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95.26</w:t>
            </w:r>
          </w:p>
        </w:tc>
        <w:tc>
          <w:tcPr>
            <w:tcW w:w="100" w:type="dxa"/>
            <w:vAlign w:val="bottom"/>
          </w:tcPr>
          <w:p>
            <w:pPr>
              <w:spacing w:after="0"/>
              <w:rPr>
                <w:sz w:val="21"/>
                <w:szCs w:val="21"/>
                <w:color w:val="auto"/>
              </w:rPr>
            </w:pPr>
          </w:p>
        </w:tc>
        <w:tc>
          <w:tcPr>
            <w:tcW w:w="2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4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r>
      <w:tr>
        <w:trPr>
          <w:trHeight w:val="27"/>
        </w:trPr>
        <w:tc>
          <w:tcPr>
            <w:tcW w:w="24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firstLine="8"/>
        <w:spacing w:after="0" w:line="371" w:lineRule="auto"/>
        <w:tabs>
          <w:tab w:leader="none" w:pos="337"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resolution to ratify the appointment of PricewaterhouseCoopers LLP, a Delaware limited liability partnership ("PwC USA"), as the Company’s independent registered public accounting firm for the year ended December 31, 2018. This ordinary resolution was approved.</w:t>
      </w:r>
    </w:p>
    <w:p>
      <w:pPr>
        <w:spacing w:after="0" w:line="19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3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372"/>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42,129,437</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95,324</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17,409</w:t>
            </w:r>
          </w:p>
        </w:tc>
      </w:tr>
      <w:tr>
        <w:trPr>
          <w:trHeight w:val="243"/>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r>
      <w:tr>
        <w:trPr>
          <w:trHeight w:val="27"/>
        </w:trPr>
        <w:tc>
          <w:tcPr>
            <w:tcW w:w="320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3420" w:type="dxa"/>
            <w:vAlign w:val="bottom"/>
            <w:gridSpan w:val="2"/>
          </w:tcPr>
          <w:p>
            <w:pPr>
              <w:spacing w:after="0"/>
              <w:rPr>
                <w:sz w:val="2"/>
                <w:szCs w:val="2"/>
                <w:color w:val="auto"/>
              </w:rPr>
            </w:pPr>
          </w:p>
        </w:tc>
      </w:tr>
      <w:tr>
        <w:trPr>
          <w:trHeight w:val="243"/>
        </w:trPr>
        <w:tc>
          <w:tcPr>
            <w:tcW w:w="32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99.73</w:t>
            </w:r>
          </w:p>
        </w:tc>
        <w:tc>
          <w:tcPr>
            <w:tcW w:w="100" w:type="dxa"/>
            <w:vAlign w:val="bottom"/>
          </w:tcPr>
          <w:p>
            <w:pPr>
              <w:spacing w:after="0"/>
              <w:rPr>
                <w:sz w:val="21"/>
                <w:szCs w:val="21"/>
                <w:color w:val="auto"/>
              </w:rPr>
            </w:pPr>
          </w:p>
        </w:tc>
        <w:tc>
          <w:tcPr>
            <w:tcW w:w="33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3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0.04</w:t>
            </w:r>
          </w:p>
        </w:tc>
      </w:tr>
      <w:tr>
        <w:trPr>
          <w:trHeight w:val="27"/>
        </w:trPr>
        <w:tc>
          <w:tcPr>
            <w:tcW w:w="32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firstLine="8"/>
        <w:spacing w:after="0" w:line="371" w:lineRule="auto"/>
        <w:tabs>
          <w:tab w:leader="none" w:pos="389"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resolution to approve, on an advisory basis, the directors’ remuneration report in the form set out in the Company’s UK annual report and accounts (“U.K. Annual Report”) for the period ended December 31, 2017. This advisory resolution was approved.</w:t>
      </w:r>
    </w:p>
    <w:p>
      <w:pPr>
        <w:spacing w:after="0" w:line="200" w:lineRule="exact"/>
        <w:rPr>
          <w:sz w:val="20"/>
          <w:szCs w:val="20"/>
          <w:color w:val="auto"/>
        </w:rPr>
      </w:pPr>
    </w:p>
    <w:p>
      <w:pPr>
        <w:spacing w:after="0" w:line="209"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372"/>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24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38,812,581</w:t>
            </w:r>
          </w:p>
        </w:tc>
        <w:tc>
          <w:tcPr>
            <w:tcW w:w="10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1,825,803</w:t>
            </w:r>
          </w:p>
        </w:tc>
        <w:tc>
          <w:tcPr>
            <w:tcW w:w="10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25,196</w:t>
            </w:r>
          </w:p>
        </w:tc>
        <w:tc>
          <w:tcPr>
            <w:tcW w:w="1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1,578,590</w:t>
            </w:r>
          </w:p>
        </w:tc>
      </w:tr>
      <w:tr>
        <w:trPr>
          <w:trHeight w:val="243"/>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 of votes cast</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
        </w:trPr>
        <w:tc>
          <w:tcPr>
            <w:tcW w:w="240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2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24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95.45</w:t>
            </w:r>
          </w:p>
        </w:tc>
        <w:tc>
          <w:tcPr>
            <w:tcW w:w="100" w:type="dxa"/>
            <w:vAlign w:val="bottom"/>
          </w:tcPr>
          <w:p>
            <w:pPr>
              <w:spacing w:after="0"/>
              <w:rPr>
                <w:sz w:val="21"/>
                <w:szCs w:val="21"/>
                <w:color w:val="auto"/>
              </w:rPr>
            </w:pPr>
          </w:p>
        </w:tc>
        <w:tc>
          <w:tcPr>
            <w:tcW w:w="2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4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r>
      <w:tr>
        <w:trPr>
          <w:trHeight w:val="27"/>
        </w:trPr>
        <w:tc>
          <w:tcPr>
            <w:tcW w:w="24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Ordinary resolution to approve the LivaNova Global Employee Share Purchase Plan (”ESPP”). This ordinary resolution was approved.</w:t>
      </w:r>
    </w:p>
    <w:p>
      <w:pPr>
        <w:spacing w:after="0" w:line="200" w:lineRule="exact"/>
        <w:rPr>
          <w:sz w:val="20"/>
          <w:szCs w:val="20"/>
          <w:color w:val="auto"/>
        </w:rPr>
      </w:pPr>
    </w:p>
    <w:p>
      <w:pPr>
        <w:spacing w:after="0" w:line="34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372"/>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24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40,450,559</w:t>
            </w:r>
          </w:p>
        </w:tc>
        <w:tc>
          <w:tcPr>
            <w:tcW w:w="10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194,184</w:t>
            </w:r>
          </w:p>
        </w:tc>
        <w:tc>
          <w:tcPr>
            <w:tcW w:w="10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18,837</w:t>
            </w:r>
          </w:p>
        </w:tc>
        <w:tc>
          <w:tcPr>
            <w:tcW w:w="1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1,578,590</w:t>
            </w:r>
          </w:p>
        </w:tc>
      </w:tr>
      <w:tr>
        <w:trPr>
          <w:trHeight w:val="243"/>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 of votes cast</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
        </w:trPr>
        <w:tc>
          <w:tcPr>
            <w:tcW w:w="240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2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24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99.47</w:t>
            </w:r>
          </w:p>
        </w:tc>
        <w:tc>
          <w:tcPr>
            <w:tcW w:w="100" w:type="dxa"/>
            <w:vAlign w:val="bottom"/>
          </w:tcPr>
          <w:p>
            <w:pPr>
              <w:spacing w:after="0"/>
              <w:rPr>
                <w:sz w:val="21"/>
                <w:szCs w:val="21"/>
                <w:color w:val="auto"/>
              </w:rPr>
            </w:pPr>
          </w:p>
        </w:tc>
        <w:tc>
          <w:tcPr>
            <w:tcW w:w="2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4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500" w:type="dxa"/>
            <w:vAlign w:val="bottom"/>
            <w:shd w:val="clear" w:color="auto" w:fill="CCEEFF"/>
          </w:tcPr>
          <w:p>
            <w:pPr>
              <w:spacing w:after="0"/>
              <w:rPr>
                <w:sz w:val="21"/>
                <w:szCs w:val="21"/>
                <w:color w:val="auto"/>
              </w:rPr>
            </w:pPr>
          </w:p>
        </w:tc>
      </w:tr>
      <w:tr>
        <w:trPr>
          <w:trHeight w:val="27"/>
        </w:trPr>
        <w:tc>
          <w:tcPr>
            <w:tcW w:w="24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409" w:right="239" w:bottom="1440" w:gutter="0" w:footer="0" w:header="0"/>
        </w:sectPr>
      </w:pPr>
    </w:p>
    <w:bookmarkStart w:id="5" w:name="page6"/>
    <w:bookmarkEnd w:id="5"/>
    <w:p>
      <w:pPr>
        <w:ind w:firstLine="8"/>
        <w:spacing w:after="0" w:line="371" w:lineRule="auto"/>
        <w:tabs>
          <w:tab w:leader="none" w:pos="35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resolution to receive and adopt the Company’s audited UK statutory accounts for year ended December 31, 2017, together with the reports of the directors and the auditors thereon. This ordinary resolution was approved.</w:t>
      </w:r>
    </w:p>
    <w:p>
      <w:pPr>
        <w:spacing w:after="0" w:line="200" w:lineRule="exact"/>
        <w:rPr>
          <w:sz w:val="20"/>
          <w:szCs w:val="20"/>
          <w:color w:val="auto"/>
        </w:rPr>
      </w:pPr>
    </w:p>
    <w:p>
      <w:pPr>
        <w:spacing w:after="0" w:line="209"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3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372"/>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42,152,447</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88,670</w:t>
            </w:r>
          </w:p>
        </w:tc>
      </w:tr>
      <w:tr>
        <w:trPr>
          <w:trHeight w:val="243"/>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r>
      <w:tr>
        <w:trPr>
          <w:trHeight w:val="27"/>
        </w:trPr>
        <w:tc>
          <w:tcPr>
            <w:tcW w:w="320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3420" w:type="dxa"/>
            <w:vAlign w:val="bottom"/>
            <w:gridSpan w:val="2"/>
          </w:tcPr>
          <w:p>
            <w:pPr>
              <w:spacing w:after="0"/>
              <w:rPr>
                <w:sz w:val="2"/>
                <w:szCs w:val="2"/>
                <w:color w:val="auto"/>
              </w:rPr>
            </w:pPr>
          </w:p>
        </w:tc>
      </w:tr>
      <w:tr>
        <w:trPr>
          <w:trHeight w:val="243"/>
        </w:trPr>
        <w:tc>
          <w:tcPr>
            <w:tcW w:w="32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21"/>
                <w:szCs w:val="21"/>
                <w:color w:val="auto"/>
              </w:rPr>
            </w:pPr>
          </w:p>
        </w:tc>
        <w:tc>
          <w:tcPr>
            <w:tcW w:w="33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3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0.21</w:t>
            </w:r>
          </w:p>
        </w:tc>
      </w:tr>
      <w:tr>
        <w:trPr>
          <w:trHeight w:val="27"/>
        </w:trPr>
        <w:tc>
          <w:tcPr>
            <w:tcW w:w="32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8"/>
        <w:spacing w:after="0" w:line="358" w:lineRule="auto"/>
        <w:tabs>
          <w:tab w:leader="none" w:pos="343"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resolution to re-appoint PricewaterhouseCoopers UK, a limited liability partnership organized under the laws of England (“PwC U.K.”) as the Company’s UK statutory auditor under the UK Companies Act 2006 to hold office from the conclusion of the AGM until the conclusion of the next general meeting at which the annual report and accounts are laid. This ordinary resolution was approved.</w:t>
      </w:r>
    </w:p>
    <w:p>
      <w:pPr>
        <w:spacing w:after="0" w:line="39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3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372"/>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42,218,373</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20,422</w:t>
            </w:r>
          </w:p>
        </w:tc>
      </w:tr>
      <w:tr>
        <w:trPr>
          <w:trHeight w:val="243"/>
        </w:trPr>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r>
      <w:tr>
        <w:trPr>
          <w:trHeight w:val="27"/>
        </w:trPr>
        <w:tc>
          <w:tcPr>
            <w:tcW w:w="320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3420" w:type="dxa"/>
            <w:vAlign w:val="bottom"/>
            <w:gridSpan w:val="2"/>
          </w:tcPr>
          <w:p>
            <w:pPr>
              <w:spacing w:after="0"/>
              <w:rPr>
                <w:sz w:val="2"/>
                <w:szCs w:val="2"/>
                <w:color w:val="auto"/>
              </w:rPr>
            </w:pPr>
          </w:p>
        </w:tc>
      </w:tr>
      <w:tr>
        <w:trPr>
          <w:trHeight w:val="243"/>
        </w:trPr>
        <w:tc>
          <w:tcPr>
            <w:tcW w:w="32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21"/>
                <w:szCs w:val="21"/>
                <w:color w:val="auto"/>
              </w:rPr>
            </w:pPr>
          </w:p>
        </w:tc>
        <w:tc>
          <w:tcPr>
            <w:tcW w:w="33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3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0.05</w:t>
            </w:r>
          </w:p>
        </w:tc>
      </w:tr>
      <w:tr>
        <w:trPr>
          <w:trHeight w:val="27"/>
        </w:trPr>
        <w:tc>
          <w:tcPr>
            <w:tcW w:w="32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right="120" w:firstLine="8"/>
        <w:spacing w:after="0" w:line="32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resolution to authorize the directors and/or the Audit &amp; Compliance Committee of the Company to determine the remuneration of PwC UK, in its capacity as the Company’s UK statutory auditor under the UK Companies Act 2006. This ordinary resolution was approved.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3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372"/>
        </w:trPr>
        <w:tc>
          <w:tcPr>
            <w:tcW w:w="700" w:type="dxa"/>
            <w:vAlign w:val="bottom"/>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r>
      <w:tr>
        <w:trPr>
          <w:trHeight w:val="250"/>
        </w:trPr>
        <w:tc>
          <w:tcPr>
            <w:tcW w:w="70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42,085,205</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rPr>
              <w:t>107,322</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49,643</w:t>
            </w:r>
          </w:p>
        </w:tc>
      </w:tr>
      <w:tr>
        <w:trPr>
          <w:trHeight w:val="243"/>
        </w:trPr>
        <w:tc>
          <w:tcPr>
            <w:tcW w:w="70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 of votes cast</w:t>
            </w:r>
          </w:p>
        </w:tc>
      </w:tr>
      <w:tr>
        <w:trPr>
          <w:trHeight w:val="27"/>
        </w:trPr>
        <w:tc>
          <w:tcPr>
            <w:tcW w:w="3900" w:type="dxa"/>
            <w:vAlign w:val="bottom"/>
            <w:gridSpan w:val="2"/>
          </w:tcPr>
          <w:p>
            <w:pPr>
              <w:spacing w:after="0"/>
              <w:rPr>
                <w:sz w:val="2"/>
                <w:szCs w:val="2"/>
                <w:color w:val="auto"/>
              </w:rPr>
            </w:pPr>
          </w:p>
        </w:tc>
        <w:tc>
          <w:tcPr>
            <w:tcW w:w="3420" w:type="dxa"/>
            <w:vAlign w:val="bottom"/>
            <w:gridSpan w:val="2"/>
          </w:tcPr>
          <w:p>
            <w:pPr>
              <w:spacing w:after="0"/>
              <w:rPr>
                <w:sz w:val="2"/>
                <w:szCs w:val="2"/>
                <w:color w:val="auto"/>
              </w:rPr>
            </w:pPr>
          </w:p>
        </w:tc>
        <w:tc>
          <w:tcPr>
            <w:tcW w:w="3420" w:type="dxa"/>
            <w:vAlign w:val="bottom"/>
            <w:gridSpan w:val="2"/>
          </w:tcPr>
          <w:p>
            <w:pPr>
              <w:spacing w:after="0"/>
              <w:rPr>
                <w:sz w:val="2"/>
                <w:szCs w:val="2"/>
                <w:color w:val="auto"/>
              </w:rPr>
            </w:pPr>
          </w:p>
        </w:tc>
      </w:tr>
      <w:tr>
        <w:trPr>
          <w:trHeight w:val="250"/>
        </w:trPr>
        <w:tc>
          <w:tcPr>
            <w:tcW w:w="70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rPr>
              <w:t>0.12</w:t>
            </w:r>
          </w:p>
        </w:tc>
      </w:tr>
      <w:tr>
        <w:trPr>
          <w:trHeight w:val="58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13"/>
        </w:trPr>
        <w:tc>
          <w:tcPr>
            <w:tcW w:w="39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2018 Director RSU Agreement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40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5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574"/>
        </w:trPr>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1340" w:type="dxa"/>
            <w:vAlign w:val="bottom"/>
          </w:tcPr>
          <w:p>
            <w:pPr>
              <w:spacing w:after="0"/>
              <w:rPr>
                <w:sz w:val="24"/>
                <w:szCs w:val="24"/>
                <w:color w:val="auto"/>
              </w:rPr>
            </w:pPr>
          </w:p>
        </w:tc>
      </w:tr>
      <w:tr>
        <w:trPr>
          <w:trHeight w:val="547"/>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2018 Director RSU Agreement</w:t>
              </w:r>
            </w:hyperlink>
          </w:p>
        </w:tc>
      </w:tr>
    </w:tbl>
    <w:p>
      <w:pPr>
        <w:spacing w:after="0" w:line="200" w:lineRule="exact"/>
        <w:rPr>
          <w:sz w:val="20"/>
          <w:szCs w:val="20"/>
          <w:color w:val="auto"/>
        </w:rPr>
      </w:pPr>
    </w:p>
    <w:p>
      <w:pPr>
        <w:spacing w:after="0" w:line="296"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351" w:right="1440"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15,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00"/>
          </w:cols>
          <w:pgMar w:left="240" w:top="364" w:right="659" w:bottom="1440" w:gutter="0" w:footer="0" w:header="0"/>
        </w:sectPr>
      </w:pPr>
    </w:p>
    <w:bookmarkStart w:id="8" w:name="page9"/>
    <w:bookmarkEnd w:id="8"/>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10.1</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INCENTIVE AWARD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RESTRICTED STOCK UNIT AWARD GRANT NOTICE</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LivaNova PLC, a public limited company incorporated under the laws of England and Wales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2015 Incentive Award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holder listed below (“</w:t>
      </w:r>
      <w:r>
        <w:rPr>
          <w:rFonts w:ascii="Arial" w:cs="Arial" w:eastAsia="Arial" w:hAnsi="Arial"/>
          <w:sz w:val="20"/>
          <w:szCs w:val="20"/>
          <w:u w:val="single" w:color="auto"/>
          <w:color w:val="auto"/>
        </w:rPr>
        <w:t>Participant</w:t>
      </w:r>
      <w:r>
        <w:rPr>
          <w:rFonts w:ascii="Arial" w:cs="Arial" w:eastAsia="Arial" w:hAnsi="Arial"/>
          <w:sz w:val="20"/>
          <w:szCs w:val="20"/>
          <w:color w:val="auto"/>
        </w:rPr>
        <w:t>”) the number of Restricted Stock Units (the “</w:t>
      </w:r>
      <w:r>
        <w:rPr>
          <w:rFonts w:ascii="Arial" w:cs="Arial" w:eastAsia="Arial" w:hAnsi="Arial"/>
          <w:sz w:val="20"/>
          <w:szCs w:val="20"/>
          <w:u w:val="single" w:color="auto"/>
          <w:color w:val="auto"/>
        </w:rPr>
        <w:t>RSUs</w:t>
      </w:r>
      <w:r>
        <w:rPr>
          <w:rFonts w:ascii="Arial" w:cs="Arial" w:eastAsia="Arial" w:hAnsi="Arial"/>
          <w:sz w:val="20"/>
          <w:szCs w:val="20"/>
          <w:color w:val="auto"/>
        </w:rPr>
        <w:t>”) set forth below. The RSUs are subject to the terms and conditions set forth in this Restricted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xml:space="preserve">”) and the Restricted Stock Unit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Agreement</w:t>
      </w:r>
      <w:r>
        <w:rPr>
          <w:rFonts w:ascii="Arial" w:cs="Arial" w:eastAsia="Arial" w:hAnsi="Arial"/>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35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240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8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8760" w:type="dxa"/>
            <w:vAlign w:val="bottom"/>
          </w:tcPr>
          <w:p>
            <w:pPr>
              <w:ind w:left="880"/>
              <w:spacing w:after="0"/>
              <w:rPr>
                <w:sz w:val="20"/>
                <w:szCs w:val="20"/>
                <w:color w:val="auto"/>
              </w:rPr>
            </w:pPr>
            <w:r>
              <w:rPr>
                <w:rFonts w:ascii="Arial" w:cs="Arial" w:eastAsia="Arial" w:hAnsi="Arial"/>
                <w:sz w:val="20"/>
                <w:szCs w:val="20"/>
                <w:color w:val="auto"/>
              </w:rPr>
              <w:t>June 15, 2018</w:t>
            </w: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0"/>
                <w:szCs w:val="20"/>
                <w:color w:val="auto"/>
              </w:rPr>
            </w:pPr>
            <w:r>
              <w:rPr>
                <w:rFonts w:ascii="Arial" w:cs="Arial" w:eastAsia="Arial" w:hAnsi="Arial"/>
                <w:sz w:val="20"/>
                <w:szCs w:val="20"/>
                <w:b w:val="1"/>
                <w:bCs w:val="1"/>
                <w:color w:val="auto"/>
              </w:rPr>
              <w:t>Number of RSUs:</w:t>
            </w:r>
          </w:p>
        </w:tc>
        <w:tc>
          <w:tcPr>
            <w:tcW w:w="8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00" w:type="dxa"/>
            <w:vAlign w:val="bottom"/>
          </w:tcPr>
          <w:p>
            <w:pPr>
              <w:spacing w:after="0"/>
              <w:rPr>
                <w:sz w:val="22"/>
                <w:szCs w:val="22"/>
                <w:color w:val="auto"/>
              </w:rPr>
            </w:pPr>
          </w:p>
        </w:tc>
        <w:tc>
          <w:tcPr>
            <w:tcW w:w="8760" w:type="dxa"/>
            <w:vAlign w:val="bottom"/>
          </w:tcPr>
          <w:p>
            <w:pPr>
              <w:ind w:left="880"/>
              <w:spacing w:after="0"/>
              <w:rPr>
                <w:sz w:val="20"/>
                <w:szCs w:val="20"/>
                <w:color w:val="auto"/>
              </w:rPr>
            </w:pPr>
            <w:r>
              <w:rPr>
                <w:rFonts w:ascii="Arial" w:cs="Arial" w:eastAsia="Arial" w:hAnsi="Arial"/>
                <w:sz w:val="20"/>
                <w:szCs w:val="20"/>
                <w:color w:val="auto"/>
                <w:w w:val="89"/>
              </w:rPr>
              <w:t>The RSUs shall become fully vested on the earliest of (i) June 15, 2019, (ii) the date of a Change in</w:t>
            </w:r>
          </w:p>
        </w:tc>
        <w:tc>
          <w:tcPr>
            <w:tcW w:w="0" w:type="dxa"/>
            <w:vAlign w:val="bottom"/>
          </w:tcPr>
          <w:p>
            <w:pPr>
              <w:spacing w:after="0"/>
              <w:rPr>
                <w:sz w:val="1"/>
                <w:szCs w:val="1"/>
                <w:color w:val="auto"/>
              </w:rPr>
            </w:pPr>
          </w:p>
        </w:tc>
      </w:tr>
      <w:tr>
        <w:trPr>
          <w:trHeight w:val="230"/>
        </w:trPr>
        <w:tc>
          <w:tcPr>
            <w:tcW w:w="2400" w:type="dxa"/>
            <w:vAlign w:val="bottom"/>
            <w:vMerge w:val="restart"/>
          </w:tcPr>
          <w:p>
            <w:pPr>
              <w:spacing w:after="0"/>
              <w:rPr>
                <w:sz w:val="20"/>
                <w:szCs w:val="20"/>
                <w:color w:val="auto"/>
              </w:rPr>
            </w:pPr>
            <w:r>
              <w:rPr>
                <w:rFonts w:ascii="Arial" w:cs="Arial" w:eastAsia="Arial" w:hAnsi="Arial"/>
                <w:sz w:val="20"/>
                <w:szCs w:val="20"/>
                <w:b w:val="1"/>
                <w:bCs w:val="1"/>
                <w:color w:val="auto"/>
              </w:rPr>
              <w:t>Vesting Schedule:</w:t>
            </w:r>
          </w:p>
        </w:tc>
        <w:tc>
          <w:tcPr>
            <w:tcW w:w="8760" w:type="dxa"/>
            <w:vAlign w:val="bottom"/>
          </w:tcPr>
          <w:p>
            <w:pPr>
              <w:ind w:left="880"/>
              <w:spacing w:after="0"/>
              <w:rPr>
                <w:sz w:val="20"/>
                <w:szCs w:val="20"/>
                <w:color w:val="auto"/>
              </w:rPr>
            </w:pPr>
            <w:r>
              <w:rPr>
                <w:rFonts w:ascii="Arial" w:cs="Arial" w:eastAsia="Arial" w:hAnsi="Arial"/>
                <w:sz w:val="20"/>
                <w:szCs w:val="20"/>
                <w:color w:val="auto"/>
                <w:w w:val="99"/>
              </w:rPr>
              <w:t>Control or (iii) a Termination of Service (solely to the extent set out in section 2.2(b) of the</w:t>
            </w:r>
          </w:p>
        </w:tc>
        <w:tc>
          <w:tcPr>
            <w:tcW w:w="0" w:type="dxa"/>
            <w:vAlign w:val="bottom"/>
          </w:tcPr>
          <w:p>
            <w:pPr>
              <w:spacing w:after="0"/>
              <w:rPr>
                <w:sz w:val="1"/>
                <w:szCs w:val="1"/>
                <w:color w:val="auto"/>
              </w:rPr>
            </w:pPr>
          </w:p>
        </w:tc>
      </w:tr>
      <w:tr>
        <w:trPr>
          <w:trHeight w:val="250"/>
        </w:trPr>
        <w:tc>
          <w:tcPr>
            <w:tcW w:w="2400" w:type="dxa"/>
            <w:vAlign w:val="bottom"/>
            <w:vMerge w:val="continue"/>
          </w:tcPr>
          <w:p>
            <w:pPr>
              <w:spacing w:after="0"/>
              <w:rPr>
                <w:sz w:val="21"/>
                <w:szCs w:val="21"/>
                <w:color w:val="auto"/>
              </w:rPr>
            </w:pPr>
          </w:p>
        </w:tc>
        <w:tc>
          <w:tcPr>
            <w:tcW w:w="8760" w:type="dxa"/>
            <w:vAlign w:val="bottom"/>
          </w:tcPr>
          <w:p>
            <w:pPr>
              <w:ind w:left="880"/>
              <w:spacing w:after="0"/>
              <w:rPr>
                <w:sz w:val="20"/>
                <w:szCs w:val="20"/>
                <w:color w:val="auto"/>
              </w:rPr>
            </w:pPr>
            <w:r>
              <w:rPr>
                <w:rFonts w:ascii="Arial" w:cs="Arial" w:eastAsia="Arial" w:hAnsi="Arial"/>
                <w:sz w:val="20"/>
                <w:szCs w:val="20"/>
                <w:color w:val="auto"/>
              </w:rPr>
              <w:t>Agreement).</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Plan, the Agreement, the Foreign Appendix, if applicable, and this Grant Notice in their entirety, has had an opportunity to obtain the advice of counsel prior to electronically signing the Grant Notice and fully understands all provisions of this Grant Notice and the Agreement. Shares subject to RSUs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Plan, this Grant Notice, or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DIRECTOR RESTRICTED STOCK UNIT AWARD GRANT NOTICE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RESTRICTED STOCK UNIT AWARD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RSUs set forth in the Grant Notice.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spacing w:after="0" w:line="26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RSUs and the Shares issued to Participant hereunder are subject to the terms and conditions set forth in this Agreement and the Plan, which is incorporated herein by reference. In the event of any inconsistency between the Plan and this Agreement, the terms of the Plan shall control.</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OF RESTRICTED STOCK UNITS AND DIVIDEND EQUIVALENTS</w:t>
      </w:r>
    </w:p>
    <w:p>
      <w:pPr>
        <w:spacing w:after="0" w:line="200" w:lineRule="exact"/>
        <w:rPr>
          <w:sz w:val="20"/>
          <w:szCs w:val="20"/>
          <w:color w:val="auto"/>
        </w:rPr>
      </w:pPr>
    </w:p>
    <w:p>
      <w:pPr>
        <w:spacing w:after="0" w:line="3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43" w:lineRule="exact"/>
        <w:rPr>
          <w:sz w:val="20"/>
          <w:szCs w:val="20"/>
          <w:color w:val="auto"/>
        </w:rPr>
      </w:pPr>
    </w:p>
    <w:p>
      <w:pPr>
        <w:jc w:val="both"/>
        <w:ind w:firstLine="1305"/>
        <w:spacing w:after="0" w:line="270" w:lineRule="auto"/>
        <w:tabs>
          <w:tab w:leader="none" w:pos="2164"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number of RSUs set forth in the Grant Notice, upon the terms and conditions set forth in the Grant Notice, the Plan and this Agreement, subject to adjustment as provided in Section 13.2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212" w:lineRule="exact"/>
        <w:rPr>
          <w:rFonts w:ascii="Arial" w:cs="Arial" w:eastAsia="Arial" w:hAnsi="Arial"/>
          <w:sz w:val="20"/>
          <w:szCs w:val="20"/>
          <w:color w:val="auto"/>
        </w:rPr>
      </w:pPr>
    </w:p>
    <w:p>
      <w:pPr>
        <w:jc w:val="both"/>
        <w:ind w:firstLine="1305"/>
        <w:spacing w:after="0" w:line="286" w:lineRule="auto"/>
        <w:tabs>
          <w:tab w:leader="none" w:pos="2175"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Company hereby grants to Participant an Award of Dividend Equivalents with respect to each RSU granted pursuant 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 additional RSUs as of the date of payment of any such dividend based on the Fair Market Value of a Share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360" w:right="239" w:bottom="1440" w:gutter="0" w:footer="0" w:header="0"/>
        </w:sectPr>
      </w:pPr>
    </w:p>
    <w:bookmarkStart w:id="10" w:name="page11"/>
    <w:bookmarkEnd w:id="10"/>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Vesting of RSUs and Dividend Equivalents</w:t>
      </w:r>
      <w:r>
        <w:rPr>
          <w:rFonts w:ascii="Arial" w:cs="Arial" w:eastAsia="Arial" w:hAnsi="Arial"/>
          <w:sz w:val="18"/>
          <w:szCs w:val="18"/>
          <w:color w:val="auto"/>
        </w:rPr>
        <w:t>.</w:t>
      </w:r>
    </w:p>
    <w:p>
      <w:pPr>
        <w:spacing w:after="0" w:line="243" w:lineRule="exact"/>
        <w:rPr>
          <w:sz w:val="20"/>
          <w:szCs w:val="20"/>
          <w:color w:val="auto"/>
        </w:rPr>
      </w:pPr>
    </w:p>
    <w:p>
      <w:pPr>
        <w:jc w:val="both"/>
        <w:ind w:firstLine="1305"/>
        <w:spacing w:after="0" w:line="274" w:lineRule="auto"/>
        <w:tabs>
          <w:tab w:leader="none" w:pos="2164"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Subject to Participant’s continued employment with or service to the Company or a Subsidiary on each applicable vesting date and 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205" w:lineRule="exact"/>
        <w:rPr>
          <w:rFonts w:ascii="Arial" w:cs="Arial" w:eastAsia="Arial" w:hAnsi="Arial"/>
          <w:sz w:val="20"/>
          <w:szCs w:val="20"/>
          <w:color w:val="auto"/>
        </w:rPr>
      </w:pPr>
    </w:p>
    <w:p>
      <w:pPr>
        <w:jc w:val="both"/>
        <w:ind w:firstLine="1305"/>
        <w:spacing w:after="0" w:line="286" w:lineRule="auto"/>
        <w:tabs>
          <w:tab w:leader="none" w:pos="2175"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the event Participant incurs a Termination of Service, except as may be otherwise provided by the Administrator or as set forth in a written agreement between Participant and the Company, a prorated portion of the RSUs shall immediately vest upon such Termination of Service (calculated by multiplying the number of the RSUs by a fraction, the numerator of which is the number of days elapsed between the grant date and the date of the Termination of Service and the denominator of which is 365 days; provided, however, if necessary to avoid the imposition of additional taxes and penalties under Section 409A of the Internal Revenue Code, the RSUs shall be settled in Company ordinary shares on the date set forth in the original terms of such award notwithstanding the accelerated vesting set forth above. The Participant shall immediately forfeit any and all Dividend Equivalents granted under this Agreement which have not vested or do not vest on or prior to the date on which such Termination of Service occurs, and Participant’s rights in any such Dividend Equivalents which are not so vested shall lapse and expire.</w:t>
      </w:r>
    </w:p>
    <w:p>
      <w:pPr>
        <w:spacing w:after="0" w:line="195" w:lineRule="exact"/>
        <w:rPr>
          <w:rFonts w:ascii="Arial" w:cs="Arial" w:eastAsia="Arial" w:hAnsi="Arial"/>
          <w:sz w:val="19"/>
          <w:szCs w:val="19"/>
          <w:color w:val="auto"/>
        </w:rPr>
      </w:pPr>
    </w:p>
    <w:p>
      <w:pPr>
        <w:jc w:val="both"/>
        <w:ind w:firstLine="1305"/>
        <w:spacing w:after="0" w:line="322" w:lineRule="auto"/>
        <w:tabs>
          <w:tab w:leader="none" w:pos="21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of a Change in Control that occurs following the Grant Date, the RSUs, to the extent not 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1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56" w:lineRule="auto"/>
        <w:tabs>
          <w:tab w:leader="none" w:pos="186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98" w:lineRule="exact"/>
        <w:rPr>
          <w:rFonts w:ascii="Arial" w:cs="Arial" w:eastAsia="Arial" w:hAnsi="Arial"/>
          <w:sz w:val="19"/>
          <w:szCs w:val="19"/>
          <w:color w:val="auto"/>
        </w:rPr>
      </w:pPr>
    </w:p>
    <w:p>
      <w:pPr>
        <w:jc w:val="both"/>
        <w:ind w:firstLine="1305"/>
        <w:spacing w:after="0" w:line="260" w:lineRule="auto"/>
        <w:tabs>
          <w:tab w:leader="none" w:pos="1782"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595" w:right="239" w:bottom="1440" w:gutter="0" w:footer="0" w:header="0"/>
        </w:sectPr>
      </w:pPr>
    </w:p>
    <w:bookmarkStart w:id="11" w:name="page12"/>
    <w:bookmarkEnd w:id="11"/>
    <w:p>
      <w:pPr>
        <w:jc w:val="both"/>
        <w:ind w:firstLine="648"/>
        <w:spacing w:after="0" w:line="243"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29" w:lineRule="exact"/>
        <w:rPr>
          <w:sz w:val="20"/>
          <w:szCs w:val="20"/>
          <w:color w:val="auto"/>
        </w:rPr>
      </w:pPr>
    </w:p>
    <w:p>
      <w:pPr>
        <w:jc w:val="both"/>
        <w:ind w:firstLine="1305"/>
        <w:spacing w:after="0" w:line="282" w:lineRule="auto"/>
        <w:tabs>
          <w:tab w:leader="none" w:pos="18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any applicable federal, state, local and foreign taxes (including the employee portion of any FICA obligation) required by law to be withheld with respect to any taxable event arising pursuant to this Agreement. The Company and its Subsidiaries may withhold or Participant may make such payment in one or more of the forms specified below:</w:t>
      </w:r>
    </w:p>
    <w:p>
      <w:pPr>
        <w:spacing w:after="0" w:line="188" w:lineRule="exact"/>
        <w:rPr>
          <w:rFonts w:ascii="Arial" w:cs="Arial" w:eastAsia="Arial" w:hAnsi="Arial"/>
          <w:sz w:val="18"/>
          <w:szCs w:val="18"/>
          <w:color w:val="auto"/>
        </w:rPr>
      </w:pPr>
    </w:p>
    <w:p>
      <w:pPr>
        <w:ind w:left="2780" w:hanging="827"/>
        <w:spacing w:after="0"/>
        <w:tabs>
          <w:tab w:leader="none" w:pos="27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obligation arises;</w:t>
      </w:r>
    </w:p>
    <w:p>
      <w:pPr>
        <w:spacing w:after="0" w:line="256" w:lineRule="exact"/>
        <w:rPr>
          <w:rFonts w:ascii="Arial" w:cs="Arial" w:eastAsia="Arial" w:hAnsi="Arial"/>
          <w:sz w:val="18"/>
          <w:szCs w:val="18"/>
          <w:color w:val="auto"/>
        </w:rPr>
      </w:pPr>
    </w:p>
    <w:p>
      <w:pPr>
        <w:ind w:left="2840" w:hanging="887"/>
        <w:spacing w:after="0"/>
        <w:tabs>
          <w:tab w:leader="none" w:pos="28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56" w:lineRule="exact"/>
        <w:rPr>
          <w:rFonts w:ascii="Arial" w:cs="Arial" w:eastAsia="Arial" w:hAnsi="Arial"/>
          <w:sz w:val="20"/>
          <w:szCs w:val="20"/>
          <w:color w:val="auto"/>
        </w:rPr>
      </w:pPr>
    </w:p>
    <w:p>
      <w:pPr>
        <w:jc w:val="both"/>
        <w:ind w:firstLine="1953"/>
        <w:spacing w:after="0" w:line="273" w:lineRule="auto"/>
        <w:tabs>
          <w:tab w:leader="none" w:pos="2890" w:val="left"/>
        </w:tabs>
        <w:numPr>
          <w:ilvl w:val="1"/>
          <w:numId w:val="12"/>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distribution of the RSUs, by the Company withholding a net number of vested Shares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 or such other rate as does not result in adverse accounting consequences for the Company;</w:t>
      </w:r>
    </w:p>
    <w:p>
      <w:pPr>
        <w:spacing w:after="0" w:line="204" w:lineRule="exact"/>
        <w:rPr>
          <w:rFonts w:ascii="Arial" w:cs="Arial" w:eastAsia="Arial" w:hAnsi="Arial"/>
          <w:sz w:val="20"/>
          <w:szCs w:val="20"/>
          <w:color w:val="auto"/>
        </w:rPr>
      </w:pPr>
    </w:p>
    <w:p>
      <w:pPr>
        <w:jc w:val="both"/>
        <w:ind w:firstLine="1953"/>
        <w:spacing w:after="0" w:line="273" w:lineRule="auto"/>
        <w:tabs>
          <w:tab w:leader="none" w:pos="2879" w:val="left"/>
        </w:tabs>
        <w:numPr>
          <w:ilvl w:val="1"/>
          <w:numId w:val="12"/>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distribution of the RSUs, with the consent of the Administrator, by tendering to the Company vested Shares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 or such other rate as does not result in adverse accounting consequences for the Company;</w:t>
      </w:r>
    </w:p>
    <w:p>
      <w:pPr>
        <w:spacing w:after="0" w:line="204" w:lineRule="exact"/>
        <w:rPr>
          <w:rFonts w:ascii="Arial" w:cs="Arial" w:eastAsia="Arial" w:hAnsi="Arial"/>
          <w:sz w:val="20"/>
          <w:szCs w:val="20"/>
          <w:color w:val="auto"/>
        </w:rPr>
      </w:pPr>
    </w:p>
    <w:p>
      <w:pPr>
        <w:jc w:val="both"/>
        <w:ind w:firstLine="1953"/>
        <w:spacing w:after="0" w:line="272" w:lineRule="auto"/>
        <w:tabs>
          <w:tab w:leader="none" w:pos="2824" w:val="left"/>
        </w:tabs>
        <w:numPr>
          <w:ilvl w:val="1"/>
          <w:numId w:val="12"/>
        </w:numPr>
        <w:rPr>
          <w:rFonts w:ascii="Arial" w:cs="Arial" w:eastAsia="Arial" w:hAnsi="Arial"/>
          <w:sz w:val="20"/>
          <w:szCs w:val="20"/>
          <w:color w:val="auto"/>
        </w:rPr>
      </w:pPr>
      <w:r>
        <w:rPr>
          <w:rFonts w:ascii="Arial" w:cs="Arial" w:eastAsia="Arial" w:hAnsi="Arial"/>
          <w:sz w:val="20"/>
          <w:szCs w:val="20"/>
          <w:color w:val="auto"/>
        </w:rPr>
        <w:t xml:space="preserve">with respect to any withholding taxes arising in connection with the distribution of the RSUs, through the delivery 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205" w:lineRule="exact"/>
        <w:rPr>
          <w:rFonts w:ascii="Arial" w:cs="Arial" w:eastAsia="Arial" w:hAnsi="Arial"/>
          <w:sz w:val="20"/>
          <w:szCs w:val="20"/>
          <w:color w:val="auto"/>
        </w:rPr>
      </w:pPr>
    </w:p>
    <w:p>
      <w:pPr>
        <w:ind w:left="2880" w:hanging="927"/>
        <w:spacing w:after="0"/>
        <w:tabs>
          <w:tab w:leader="none" w:pos="2880" w:val="left"/>
        </w:tabs>
        <w:numPr>
          <w:ilvl w:val="1"/>
          <w:numId w:val="12"/>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366"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20"/>
          <w:szCs w:val="20"/>
          <w:color w:val="auto"/>
        </w:rPr>
        <w:t>Unless the Board otherwise determines, the Company shall withhold using the method described in clause (iii) above.</w:t>
      </w:r>
    </w:p>
    <w:p>
      <w:pPr>
        <w:spacing w:after="0" w:line="216" w:lineRule="exact"/>
        <w:rPr>
          <w:sz w:val="20"/>
          <w:szCs w:val="20"/>
          <w:color w:val="auto"/>
        </w:rPr>
      </w:pPr>
    </w:p>
    <w:p>
      <w:pPr>
        <w:jc w:val="both"/>
        <w:ind w:firstLine="1305"/>
        <w:spacing w:after="0" w:line="273" w:lineRule="auto"/>
        <w:tabs>
          <w:tab w:leader="none" w:pos="17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82" w:lineRule="exact"/>
        <w:rPr>
          <w:rFonts w:ascii="Arial" w:cs="Arial" w:eastAsia="Arial" w:hAnsi="Arial"/>
          <w:sz w:val="18"/>
          <w:szCs w:val="18"/>
          <w:color w:val="auto"/>
        </w:rPr>
      </w:pPr>
    </w:p>
    <w:p>
      <w:pPr>
        <w:jc w:val="both"/>
        <w:ind w:firstLine="1305"/>
        <w:spacing w:after="0" w:line="256" w:lineRule="auto"/>
        <w:tabs>
          <w:tab w:leader="none" w:pos="1724"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In the event any tax withholding obligation arising in connection with the RSUs will be satisfied under Section 2.5(a)(iii), then the Company may elect to instruct any brokerage firm determined acceptable to the Company for such purpose to sell on Participant’s behalf a whole number of shares from those Shares then issuable to Participant pursuant to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RSUs to Participant until the foregoing tax withholding obligations are satisfied,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payment shall be delayed under this Section 2.5(c) if such delay will result in a violation of Section 409A of the Code.</w:t>
      </w:r>
    </w:p>
    <w:p>
      <w:pPr>
        <w:spacing w:after="0" w:line="198" w:lineRule="exact"/>
        <w:rPr>
          <w:rFonts w:ascii="Arial" w:cs="Arial" w:eastAsia="Arial" w:hAnsi="Arial"/>
          <w:sz w:val="19"/>
          <w:szCs w:val="19"/>
          <w:color w:val="auto"/>
        </w:rPr>
      </w:pPr>
    </w:p>
    <w:p>
      <w:pPr>
        <w:jc w:val="both"/>
        <w:ind w:firstLine="1305"/>
        <w:spacing w:after="0" w:line="260" w:lineRule="auto"/>
        <w:tabs>
          <w:tab w:leader="none" w:pos="1769" w:val="left"/>
        </w:tabs>
        <w:numPr>
          <w:ilvl w:val="0"/>
          <w:numId w:val="13"/>
        </w:numPr>
        <w:rPr>
          <w:rFonts w:ascii="Arial" w:cs="Arial" w:eastAsia="Arial" w:hAnsi="Arial"/>
          <w:sz w:val="19"/>
          <w:szCs w:val="19"/>
          <w:color w:val="auto"/>
        </w:rPr>
      </w:pPr>
      <w:r>
        <w:rPr>
          <w:rFonts w:ascii="Arial" w:cs="Arial" w:eastAsia="Arial" w:hAnsi="Arial"/>
          <w:sz w:val="19"/>
          <w:szCs w:val="19"/>
          <w:color w:val="auto"/>
        </w:rPr>
        <w:t>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59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spacing w:after="0" w:line="3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RSUs Not Transferable</w:t>
      </w:r>
      <w:r>
        <w:rPr>
          <w:rFonts w:ascii="Arial" w:cs="Arial" w:eastAsia="Arial" w:hAnsi="Arial"/>
          <w:sz w:val="19"/>
          <w:szCs w:val="19"/>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Adjustments</w:t>
      </w:r>
      <w:r>
        <w:rPr>
          <w:rFonts w:ascii="Arial" w:cs="Arial" w:eastAsia="Arial" w:hAnsi="Arial"/>
          <w:sz w:val="19"/>
          <w:szCs w:val="19"/>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13.2 of the Plan.</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81" w:right="239" w:bottom="1440" w:gutter="0" w:footer="0" w:header="0"/>
        </w:sectPr>
      </w:pPr>
    </w:p>
    <w:bookmarkStart w:id="14" w:name="page15"/>
    <w:bookmarkEnd w:id="14"/>
    <w:p>
      <w:pPr>
        <w:jc w:val="both"/>
        <w:ind w:firstLine="648"/>
        <w:spacing w:after="0" w:line="243"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Amendment, Suspension and Termination</w:t>
      </w:r>
      <w:r>
        <w:rPr>
          <w:rFonts w:ascii="Arial" w:cs="Arial" w:eastAsia="Arial" w:hAnsi="Arial"/>
          <w:sz w:val="20"/>
          <w:szCs w:val="20"/>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20"/>
          <w:szCs w:val="20"/>
          <w:i w:val="1"/>
          <w:iCs w:val="1"/>
          <w:color w:val="auto"/>
        </w:rPr>
        <w:t>, provided</w:t>
      </w:r>
      <w:r>
        <w:rPr>
          <w:rFonts w:ascii="Arial" w:cs="Arial" w:eastAsia="Arial" w:hAnsi="Arial"/>
          <w:sz w:val="20"/>
          <w:szCs w:val="20"/>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3.10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1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Neither the Plan nor this Agreement afford the Participant any rights to compensation or damages, including for loss of or potential loss that the Participant may suffer as a result of the termination of the Plan, lapse of the RSUs or the termination of the Participant’s employment with or service to the Company.</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3.13 </w:t>
      </w:r>
      <w:r>
        <w:rPr>
          <w:rFonts w:ascii="Arial" w:cs="Arial" w:eastAsia="Arial" w:hAnsi="Arial"/>
          <w:sz w:val="20"/>
          <w:szCs w:val="20"/>
          <w:u w:val="single" w:color="auto"/>
          <w:color w:val="auto"/>
        </w:rPr>
        <w:t>Section 409A</w:t>
      </w:r>
      <w:r>
        <w:rPr>
          <w:rFonts w:ascii="Arial" w:cs="Arial" w:eastAsia="Arial" w:hAnsi="Arial"/>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20"/>
          <w:szCs w:val="20"/>
          <w:u w:val="single" w:color="auto"/>
          <w:color w:val="auto"/>
        </w:rPr>
        <w:t>Section 409A</w:t>
      </w:r>
      <w:r>
        <w:rPr>
          <w:rFonts w:ascii="Arial" w:cs="Arial" w:eastAsia="Arial" w:hAnsi="Arial"/>
          <w:sz w:val="20"/>
          <w:szCs w:val="20"/>
          <w:color w:val="auto"/>
        </w:rPr>
        <w:t>”). However, notwithstanding any other provision of the Plan, the Grant Notice or this Agreement, if at any time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366" w:right="239" w:bottom="1440" w:gutter="0" w:footer="0" w:header="0"/>
        </w:sectPr>
      </w:pPr>
    </w:p>
    <w:bookmarkStart w:id="15" w:name="page16"/>
    <w:bookmarkEnd w:id="15"/>
    <w:p>
      <w:pPr>
        <w:jc w:val="both"/>
        <w:spacing w:after="0" w:line="260" w:lineRule="auto"/>
        <w:rPr>
          <w:sz w:val="20"/>
          <w:szCs w:val="20"/>
          <w:color w:val="auto"/>
        </w:rPr>
      </w:pPr>
      <w:r>
        <w:rPr>
          <w:rFonts w:ascii="Arial" w:cs="Arial" w:eastAsia="Arial" w:hAnsi="Arial"/>
          <w:sz w:val="19"/>
          <w:szCs w:val="19"/>
          <w:color w:val="auto"/>
        </w:rPr>
        <w:t>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any broker-assisted sale of Shares in connection with the payment of withholding taxes as provided in Section 2.5(a)(iii) or Section 2.5(c): (A) any Shares to be sold through a broker-assisted sale will be sold on the day the tax withholding obligation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7"/>
    </w:lvl>
  </w:abstractNum>
  <w:abstractNum w:abstractNumId="6">
    <w:nsid w:val="4DB127F8"/>
    <w:multiLevelType w:val="hybridMultilevel"/>
    <w:lvl w:ilvl="0">
      <w:lvlJc w:val="left"/>
      <w:lvlText w:val="%1."/>
      <w:numFmt w:val="decimal"/>
      <w:start w:val="8"/>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2019-12-28T21:32:40Z</dcterms:created>
  <dcterms:modified xsi:type="dcterms:W3CDTF">2019-12-28T21:32:40Z</dcterms:modified>
</cp:coreProperties>
</file>