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5, 2026 </w:t>
      </w:r>
    </w:p>
    <w:p>
      <w:pPr>
        <w:pStyle w:val="TextBody"/>
        <w:bidi w:val="0"/>
        <w:spacing w:before="0" w:after="0"/>
        <w:jc w:val="center"/>
        <w:rPr/>
      </w:pPr>
      <w:r>
        <w:rPr/>
      </w:r>
    </w:p>
    <w:p>
      <w:pPr>
        <w:pStyle w:val="TextBody"/>
        <w:bidi w:val="0"/>
        <w:spacing w:before="0" w:after="0"/>
        <w:jc w:val="center"/>
        <w:rPr/>
      </w:pPr>
      <w:r>
        <w:rPr/>
        <w:drawing>
          <wp:inline distT="0" distB="0" distL="0" distR="0">
            <wp:extent cx="1828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LivaNova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5220 Valiant Court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Gloucester, GL3 4FE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Kingdom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+ 44 20 33250660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 Eastbourne Terrace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W2 6LG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8"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85"/>
        <w:gridCol w:w="1085"/>
        <w:gridCol w:w="1535"/>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August 5, 2026, LivaNova PLC (the “Company”) issued a press release announcing financial results for the quarter ended June 30, 2026. The Company will host a business update conference call and webcast today, August 5, 2026, at 1 p.m. London time (8 a.m. Eastern Time), during which the Company will discuss the financial results. The conference call will be available through the LivaNova website at </w:t>
      </w:r>
      <w:r>
        <w:rPr>
          <w:rFonts w:ascii="Times New Roman;serif" w:hAnsi="Times New Roman;serif"/>
          <w:b w:val="false"/>
          <w:color w:val="3051F2"/>
          <w:sz w:val="20"/>
        </w:rPr>
        <w:t>www.livanova.com/events</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earningspressrelease.htm">
              <w:r>
                <w:rPr>
                  <w:rStyle w:val="InternetLink"/>
                  <w:rFonts w:ascii="Times New Roman;serif" w:hAnsi="Times New Roman;serif"/>
                  <w:b w:val="false"/>
                  <w:color w:val="0000FF"/>
                  <w:sz w:val="20"/>
                  <w:u w:val="single"/>
                </w:rPr>
                <w:t>Press Release of LivaNova PLC dated August 5,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63" w:type="dxa"/>
        <w:jc w:val="left"/>
        <w:tblInd w:w="0" w:type="dxa"/>
        <w:tblLayout w:type="fixed"/>
        <w:tblCellMar>
          <w:top w:w="28" w:type="dxa"/>
          <w:left w:w="28" w:type="dxa"/>
          <w:bottom w:w="28" w:type="dxa"/>
          <w:right w:w="28" w:type="dxa"/>
        </w:tblCellMar>
      </w:tblPr>
      <w:tblGrid>
        <w:gridCol w:w="667"/>
        <w:gridCol w:w="587"/>
        <w:gridCol w:w="590"/>
        <w:gridCol w:w="999"/>
        <w:gridCol w:w="999"/>
        <w:gridCol w:w="14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41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Sarah K. Mohr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Sarah K. Mohr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VP, Legal and Company Secretary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120" w:after="240"/>
        <w:jc w:val="right"/>
        <w:rPr/>
      </w:pPr>
      <w:r>
        <w:rPr/>
      </w:r>
    </w:p>
    <w:p>
      <w:pPr>
        <w:pStyle w:val="TextBody"/>
        <w:bidi w:val="0"/>
        <w:spacing w:lineRule="auto" w:line="288" w:before="0" w:after="0"/>
        <w:jc w:val="left"/>
        <w:rPr>
          <w:rFonts w:ascii="Franklin Gothic Demi;sans-serif" w:hAnsi="Franklin Gothic Demi;sans-serif"/>
          <w:b w:val="false"/>
          <w:color w:val="060606"/>
          <w:sz w:val="22"/>
          <w:u w:val="single"/>
        </w:rPr>
      </w:pPr>
      <w:r>
        <w:rPr>
          <w:rFonts w:ascii="Franklin Gothic Demi;sans-serif" w:hAnsi="Franklin Gothic Demi;sans-serif"/>
          <w:b w:val="false"/>
          <w:color w:val="060606"/>
          <w:sz w:val="22"/>
          <w:u w:val="single"/>
        </w:rPr>
        <w:t>EXHIBIT 99.1</w:t>
      </w:r>
    </w:p>
    <w:p>
      <w:pPr>
        <w:pStyle w:val="TextBody"/>
        <w:bidi w:val="0"/>
        <w:spacing w:before="0" w:after="240"/>
        <w:jc w:val="left"/>
        <w:rPr/>
      </w:pPr>
      <w:r>
        <w:rPr/>
        <w:drawing>
          <wp:inline distT="0" distB="0" distL="0" distR="0">
            <wp:extent cx="1828800" cy="295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295275"/>
                    </a:xfrm>
                    <a:prstGeom prst="rect">
                      <a:avLst/>
                    </a:prstGeom>
                  </pic:spPr>
                </pic:pic>
              </a:graphicData>
            </a:graphic>
          </wp:inline>
        </w:drawing>
      </w:r>
    </w:p>
    <w:p>
      <w:pPr>
        <w:pStyle w:val="TextBody"/>
        <w:bidi w:val="0"/>
        <w:spacing w:lineRule="auto" w:line="288" w:before="120" w:after="24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NEWS RELEASE</w:t>
      </w:r>
    </w:p>
    <w:p>
      <w:pPr>
        <w:pStyle w:val="TextBody"/>
        <w:bidi w:val="0"/>
        <w:spacing w:lineRule="auto" w:line="288" w:before="0" w:after="0"/>
        <w:jc w:val="left"/>
        <w:rPr>
          <w:rFonts w:ascii="Franklin Gothic Medium;sans-serif" w:hAnsi="Franklin Gothic Medium;sans-serif"/>
          <w:b w:val="false"/>
          <w:color w:val="9D19D1"/>
          <w:sz w:val="34"/>
        </w:rPr>
      </w:pPr>
      <w:r>
        <w:rPr>
          <w:rFonts w:ascii="Franklin Gothic Medium;sans-serif" w:hAnsi="Franklin Gothic Medium;sans-serif"/>
          <w:b w:val="false"/>
          <w:color w:val="9D19D1"/>
          <w:sz w:val="34"/>
        </w:rPr>
        <w:t>LivaNova Reports Second-Quarter 2026 Results; Raises Full-Year 2026 Revenue and Adjusted Diluted EPS Guidance</w:t>
      </w:r>
    </w:p>
    <w:p>
      <w:pPr>
        <w:pStyle w:val="TextBody"/>
        <w:bidi w:val="0"/>
        <w:spacing w:lineRule="auto" w:line="288" w:before="0" w:after="0"/>
        <w:ind w:left="0" w:right="0" w:hanging="360"/>
        <w:jc w:val="both"/>
        <w:rPr/>
      </w:pPr>
      <w:r>
        <w:rPr>
          <w:color w:val="060606"/>
        </w:rPr>
        <w:t>–</w:t>
      </w:r>
      <w:r>
        <w:rPr>
          <w:rFonts w:ascii="Franklin Gothic Book;sans-serif" w:hAnsi="Franklin Gothic Book;sans-serif"/>
          <w:b w:val="false"/>
          <w:i/>
          <w:color w:val="060606"/>
          <w:sz w:val="22"/>
        </w:rPr>
        <w:t>Delivered double-digit reported revenue growth of 10.8%, with constant-currency revenue growth of 9.8%</w:t>
      </w:r>
    </w:p>
    <w:p>
      <w:pPr>
        <w:pStyle w:val="TextBody"/>
        <w:bidi w:val="0"/>
        <w:spacing w:lineRule="auto" w:line="288" w:before="0" w:after="0"/>
        <w:ind w:left="0" w:right="0" w:hanging="360"/>
        <w:jc w:val="both"/>
        <w:rPr/>
      </w:pPr>
      <w:r>
        <w:rPr>
          <w:color w:val="060606"/>
        </w:rPr>
        <w:t>–</w:t>
      </w:r>
      <w:r>
        <w:rPr>
          <w:rFonts w:ascii="Franklin Gothic Book;sans-serif" w:hAnsi="Franklin Gothic Book;sans-serif"/>
          <w:b w:val="false"/>
          <w:i/>
          <w:color w:val="060606"/>
          <w:sz w:val="22"/>
        </w:rPr>
        <w:t>Raised full-year 2026 revenue and adjusted diluted earnings per share guidance</w:t>
      </w:r>
      <w:r>
        <w:rPr>
          <w:rFonts w:ascii="Franklin Gothic Book;sans-serif" w:hAnsi="Franklin Gothic Book;sans-serif"/>
          <w:b w:val="false"/>
          <w:i/>
          <w:color w:val="060606"/>
          <w:sz w:val="14"/>
        </w:rPr>
        <w:t>(1)</w:t>
      </w:r>
    </w:p>
    <w:p>
      <w:pPr>
        <w:pStyle w:val="TextBody"/>
        <w:bidi w:val="0"/>
        <w:spacing w:lineRule="auto" w:line="288" w:before="0" w:after="0"/>
        <w:ind w:left="0" w:right="0" w:hanging="360"/>
        <w:jc w:val="left"/>
        <w:rPr/>
      </w:pPr>
      <w:r>
        <w:rPr>
          <w:color w:val="060606"/>
        </w:rPr>
        <w:t>–</w:t>
      </w:r>
      <w:r>
        <w:rPr>
          <w:rFonts w:ascii="Franklin Gothic Book;sans-serif" w:hAnsi="Franklin Gothic Book;sans-serif"/>
          <w:b w:val="false"/>
          <w:i/>
          <w:color w:val="060606"/>
          <w:sz w:val="22"/>
        </w:rPr>
        <w:t>Entered into a long-term agreement with Thermo Fisher Scientific to strengthen oxygenator component supply to expand manufacturing output and satisfy unmet demand</w:t>
      </w:r>
    </w:p>
    <w:p>
      <w:pPr>
        <w:pStyle w:val="TextBody"/>
        <w:bidi w:val="0"/>
        <w:spacing w:lineRule="auto" w:line="417" w:before="120" w:after="240"/>
        <w:jc w:val="left"/>
        <w:rPr/>
      </w:pPr>
      <w:r>
        <w:rPr>
          <w:rFonts w:ascii="Franklin Gothic Medium;sans-serif" w:hAnsi="Franklin Gothic Medium;sans-serif"/>
          <w:b w:val="false"/>
          <w:color w:val="9D19D1"/>
          <w:sz w:val="22"/>
        </w:rPr>
        <w:t>GLOUCESTER, United Kingdom, August 5, 2026 —</w:t>
      </w:r>
      <w:r>
        <w:rPr>
          <w:color w:val="9D19D1"/>
        </w:rPr>
        <w:t xml:space="preserve"> </w:t>
      </w:r>
      <w:r>
        <w:rPr>
          <w:rFonts w:ascii="Franklin Gothic Book;sans-serif" w:hAnsi="Franklin Gothic Book;sans-serif"/>
          <w:b w:val="false"/>
          <w:color w:val="060606"/>
          <w:sz w:val="22"/>
        </w:rPr>
        <w:t xml:space="preserve">LivaNova PLC (Nasdaq: LIVN), a market-leading medical technology company, today reported results for the second quarter ended June 30, 2026 and raised full-year 2026 guidance. </w:t>
      </w:r>
    </w:p>
    <w:p>
      <w:pPr>
        <w:pStyle w:val="TextBody"/>
        <w:bidi w:val="0"/>
        <w:spacing w:lineRule="auto" w:line="288" w:before="120" w:after="240"/>
        <w:jc w:val="both"/>
        <w:rPr/>
      </w:pPr>
      <w:r>
        <w:rPr>
          <w:rFonts w:ascii="Franklin Gothic Book;sans-serif" w:hAnsi="Franklin Gothic Book;sans-serif"/>
          <w:b w:val="false"/>
          <w:color w:val="060606"/>
          <w:sz w:val="22"/>
          <w:u w:val="single"/>
        </w:rPr>
        <w:t>Financial Summary and Highlights</w:t>
      </w:r>
      <w:r>
        <w:rPr>
          <w:rFonts w:ascii="Franklin Gothic Demi;sans-serif" w:hAnsi="Franklin Gothic Demi;sans-serif"/>
          <w:b w:val="false"/>
          <w:color w:val="060606"/>
          <w:sz w:val="14"/>
        </w:rPr>
        <w:t>(1)</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Second-quarter revenue of $390.6 million increased 10.8% on a reported basis and 9.8% on a constant-currency basis as compared to the prior-year period</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Second-quarter U.S. GAAP diluted earnings per share of $1.93 and adjusted diluted earnings per share of $1.26</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Second-quarter net cash provided by operating activities of $66.6 million and adjusted free cash flow of $45.5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Raised full-year 2026 revenue growth range by 100 basis points to 8% to 9% on a constant-currency basis. Raised full-year 2026 adjusted diluted earnings per share range by $0.10 at midpoint to $4.30 to $4.40. Lowered full-year 2026 adjusted free cash flow range to $140 million to $160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Entered into a long-term agreement with Thermo Fisher Scientific that is anticipated to increase availability of a critical oxygenator component. The agreement is expected to support increased oxygenator output over time, strengthening LivaNova’s ability to satisfy unmet customer demand</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Announced data showing that use of PolySync™ programming algorithm increased the cumulative apnea-hypopnea index response rate to 84.5% in patients with moderate to severe Obstructive Sleep Apnea, improving response rate and expanding the impact of proximal hypoglossal nerve stimulation therapy over time</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Received a favorable ruling from the Italian tax authority, Agenzia delle Entrate, resulting in the recognition of a discrete tax benefit of €81.8 million ($95.4 million) on the deductibility of the previously recorded SNIA environmental liability</w:t>
      </w:r>
    </w:p>
    <w:p>
      <w:pPr>
        <w:pStyle w:val="TextBody"/>
        <w:bidi w:val="0"/>
        <w:spacing w:lineRule="auto" w:line="288"/>
        <w:jc w:val="left"/>
        <w:rPr/>
      </w:pPr>
      <w:r>
        <w:rPr>
          <w:rFonts w:ascii="Franklin Gothic Book;sans-serif" w:hAnsi="Franklin Gothic Book;sans-serif"/>
          <w:b w:val="false"/>
          <w:color w:val="060606"/>
          <w:sz w:val="8"/>
        </w:rPr>
        <w:t>(1)</w:t>
      </w:r>
      <w:r>
        <w:rPr>
          <w:color w:val="060606"/>
        </w:rPr>
        <w:t xml:space="preserve"> </w:t>
      </w:r>
      <w:r>
        <w:rPr>
          <w:rFonts w:ascii="Franklin Gothic Book;sans-serif" w:hAnsi="Franklin Gothic Book;sans-serif"/>
          <w:b w:val="false"/>
          <w:color w:val="060606"/>
          <w:sz w:val="12"/>
        </w:rPr>
        <w:t xml:space="preserve">Constant-currency percent change,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forward-looking non-GAAP financial measures to their most directly comparable forward-looking GAAP financial measures without unreasonable efforts. </w:t>
      </w:r>
    </w:p>
    <w:p>
      <w:pPr>
        <w:pStyle w:val="TextBody"/>
        <w:bidi w:val="0"/>
        <w:spacing w:before="140" w:after="6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p>
                  </w:txbxContent>
                </v:textbox>
                <w10:wrap type="none"/>
              </v:rect>
            </w:pict>
          </mc:Fallback>
        </mc:AlternateConten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 xml:space="preserve">Appointed Jette Nygaard-Anderson to the Board of Directors and the Nominating and Corporate Governance Committee, effective June 10 </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Appointed Stefano Folli as President, Cardiopulmonary, effective August 1, after joining the Company on June 1</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Appointed Anne Liddy as Chief Legal Officer, effective August 31</w:t>
      </w:r>
    </w:p>
    <w:p>
      <w:pPr>
        <w:pStyle w:val="TextBody"/>
        <w:bidi w:val="0"/>
        <w:spacing w:lineRule="auto" w:line="417" w:before="120" w:after="240"/>
        <w:jc w:val="both"/>
        <w:rPr>
          <w:color w:val="060606"/>
        </w:rPr>
      </w:pPr>
      <w:r>
        <w:rPr>
          <w:color w:val="060606"/>
        </w:rPr>
        <w:t>“</w:t>
      </w:r>
      <w:r>
        <w:rPr>
          <w:rFonts w:ascii="Franklin Gothic Book;sans-serif" w:hAnsi="Franklin Gothic Book;sans-serif"/>
          <w:b w:val="false"/>
          <w:color w:val="060606"/>
          <w:sz w:val="22"/>
        </w:rPr>
        <w:t>In the second quarter, LivaNova delivered strong revenue growth driven by sustained performance in our Cardiopulmonary and Epilepsy businesses,” said Vladimir Makatsaria, Chief Executive Officer of LivaNova. “We are also pleased to announce an agreement with Thermo Fisher Scientific, an important step in securing a critical component for our oxygenators, supporting the Cardiopulmonary supply chain long-term. Our updated 2026 guidance reflects strong execution in the core businesses as we advance our strategic plan and drive long-term value creation.”</w:t>
      </w:r>
    </w:p>
    <w:p>
      <w:pPr>
        <w:pStyle w:val="TextBody"/>
        <w:bidi w:val="0"/>
        <w:spacing w:lineRule="auto" w:line="417" w:before="120" w:after="240"/>
        <w:jc w:val="left"/>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Second-Quarter 2026 Results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following table summarizes net revenue by segment (in millions):</w:t>
      </w:r>
    </w:p>
    <w:tbl>
      <w:tblPr>
        <w:tblW w:w="8898" w:type="dxa"/>
        <w:jc w:val="left"/>
        <w:tblInd w:w="0" w:type="dxa"/>
        <w:tblLayout w:type="fixed"/>
        <w:tblCellMar>
          <w:top w:w="28" w:type="dxa"/>
          <w:left w:w="28" w:type="dxa"/>
          <w:bottom w:w="28" w:type="dxa"/>
          <w:right w:w="28" w:type="dxa"/>
        </w:tblCellMar>
      </w:tblPr>
      <w:tblGrid>
        <w:gridCol w:w="340"/>
        <w:gridCol w:w="299"/>
        <w:gridCol w:w="299"/>
        <w:gridCol w:w="299"/>
        <w:gridCol w:w="299"/>
        <w:gridCol w:w="305"/>
        <w:gridCol w:w="109"/>
        <w:gridCol w:w="109"/>
        <w:gridCol w:w="109"/>
        <w:gridCol w:w="311"/>
        <w:gridCol w:w="311"/>
        <w:gridCol w:w="238"/>
        <w:gridCol w:w="238"/>
        <w:gridCol w:w="238"/>
        <w:gridCol w:w="238"/>
        <w:gridCol w:w="311"/>
        <w:gridCol w:w="311"/>
        <w:gridCol w:w="238"/>
        <w:gridCol w:w="109"/>
        <w:gridCol w:w="109"/>
        <w:gridCol w:w="109"/>
        <w:gridCol w:w="293"/>
        <w:gridCol w:w="293"/>
        <w:gridCol w:w="717"/>
        <w:gridCol w:w="109"/>
        <w:gridCol w:w="109"/>
        <w:gridCol w:w="109"/>
        <w:gridCol w:w="463"/>
        <w:gridCol w:w="463"/>
        <w:gridCol w:w="1413"/>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Constant-Currency </w:t>
              <w:br/>
              <w:t>% Change</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$221.6</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11.2 </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9.9 </w:t>
            </w:r>
          </w:p>
        </w:tc>
        <w:tc>
          <w:tcPr>
            <w:tcW w:w="14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166.9</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10.1 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9.5 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30.6 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27.7 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$390.6</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10.8 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9.8 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Other Revenue” includes rental and site services income not allocated to segments.</w:t>
      </w:r>
    </w:p>
    <w:p>
      <w:pPr>
        <w:pStyle w:val="TextBody"/>
        <w:bidi w:val="0"/>
        <w:spacing w:lineRule="auto" w:line="288" w:before="0" w:after="42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lineRule="auto" w:line="417" w:before="120" w:after="240"/>
        <w:jc w:val="both"/>
        <w:rPr/>
      </w:pPr>
      <w:r>
        <w:rPr>
          <w:rFonts w:ascii="Franklin Gothic Book;sans-serif" w:hAnsi="Franklin Gothic Book;sans-serif"/>
          <w:b w:val="false"/>
          <w:color w:val="060606"/>
          <w:sz w:val="22"/>
        </w:rPr>
        <w:t>Second-quarter 2026</w:t>
      </w:r>
      <w:r>
        <w:rPr>
          <w:color w:val="060606"/>
        </w:rPr>
        <w:t xml:space="preserve"> </w:t>
      </w:r>
      <w:r>
        <w:rPr>
          <w:rFonts w:ascii="Franklin Gothic Book;sans-serif" w:hAnsi="Franklin Gothic Book;sans-serif"/>
          <w:b w:val="false"/>
          <w:color w:val="060606"/>
          <w:sz w:val="22"/>
        </w:rPr>
        <w:t>Cardiopulmonary revenue increased 11.2% on a reported basis and 9.9% on a constant-currency basis versus the second quarter of 2025 driven by growth in Europe, primarily reflecting Essenz™</w:t>
      </w:r>
      <w:r>
        <w:rPr>
          <w:color w:val="060606"/>
        </w:rPr>
        <w:t xml:space="preserve"> </w:t>
      </w:r>
      <w:r>
        <w:rPr>
          <w:rFonts w:ascii="Franklin Gothic Book;sans-serif" w:hAnsi="Franklin Gothic Book;sans-serif"/>
          <w:b w:val="false"/>
          <w:color w:val="060606"/>
          <w:sz w:val="22"/>
        </w:rPr>
        <w:t xml:space="preserve">Perfusion System sales, strong consumables demand, and favorable realized price.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Second-quarter 2026 Neuromodulation revenue increased 10.1% on a reported basis and 9.5% on a constant-currency basis versus the second quarter of 2025 with growth across all regions, driven by volume growth and favorable realized price. </w:t>
      </w:r>
    </w:p>
    <w:p>
      <w:pPr>
        <w:pStyle w:val="TextBody"/>
        <w:bidi w:val="0"/>
        <w:spacing w:lineRule="auto" w:line="417" w:before="120" w:after="240"/>
        <w:jc w:val="both"/>
        <w:rPr>
          <w:rFonts w:ascii="Franklin Gothic Book;sans-serif" w:hAnsi="Franklin Gothic Book;sans-serif"/>
          <w:b w:val="false"/>
          <w:i/>
          <w:color w:val="060606"/>
          <w:sz w:val="22"/>
        </w:rPr>
      </w:pPr>
      <w:r>
        <w:rPr>
          <w:rFonts w:ascii="Franklin Gothic Book;sans-serif" w:hAnsi="Franklin Gothic Book;sans-serif"/>
          <w:b w:val="false"/>
          <w:i/>
          <w:color w:val="060606"/>
          <w:sz w:val="22"/>
        </w:rPr>
        <w:t>Earnings Analysis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On a U.S. GAAP basis, second-quarter 2026 operating income was $49.5 million, as compared to operating income of $54.2 million for the second quarter of 2025. Adjusted operating income for the second quarter of </w:t>
      </w:r>
    </w:p>
    <w:p>
      <w:pPr>
        <w:pStyle w:val="TextBody"/>
        <w:bidi w:val="0"/>
        <w:spacing w:before="140" w:after="6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2026 was $90.8 million, as compared to adjusted operating income of $77.4 million for the second quarter of 2025.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On a U.S. GAAP basis, second-quarter 2026 diluted earnings per share was $1.93 as compared to diluted earnings per share of $0.50 in the second quarter of 2025. Second-quarter 2026 adjusted diluted earnings per share was $1.26, as compared to adjusted diluted earnings per share of $1.05 in the second quarter of 2025.</w:t>
      </w:r>
    </w:p>
    <w:p>
      <w:pPr>
        <w:pStyle w:val="TextBody"/>
        <w:bidi w:val="0"/>
        <w:spacing w:lineRule="auto" w:line="417" w:before="120" w:after="240"/>
        <w:jc w:val="both"/>
        <w:rPr/>
      </w:pPr>
      <w:r>
        <w:rPr>
          <w:rFonts w:ascii="Franklin Gothic Book;sans-serif" w:hAnsi="Franklin Gothic Book;sans-serif"/>
          <w:b w:val="false"/>
          <w:color w:val="060606"/>
          <w:sz w:val="22"/>
          <w:u w:val="single"/>
        </w:rPr>
        <w:t>Full-Year 2026 Guidance</w:t>
      </w:r>
      <w:r>
        <w:rPr>
          <w:color w:val="060606"/>
        </w:rPr>
        <w:t xml:space="preserve">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LivaNova now expects full-year 2026 revenue to grow between 8% and 9% (versus 7% and 8% prior) on a constant-currency basis. Foreign currency is expected to be a tailwind of approximately 1% based on current exchange rates, consistent with prior guidance.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diluted earnings per share for 2026 is now expected to be in the range of $4.30 to $4.40 (versus $4.20 to $4.30 prior), assuming a share count of approximately 56 million for full-year 2026. In 2026, the Company now estimates adjusted free cash flow in the range of $140 million to $160 million (versus $160 million to $180 million prior) to reflect incremental strategic investments in Cardiopulmonary capacity expansion, innovation, and IT infrastructure to support the Company’s growth strategy.</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The Company will host a live audiocast at 1 p.m. London time (8 a.m. Eastern Daylight Time) on Wed., August 5, 2026 that will be accessible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xml:space="preserve">. Listeners should register in advance and log on approximately 10 minutes early to ensure proper setup. To listen to the conference call by telephone, dial +1 833 461 5787 (if dialing from within the U.S.) or +1 585 542 9983 (if dialing from outside the U.S.). The conference call meeting ID is 719351329.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where it will be archived and accessible for approximately 90 days.</w:t>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140" w:after="6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p>
                  </w:txbxContent>
                </v:textbox>
                <w10:wrap type="none"/>
              </v:rect>
            </w:pict>
          </mc:Fallback>
        </mc:AlternateContent>
      </w:r>
    </w:p>
    <w:p>
      <w:pPr>
        <w:pStyle w:val="TextBody"/>
        <w:bidi w:val="0"/>
        <w:spacing w:lineRule="auto" w:line="417" w:before="120" w:after="240"/>
        <w:jc w:val="both"/>
        <w:rPr>
          <w:rFonts w:ascii="Franklin Gothic Demi;sans-serif" w:hAnsi="Franklin Gothic Demi;sans-serif"/>
          <w:b w:val="false"/>
          <w:color w:val="9D19D1"/>
          <w:sz w:val="22"/>
        </w:rPr>
      </w:pPr>
      <w:r>
        <w:rPr>
          <w:rFonts w:ascii="Franklin Gothic Demi;sans-serif" w:hAnsi="Franklin Gothic Demi;sans-serif"/>
          <w:b w:val="false"/>
          <w:color w:val="9D19D1"/>
          <w:sz w:val="22"/>
        </w:rPr>
        <w:t>About LivaNova</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LivaNova PLC is a global medical technology company built on nearly five decades of experience with a vision to change the trajectory of lives for a new day. Through ingenious medical solutions in select neurological and cardiac conditions, LivaNova strives to ignite patient turnarounds. With its registered office in the United Kingdom, approximately 3,300 employees, and a presence in more than 100 countries, LivaNova serves patients, healthcare professionals, and healthcare systems worldwide. For more information, please visit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60606"/>
          <w:sz w:val="22"/>
        </w:rPr>
        <w:t xml:space="preserve">. </w:t>
      </w:r>
    </w:p>
    <w:p>
      <w:pPr>
        <w:pStyle w:val="TextBody"/>
        <w:bidi w:val="0"/>
        <w:spacing w:lineRule="auto" w:line="417" w:before="120" w:after="240"/>
        <w:jc w:val="left"/>
        <w:rPr>
          <w:rFonts w:ascii="Franklin Gothic Demi;sans-serif" w:hAnsi="Franklin Gothic Demi;sans-serif"/>
          <w:b w:val="false"/>
          <w:color w:val="9D19D1"/>
          <w:sz w:val="22"/>
        </w:rPr>
      </w:pPr>
      <w:r>
        <w:rPr>
          <w:rFonts w:ascii="Franklin Gothic Demi;sans-serif" w:hAnsi="Franklin Gothic Demi;sans-serif"/>
          <w:b w:val="false"/>
          <w:color w:val="9D19D1"/>
          <w:sz w:val="22"/>
        </w:rPr>
        <w:t>Use of Non-GAAP Financial Measures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In this news release, the Company refers to revenue and percentage change in revenue on a comparable, constant-currency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excludes items such as, but not limited to, changes in fair value of certain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w:t>
      </w:r>
    </w:p>
    <w:p>
      <w:pPr>
        <w:pStyle w:val="TextBody"/>
        <w:bidi w:val="0"/>
        <w:spacing w:before="140" w:after="6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proceeds, SNIA environmental liability and related financing costs, contingent consideration payments classified within operating cash flows,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 Company does not reconcile non-GAAP financial measures on a forward-looking basis as it is impractical to do so without unreasonable effort.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financial measures such as adjusted cost of sales, adjusted gross profit, adjusted selling, general, and administrative expense, adjusted research and development expense, adjusted other operating expense, adjusted operating income, adjusted income before income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9D19D1"/>
          <w:sz w:val="22"/>
        </w:rPr>
      </w:pPr>
      <w:r>
        <w:rPr>
          <w:rFonts w:ascii="Franklin Gothic Demi;sans-serif" w:hAnsi="Franklin Gothic Demi;sans-serif"/>
          <w:b w:val="false"/>
          <w:color w:val="9D19D1"/>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w:t>
      </w:r>
    </w:p>
    <w:p>
      <w:pPr>
        <w:pStyle w:val="TextBody"/>
        <w:bidi w:val="0"/>
        <w:spacing w:before="140" w:after="6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risks associated with doing business globally, including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supply agreements,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w:t>
      </w:r>
    </w:p>
    <w:p>
      <w:pPr>
        <w:pStyle w:val="TextBody"/>
        <w:bidi w:val="0"/>
        <w:spacing w:before="140" w:after="6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7800"/>
                <wp:effectExtent l="0" t="0" r="0" b="0"/>
                <wp:wrapNone/>
                <wp:docPr id="11"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estimates;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PolySync and Essenz are trademarks of LivaNova USA, Inc.</w:t>
      </w:r>
    </w:p>
    <w:p>
      <w:pPr>
        <w:pStyle w:val="TextBody"/>
        <w:bidi w:val="0"/>
        <w:spacing w:lineRule="auto" w:line="288" w:before="0" w:after="0"/>
        <w:jc w:val="both"/>
        <w:rPr>
          <w:rFonts w:ascii="Franklin Gothic Medium;sans-serif" w:hAnsi="Franklin Gothic Medium;sans-serif"/>
          <w:b w:val="false"/>
          <w:color w:val="060606"/>
          <w:sz w:val="24"/>
        </w:rPr>
      </w:pPr>
      <w:r>
        <w:rPr>
          <w:rFonts w:ascii="Franklin Gothic Medium;sans-serif" w:hAnsi="Franklin Gothic Medium;sans-serif"/>
          <w:b w:val="false"/>
          <w:color w:val="060606"/>
          <w:sz w:val="24"/>
        </w:rPr>
        <w:t>Briana Gotlin</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Vice President, Investor Relations</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Phone: +1 281 895 2382</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e-mail: InvestorRelations@livanova.com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7800"/>
                <wp:effectExtent l="0" t="0" r="0" b="0"/>
                <wp:wrapNone/>
                <wp:docPr id="12"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p>
                  </w:txbxContent>
                </v:textbox>
                <w10:wrap type="none"/>
              </v:rect>
            </w:pict>
          </mc:Fallback>
        </mc:AlternateContent>
      </w:r>
    </w:p>
    <w:tbl>
      <w:tblPr>
        <w:tblW w:w="8459" w:type="dxa"/>
        <w:jc w:val="left"/>
        <w:tblInd w:w="0" w:type="dxa"/>
        <w:tblLayout w:type="fixed"/>
        <w:tblCellMar>
          <w:top w:w="28" w:type="dxa"/>
          <w:left w:w="28" w:type="dxa"/>
          <w:bottom w:w="28" w:type="dxa"/>
          <w:right w:w="28" w:type="dxa"/>
        </w:tblCellMar>
      </w:tblPr>
      <w:tblGrid>
        <w:gridCol w:w="340"/>
        <w:gridCol w:w="299"/>
        <w:gridCol w:w="299"/>
        <w:gridCol w:w="299"/>
        <w:gridCol w:w="299"/>
        <w:gridCol w:w="305"/>
        <w:gridCol w:w="109"/>
        <w:gridCol w:w="109"/>
        <w:gridCol w:w="109"/>
        <w:gridCol w:w="413"/>
        <w:gridCol w:w="413"/>
        <w:gridCol w:w="196"/>
        <w:gridCol w:w="120"/>
        <w:gridCol w:w="120"/>
        <w:gridCol w:w="120"/>
        <w:gridCol w:w="413"/>
        <w:gridCol w:w="413"/>
        <w:gridCol w:w="196"/>
        <w:gridCol w:w="120"/>
        <w:gridCol w:w="120"/>
        <w:gridCol w:w="120"/>
        <w:gridCol w:w="293"/>
        <w:gridCol w:w="293"/>
        <w:gridCol w:w="615"/>
        <w:gridCol w:w="120"/>
        <w:gridCol w:w="120"/>
        <w:gridCol w:w="120"/>
        <w:gridCol w:w="390"/>
        <w:gridCol w:w="390"/>
        <w:gridCol w:w="1186"/>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845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w:t>
            </w:r>
          </w:p>
        </w:tc>
      </w:tr>
      <w:tr>
        <w:trPr/>
        <w:tc>
          <w:tcPr>
            <w:tcW w:w="845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 - UNAUDITED</w:t>
            </w:r>
          </w:p>
        </w:tc>
      </w:tr>
      <w:tr>
        <w:trPr/>
        <w:tc>
          <w:tcPr>
            <w:tcW w:w="8459"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Three Months Ended June 30,</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Change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Constant-Currency</w:t>
              <w:br/>
              <w:t>% Change</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$72.8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$71.2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26.3 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23.8 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86.8 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9.9 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8.4 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221.6 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199.3 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11.2 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9.9 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117.2 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8.0 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8.0 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12.0 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20.4 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166.9 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151.7 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10.1 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9.5 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30.6 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27.7 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199.4 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188.5 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5.8 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81.8 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66.8 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20.0 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109.4 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10.7 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$390.6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$352.5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9.8 </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(2)</w:t>
      </w:r>
      <w:r>
        <w:rPr>
          <w:color w:val="060606"/>
        </w:rPr>
        <w:t>“</w:t>
      </w:r>
      <w:r>
        <w:rPr>
          <w:rFonts w:ascii="Franklin Gothic Book;sans-serif" w:hAnsi="Franklin Gothic Book;sans-serif"/>
          <w:b w:val="false"/>
          <w:color w:val="060606"/>
          <w:sz w:val="18"/>
        </w:rPr>
        <w:t>Other Revenue” includes rental and site services income not allocated to segments.</w:t>
      </w:r>
    </w:p>
    <w:p>
      <w:pPr>
        <w:pStyle w:val="TextBody"/>
        <w:bidi w:val="0"/>
        <w:spacing w:lineRule="auto" w:line="288" w:before="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7800"/>
                <wp:effectExtent l="0" t="0" r="0" b="0"/>
                <wp:wrapNone/>
                <wp:docPr id="13"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p>
                  </w:txbxContent>
                </v:textbox>
                <w10:wrap type="none"/>
              </v:rect>
            </w:pict>
          </mc:Fallback>
        </mc:AlternateContent>
      </w:r>
    </w:p>
    <w:tbl>
      <w:tblPr>
        <w:tblW w:w="9403" w:type="dxa"/>
        <w:jc w:val="left"/>
        <w:tblInd w:w="0" w:type="dxa"/>
        <w:tblLayout w:type="fixed"/>
        <w:tblCellMar>
          <w:top w:w="28" w:type="dxa"/>
          <w:left w:w="28" w:type="dxa"/>
          <w:bottom w:w="28" w:type="dxa"/>
          <w:right w:w="28" w:type="dxa"/>
        </w:tblCellMar>
      </w:tblPr>
      <w:tblGrid>
        <w:gridCol w:w="340"/>
        <w:gridCol w:w="299"/>
        <w:gridCol w:w="299"/>
        <w:gridCol w:w="299"/>
        <w:gridCol w:w="299"/>
        <w:gridCol w:w="305"/>
        <w:gridCol w:w="109"/>
        <w:gridCol w:w="109"/>
        <w:gridCol w:w="109"/>
        <w:gridCol w:w="413"/>
        <w:gridCol w:w="413"/>
        <w:gridCol w:w="196"/>
        <w:gridCol w:w="110"/>
        <w:gridCol w:w="110"/>
        <w:gridCol w:w="110"/>
        <w:gridCol w:w="413"/>
        <w:gridCol w:w="413"/>
        <w:gridCol w:w="196"/>
        <w:gridCol w:w="110"/>
        <w:gridCol w:w="110"/>
        <w:gridCol w:w="110"/>
        <w:gridCol w:w="293"/>
        <w:gridCol w:w="293"/>
        <w:gridCol w:w="615"/>
        <w:gridCol w:w="110"/>
        <w:gridCol w:w="110"/>
        <w:gridCol w:w="110"/>
        <w:gridCol w:w="595"/>
        <w:gridCol w:w="595"/>
        <w:gridCol w:w="1810"/>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9403"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w:t>
            </w:r>
          </w:p>
        </w:tc>
      </w:tr>
      <w:tr>
        <w:trPr/>
        <w:tc>
          <w:tcPr>
            <w:tcW w:w="9403"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 - UNAUDITED</w:t>
            </w:r>
          </w:p>
        </w:tc>
      </w:tr>
      <w:tr>
        <w:trPr/>
        <w:tc>
          <w:tcPr>
            <w:tcW w:w="9403"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Six Months Ended June 30,</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Constant-Currency % Change</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7.6 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119.3 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93.6 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20.8 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168.9 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10.0 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430.2 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375.6 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11.8 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225.6 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7.3 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7.3 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32.9 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16.0 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20.2 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17.0 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318.7 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290.6 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20.4 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13.5 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384.0 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357.6 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7.4 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7.4 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17.9 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211.3 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14.1 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11.3 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$752.8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$669.4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10.4 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(2)</w:t>
      </w:r>
      <w:r>
        <w:rPr>
          <w:color w:val="060606"/>
        </w:rPr>
        <w:t>“</w:t>
      </w:r>
      <w:r>
        <w:rPr>
          <w:rFonts w:ascii="Franklin Gothic Book;sans-serif" w:hAnsi="Franklin Gothic Book;sans-serif"/>
          <w:b w:val="false"/>
          <w:color w:val="060606"/>
          <w:sz w:val="18"/>
        </w:rPr>
        <w:t>Other Revenue” includes rental and site services income not allocated to segments.</w:t>
      </w:r>
    </w:p>
    <w:p>
      <w:pPr>
        <w:pStyle w:val="TextBody"/>
        <w:bidi w:val="0"/>
        <w:spacing w:lineRule="auto" w:line="288" w:before="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7800"/>
                <wp:effectExtent l="0" t="0" r="0" b="0"/>
                <wp:wrapNone/>
                <wp:docPr id="14"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45"/>
        <w:gridCol w:w="1436"/>
        <w:gridCol w:w="1413"/>
        <w:gridCol w:w="604"/>
        <w:gridCol w:w="604"/>
        <w:gridCol w:w="604"/>
        <w:gridCol w:w="628"/>
        <w:gridCol w:w="606"/>
        <w:gridCol w:w="624"/>
        <w:gridCol w:w="177"/>
        <w:gridCol w:w="177"/>
        <w:gridCol w:w="177"/>
        <w:gridCol w:w="413"/>
        <w:gridCol w:w="413"/>
        <w:gridCol w:w="196"/>
        <w:gridCol w:w="109"/>
        <w:gridCol w:w="109"/>
        <w:gridCol w:w="109"/>
        <w:gridCol w:w="161"/>
      </w:tblGrid>
      <w:tr>
        <w:trPr/>
        <w:tc>
          <w:tcPr>
            <w:tcW w:w="164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1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 AND SUBSIDIARIES</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CONDENSED CONSOLIDATED STATEMENTS OF INCOME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16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 except for per share amounts)</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$390.6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$352.5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Cost of sales</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116.9 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113.5 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273.7 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239.0 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Operating expenses:</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Selling, general, and administrative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158.1 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137.8 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Research and development</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53.7 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47.2 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operating expense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12.4 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49.5 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SNIA environmental liability expense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Interest expense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(7.2)</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Foreign exchange and other income/(expense)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(23.8)</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before income tax</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18.5 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33.3 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Income tax (benefit) expense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(90.2)</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Loss from equity method investments</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(0.1)</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income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$108.6 </w:t>
            </w:r>
          </w:p>
        </w:tc>
        <w:tc>
          <w:tcPr>
            <w:tcW w:w="6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earnings per share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$1.98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earnings per share</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$1.93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weighted average shares outstanding</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55.0 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weighted average shares outstanding</w:t>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56.3 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7800"/>
                <wp:effectExtent l="0" t="0" r="0" b="0"/>
                <wp:wrapNone/>
                <wp:docPr id="15"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p>
                  </w:txbxContent>
                </v:textbox>
                <w10:wrap type="none"/>
              </v:rect>
            </w:pict>
          </mc:Fallback>
        </mc:AlternateContent>
      </w:r>
    </w:p>
    <w:p>
      <w:pPr>
        <w:pStyle w:val="TextBody"/>
        <w:bidi w:val="0"/>
        <w:spacing w:lineRule="auto" w:line="288" w:before="100" w:after="240"/>
        <w:ind w:left="0" w:right="0" w:hanging="36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Financial Measures (in millions, except for per share amounts) - Unaudited</w:t>
      </w:r>
    </w:p>
    <w:tbl>
      <w:tblPr>
        <w:tblW w:w="7013" w:type="dxa"/>
        <w:jc w:val="left"/>
        <w:tblInd w:w="0" w:type="dxa"/>
        <w:tblLayout w:type="fixed"/>
        <w:tblCellMar>
          <w:top w:w="28" w:type="dxa"/>
          <w:left w:w="28" w:type="dxa"/>
          <w:bottom w:w="28" w:type="dxa"/>
          <w:right w:w="28" w:type="dxa"/>
        </w:tblCellMar>
      </w:tblPr>
      <w:tblGrid>
        <w:gridCol w:w="662"/>
        <w:gridCol w:w="583"/>
        <w:gridCol w:w="583"/>
        <w:gridCol w:w="583"/>
        <w:gridCol w:w="583"/>
        <w:gridCol w:w="587"/>
        <w:gridCol w:w="109"/>
        <w:gridCol w:w="109"/>
        <w:gridCol w:w="109"/>
        <w:gridCol w:w="413"/>
        <w:gridCol w:w="413"/>
        <w:gridCol w:w="238"/>
        <w:gridCol w:w="238"/>
        <w:gridCol w:w="238"/>
        <w:gridCol w:w="238"/>
        <w:gridCol w:w="413"/>
        <w:gridCol w:w="413"/>
        <w:gridCol w:w="238"/>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Three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$136.7 </w:t>
            </w:r>
          </w:p>
        </w:tc>
        <w:tc>
          <w:tcPr>
            <w:tcW w:w="2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$121.4 </w:t>
            </w:r>
          </w:p>
        </w:tc>
        <w:tc>
          <w:tcPr>
            <w:tcW w:w="2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50.0 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44.0 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90.8 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77.4 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71.0 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57.4 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$1.05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4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Statistics (as a % of net revenue, except for income tax rate) - Unaudited</w:t>
      </w:r>
    </w:p>
    <w:tbl>
      <w:tblPr>
        <w:tblW w:w="9109"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505"/>
        <w:gridCol w:w="290"/>
        <w:gridCol w:w="588"/>
        <w:gridCol w:w="224"/>
        <w:gridCol w:w="224"/>
        <w:gridCol w:w="224"/>
        <w:gridCol w:w="373"/>
        <w:gridCol w:w="224"/>
        <w:gridCol w:w="588"/>
        <w:gridCol w:w="109"/>
        <w:gridCol w:w="109"/>
        <w:gridCol w:w="109"/>
        <w:gridCol w:w="373"/>
        <w:gridCol w:w="245"/>
        <w:gridCol w:w="643"/>
        <w:gridCol w:w="245"/>
        <w:gridCol w:w="245"/>
        <w:gridCol w:w="245"/>
        <w:gridCol w:w="373"/>
        <w:gridCol w:w="245"/>
        <w:gridCol w:w="74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GAAP 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70.1 </w:t>
            </w:r>
          </w:p>
        </w:tc>
        <w:tc>
          <w:tcPr>
            <w:tcW w:w="5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67.8 </w:t>
            </w:r>
          </w:p>
        </w:tc>
        <w:tc>
          <w:tcPr>
            <w:tcW w:w="5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71.0 </w:t>
            </w:r>
          </w:p>
        </w:tc>
        <w:tc>
          <w:tcPr>
            <w:tcW w:w="6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68.9 </w:t>
            </w:r>
          </w:p>
        </w:tc>
        <w:tc>
          <w:tcPr>
            <w:tcW w:w="7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40.5 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39.1 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35.0 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34.4 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13.7 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13.4 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12.8 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12.5 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12.7 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15.4 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23.2 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21.9 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27.8 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7.7 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18.2 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16.3 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(488.1)</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18.5 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22.3 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22.0 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7800"/>
                <wp:effectExtent l="0" t="0" r="0" b="0"/>
                <wp:wrapNone/>
                <wp:docPr id="16"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33"/>
        <w:gridCol w:w="1422"/>
        <w:gridCol w:w="1395"/>
        <w:gridCol w:w="655"/>
        <w:gridCol w:w="655"/>
        <w:gridCol w:w="655"/>
        <w:gridCol w:w="687"/>
        <w:gridCol w:w="655"/>
        <w:gridCol w:w="676"/>
        <w:gridCol w:w="193"/>
        <w:gridCol w:w="193"/>
        <w:gridCol w:w="193"/>
        <w:gridCol w:w="454"/>
        <w:gridCol w:w="455"/>
        <w:gridCol w:w="284"/>
      </w:tblGrid>
      <w:tr>
        <w:trPr/>
        <w:tc>
          <w:tcPr>
            <w:tcW w:w="163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84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 AND SUBSIDIARIES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CONDENSED CONSOLIDATED STATEMENTS OF INCOME (LOSS) - UNAUDITED</w:t>
            </w:r>
          </w:p>
        </w:tc>
      </w:tr>
      <w:tr>
        <w:trPr/>
        <w:tc>
          <w:tcPr>
            <w:tcW w:w="843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 except for per share amounts)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Six Months Ended June 30,</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$752.8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$669.4 </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Cost of sales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235.4 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214.1 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517.4 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455.2 </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Operating expenses: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Selling, general, and administrative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301.7 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266.9 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Research and development</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112.4 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85.1 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operating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12.4 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91.0 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102.8 </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SNIA environmental liability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(362.1)</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Interest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(15.5)</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(30.2)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Foreign exchange and other income/(expense)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(29.5)</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(loss) before income tax</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46.0 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(282.3)</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(benefit)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(85.9)</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17.8 </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Loss from equity method investments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income (loss)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$130.9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($300.2)</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earnings (loss) per share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$2.39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earnings (loss) per share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$2.33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weighted average shares outstanding</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54.8 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weighted average shares outstanding</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56.1 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7800"/>
                <wp:effectExtent l="0" t="0" r="0" b="0"/>
                <wp:wrapNone/>
                <wp:docPr id="17"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p>
                  </w:txbxContent>
                </v:textbox>
                <w10:wrap type="none"/>
              </v:rect>
            </w:pict>
          </mc:Fallback>
        </mc:AlternateContent>
      </w:r>
    </w:p>
    <w:p>
      <w:pPr>
        <w:pStyle w:val="TextBody"/>
        <w:bidi w:val="0"/>
        <w:spacing w:lineRule="auto" w:line="288" w:before="100" w:after="24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Financial Measures (in millions, except for per share amounts) - Unaudited</w:t>
      </w:r>
    </w:p>
    <w:tbl>
      <w:tblPr>
        <w:tblW w:w="6873" w:type="dxa"/>
        <w:jc w:val="left"/>
        <w:tblInd w:w="0" w:type="dxa"/>
        <w:tblLayout w:type="fixed"/>
        <w:tblCellMar>
          <w:top w:w="28" w:type="dxa"/>
          <w:left w:w="28" w:type="dxa"/>
          <w:bottom w:w="28" w:type="dxa"/>
          <w:right w:w="28" w:type="dxa"/>
        </w:tblCellMar>
      </w:tblPr>
      <w:tblGrid>
        <w:gridCol w:w="662"/>
        <w:gridCol w:w="583"/>
        <w:gridCol w:w="583"/>
        <w:gridCol w:w="583"/>
        <w:gridCol w:w="583"/>
        <w:gridCol w:w="587"/>
        <w:gridCol w:w="109"/>
        <w:gridCol w:w="109"/>
        <w:gridCol w:w="109"/>
        <w:gridCol w:w="413"/>
        <w:gridCol w:w="413"/>
        <w:gridCol w:w="210"/>
        <w:gridCol w:w="210"/>
        <w:gridCol w:w="210"/>
        <w:gridCol w:w="210"/>
        <w:gridCol w:w="413"/>
        <w:gridCol w:w="413"/>
        <w:gridCol w:w="210"/>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$265.6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$237.1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82.2 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161.9 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141.9 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125.5 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105.5 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Statistics (as a % of net revenue, except for income tax rate) - Unaudited</w:t>
      </w:r>
    </w:p>
    <w:tbl>
      <w:tblPr>
        <w:tblW w:w="8800"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505"/>
        <w:gridCol w:w="290"/>
        <w:gridCol w:w="533"/>
        <w:gridCol w:w="203"/>
        <w:gridCol w:w="203"/>
        <w:gridCol w:w="203"/>
        <w:gridCol w:w="429"/>
        <w:gridCol w:w="246"/>
        <w:gridCol w:w="533"/>
        <w:gridCol w:w="109"/>
        <w:gridCol w:w="109"/>
        <w:gridCol w:w="109"/>
        <w:gridCol w:w="373"/>
        <w:gridCol w:w="225"/>
        <w:gridCol w:w="590"/>
        <w:gridCol w:w="225"/>
        <w:gridCol w:w="225"/>
        <w:gridCol w:w="225"/>
        <w:gridCol w:w="373"/>
        <w:gridCol w:w="225"/>
        <w:gridCol w:w="683"/>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GAAP Six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Six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68.7 </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68.0 </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69.7 </w:t>
            </w:r>
          </w:p>
        </w:tc>
        <w:tc>
          <w:tcPr>
            <w:tcW w:w="5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68.9 </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40.1 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39.9 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35.3 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14.9 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12.7 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12.9 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12.1 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15.4 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21.5 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21.2 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17.4 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(44.8)</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16.7 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(186.8)</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(6.3)</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22.4 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7800"/>
                <wp:effectExtent l="0" t="0" r="0" b="0"/>
                <wp:wrapNone/>
                <wp:docPr id="18"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p>
                  </w:txbxContent>
                </v:textbox>
                <w10:wrap type="none"/>
              </v:rect>
            </w:pict>
          </mc:Fallback>
        </mc:AlternateContent>
      </w:r>
    </w:p>
    <w:tbl>
      <w:tblPr>
        <w:tblW w:w="11066" w:type="dxa"/>
        <w:jc w:val="left"/>
        <w:tblInd w:w="0" w:type="dxa"/>
        <w:tblLayout w:type="fixed"/>
        <w:tblCellMar>
          <w:top w:w="28" w:type="dxa"/>
          <w:left w:w="28" w:type="dxa"/>
          <w:bottom w:w="28" w:type="dxa"/>
          <w:right w:w="28" w:type="dxa"/>
        </w:tblCellMar>
      </w:tblPr>
      <w:tblGrid>
        <w:gridCol w:w="662"/>
        <w:gridCol w:w="443"/>
        <w:gridCol w:w="231"/>
        <w:gridCol w:w="211"/>
        <w:gridCol w:w="616"/>
        <w:gridCol w:w="256"/>
        <w:gridCol w:w="109"/>
        <w:gridCol w:w="223"/>
        <w:gridCol w:w="541"/>
        <w:gridCol w:w="272"/>
        <w:gridCol w:w="109"/>
        <w:gridCol w:w="211"/>
        <w:gridCol w:w="526"/>
        <w:gridCol w:w="256"/>
        <w:gridCol w:w="211"/>
        <w:gridCol w:w="511"/>
        <w:gridCol w:w="256"/>
        <w:gridCol w:w="268"/>
        <w:gridCol w:w="516"/>
        <w:gridCol w:w="327"/>
        <w:gridCol w:w="223"/>
        <w:gridCol w:w="541"/>
        <w:gridCol w:w="272"/>
        <w:gridCol w:w="246"/>
        <w:gridCol w:w="596"/>
        <w:gridCol w:w="299"/>
        <w:gridCol w:w="211"/>
        <w:gridCol w:w="539"/>
        <w:gridCol w:w="256"/>
        <w:gridCol w:w="211"/>
        <w:gridCol w:w="616"/>
        <w:gridCol w:w="301"/>
      </w:tblGrid>
      <w:tr>
        <w:trPr/>
        <w:tc>
          <w:tcPr>
            <w:tcW w:w="6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932"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RECONCILIATION OF GAAP TO NON-GAAP FINANCIAL MEASURES - UNAUDITED</w:t>
              <w:br/>
              <w:t>(In millions, except for per share amounts)</w:t>
            </w:r>
          </w:p>
        </w:tc>
        <w:tc>
          <w:tcPr>
            <w:tcW w:w="2134"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4"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Non-GAAP Adjustments</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Three Months Ended</w:t>
              <w:br/>
              <w:t>June 30, 2026</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4"/>
              </w:rPr>
            </w:pPr>
            <w:r>
              <w:rPr>
                <w:rFonts w:ascii="Franklin Gothic Book;sans-serif" w:hAnsi="Franklin Gothic Book;sans-serif"/>
                <w:b w:val="false"/>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Depreciation and Amortization Expense </w:t>
            </w:r>
            <w:r>
              <w:rPr>
                <w:rFonts w:ascii="Franklin Gothic Book;sans-serif" w:hAnsi="Franklin Gothic Book;sans-serif"/>
                <w:b w:val="false"/>
                <w:color w:val="000000"/>
                <w:sz w:val="9"/>
              </w:rPr>
              <w:t>(1)</w:t>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Investment Related Items </w:t>
            </w:r>
            <w:r>
              <w:rPr>
                <w:rFonts w:ascii="Franklin Gothic Book;sans-serif" w:hAnsi="Franklin Gothic Book;sans-serif"/>
                <w:b w:val="false"/>
                <w:color w:val="000000"/>
                <w:sz w:val="9"/>
              </w:rPr>
              <w:t>(2)</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Financing Related Items </w:t>
            </w:r>
            <w:r>
              <w:rPr>
                <w:rFonts w:ascii="Franklin Gothic Book;sans-serif" w:hAnsi="Franklin Gothic Book;sans-serif"/>
                <w:b w:val="false"/>
                <w:color w:val="000000"/>
                <w:sz w:val="9"/>
              </w:rPr>
              <w:t>(3)</w:t>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Contingent Consideration </w:t>
            </w:r>
            <w:r>
              <w:rPr>
                <w:rFonts w:ascii="Franklin Gothic Book;sans-serif" w:hAnsi="Franklin Gothic Book;sans-serif"/>
                <w:b w:val="false"/>
                <w:color w:val="000000"/>
                <w:sz w:val="9"/>
              </w:rPr>
              <w:t>(4)</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Certain Legal &amp; Regulatory Costs </w:t>
            </w:r>
            <w:r>
              <w:rPr>
                <w:rFonts w:ascii="Franklin Gothic Book;sans-serif" w:hAnsi="Franklin Gothic Book;sans-serif"/>
                <w:b w:val="false"/>
                <w:color w:val="000000"/>
                <w:sz w:val="9"/>
              </w:rPr>
              <w:t>(5)</w:t>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Share-based Compensation Costs </w:t>
            </w:r>
            <w:r>
              <w:rPr>
                <w:rFonts w:ascii="Franklin Gothic Book;sans-serif" w:hAnsi="Franklin Gothic Book;sans-serif"/>
                <w:b w:val="false"/>
                <w:color w:val="000000"/>
                <w:sz w:val="9"/>
              </w:rPr>
              <w:t>(6)</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Certain Tax Adjustments </w:t>
            </w:r>
            <w:r>
              <w:rPr>
                <w:rFonts w:ascii="Franklin Gothic Book;sans-serif" w:hAnsi="Franklin Gothic Book;sans-serif"/>
                <w:b w:val="false"/>
                <w:color w:val="000000"/>
                <w:sz w:val="9"/>
              </w:rPr>
              <w:t>(7)</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4"/>
              </w:rPr>
            </w:pPr>
            <w:r>
              <w:rPr>
                <w:rFonts w:ascii="Franklin Gothic Book;sans-serif" w:hAnsi="Franklin Gothic Book;sans-serif"/>
                <w:b w:val="false"/>
                <w:color w:val="000000"/>
                <w:sz w:val="14"/>
              </w:rPr>
              <w:t>Adjusted Financial Measures</w:t>
            </w:r>
          </w:p>
        </w:tc>
      </w:tr>
      <w:tr>
        <w:trPr/>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116.9 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3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w:t>
            </w:r>
          </w:p>
        </w:tc>
        <w:tc>
          <w:tcPr>
            <w:tcW w:w="2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136.7 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as a percent of net revenue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(28.3)</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earnings per share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three months ended June 30, 2026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Gain on sale of investment</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 xml:space="preserve">Mark-to-market adjustments for the 2029 Notes embedded and capped call derivatives, and non-cash interest expense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Legal expenses primarily related to 3T Heater-Cooler defense, 3T Heater-Cooler litigation provision, and Saluggia site remediation provision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288"/>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7800"/>
                <wp:effectExtent l="0" t="0" r="0" b="0"/>
                <wp:wrapNone/>
                <wp:docPr id="19"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p>
                  </w:txbxContent>
                </v:textbox>
                <w10:wrap type="none"/>
              </v:rect>
            </w:pict>
          </mc:Fallback>
        </mc:AlternateContent>
      </w:r>
    </w:p>
    <w:tbl>
      <w:tblPr>
        <w:tblW w:w="13240" w:type="dxa"/>
        <w:jc w:val="left"/>
        <w:tblInd w:w="0" w:type="dxa"/>
        <w:tblLayout w:type="fixed"/>
        <w:tblCellMar>
          <w:top w:w="28" w:type="dxa"/>
          <w:left w:w="28" w:type="dxa"/>
          <w:bottom w:w="28" w:type="dxa"/>
          <w:right w:w="28" w:type="dxa"/>
        </w:tblCellMar>
      </w:tblPr>
      <w:tblGrid>
        <w:gridCol w:w="662"/>
        <w:gridCol w:w="443"/>
        <w:gridCol w:w="231"/>
        <w:gridCol w:w="434"/>
        <w:gridCol w:w="287"/>
        <w:gridCol w:w="430"/>
        <w:gridCol w:w="109"/>
        <w:gridCol w:w="248"/>
        <w:gridCol w:w="248"/>
        <w:gridCol w:w="585"/>
        <w:gridCol w:w="378"/>
        <w:gridCol w:w="238"/>
        <w:gridCol w:w="560"/>
        <w:gridCol w:w="109"/>
        <w:gridCol w:w="406"/>
        <w:gridCol w:w="210"/>
        <w:gridCol w:w="496"/>
        <w:gridCol w:w="433"/>
        <w:gridCol w:w="183"/>
        <w:gridCol w:w="430"/>
        <w:gridCol w:w="361"/>
        <w:gridCol w:w="255"/>
        <w:gridCol w:w="601"/>
        <w:gridCol w:w="378"/>
        <w:gridCol w:w="238"/>
        <w:gridCol w:w="560"/>
        <w:gridCol w:w="354"/>
        <w:gridCol w:w="262"/>
        <w:gridCol w:w="617"/>
        <w:gridCol w:w="400"/>
        <w:gridCol w:w="231"/>
        <w:gridCol w:w="544"/>
        <w:gridCol w:w="109"/>
        <w:gridCol w:w="461"/>
        <w:gridCol w:w="260"/>
        <w:gridCol w:w="489"/>
      </w:tblGrid>
      <w:tr>
        <w:trPr/>
        <w:tc>
          <w:tcPr>
            <w:tcW w:w="6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746"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br/>
              <w:t>(In millions, except for per share amounts)</w:t>
            </w:r>
          </w:p>
        </w:tc>
        <w:tc>
          <w:tcPr>
            <w:tcW w:w="2494" w:type="dxa"/>
            <w:gridSpan w:val="7"/>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0"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Non-GAAP Adjustments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w:t>
              <w:br/>
              <w:t>June 30, 2025</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Restructuring Expense</w:t>
            </w:r>
            <w:r>
              <w:rPr>
                <w:color w:val="000000"/>
              </w:rPr>
              <w:t xml:space="preserve"> </w:t>
            </w:r>
            <w:r>
              <w:rPr>
                <w:rFonts w:ascii="Franklin Gothic Book;sans-serif" w:hAnsi="Franklin Gothic Book;sans-serif"/>
                <w:b w:val="false"/>
                <w:color w:val="000000"/>
                <w:sz w:val="9"/>
              </w:rPr>
              <w:t>(1)</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Depreciation and Amortization Expense</w:t>
            </w:r>
            <w:r>
              <w:rPr>
                <w:color w:val="000000"/>
              </w:rPr>
              <w:t xml:space="preserve"> </w:t>
            </w:r>
            <w:r>
              <w:rPr>
                <w:rFonts w:ascii="Franklin Gothic Book;sans-serif" w:hAnsi="Franklin Gothic Book;sans-serif"/>
                <w:b w:val="false"/>
                <w:color w:val="000000"/>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Investment Related Items </w:t>
            </w:r>
            <w:r>
              <w:rPr>
                <w:rFonts w:ascii="Franklin Gothic Book;sans-serif" w:hAnsi="Franklin Gothic Book;sans-serif"/>
                <w:b w:val="false"/>
                <w:color w:val="000000"/>
                <w:sz w:val="9"/>
              </w:rPr>
              <w:t>(3)</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Financing Related Items</w:t>
            </w:r>
            <w:r>
              <w:rPr>
                <w:color w:val="000000"/>
              </w:rPr>
              <w:t xml:space="preserve"> </w:t>
            </w:r>
            <w:r>
              <w:rPr>
                <w:rFonts w:ascii="Franklin Gothic Book;sans-serif" w:hAnsi="Franklin Gothic Book;sans-serif"/>
                <w:b w:val="false"/>
                <w:color w:val="000000"/>
                <w:sz w:val="9"/>
              </w:rPr>
              <w:t>(4)</w:t>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Contingent Consideration</w:t>
            </w:r>
            <w:r>
              <w:rPr>
                <w:color w:val="000000"/>
              </w:rPr>
              <w:t xml:space="preserve"> </w:t>
            </w:r>
            <w:r>
              <w:rPr>
                <w:rFonts w:ascii="Franklin Gothic Book;sans-serif" w:hAnsi="Franklin Gothic Book;sans-serif"/>
                <w:b w:val="false"/>
                <w:color w:val="000000"/>
                <w:sz w:val="9"/>
              </w:rPr>
              <w:t>(5)</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Certain Legal &amp; Regulatory Costs </w:t>
            </w:r>
            <w:r>
              <w:rPr>
                <w:rFonts w:ascii="Franklin Gothic Book;sans-serif" w:hAnsi="Franklin Gothic Book;sans-serif"/>
                <w:b w:val="false"/>
                <w:color w:val="000000"/>
                <w:sz w:val="9"/>
              </w:rPr>
              <w:t>(6)</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Share-based Compensation Costs</w:t>
            </w:r>
            <w:r>
              <w:rPr>
                <w:color w:val="000000"/>
              </w:rPr>
              <w:t xml:space="preserve"> </w:t>
            </w:r>
            <w:r>
              <w:rPr>
                <w:rFonts w:ascii="Franklin Gothic Book;sans-serif" w:hAnsi="Franklin Gothic Book;sans-serif"/>
                <w:b w:val="false"/>
                <w:color w:val="000000"/>
                <w:sz w:val="9"/>
              </w:rPr>
              <w:t>(7)</w:t>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00000"/>
                <w:sz w:val="14"/>
              </w:rPr>
              <w:t xml:space="preserve">Certain Tax Adjustments </w:t>
            </w:r>
            <w:r>
              <w:rPr>
                <w:rFonts w:ascii="Franklin Gothic Book;sans-serif" w:hAnsi="Franklin Gothic Book;sans-serif"/>
                <w:b w:val="false"/>
                <w:color w:val="000000"/>
                <w:sz w:val="9"/>
              </w:rPr>
              <w:t>(8)</w:t>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Adjusted Financial Measures</w:t>
            </w:r>
          </w:p>
        </w:tc>
      </w:tr>
      <w:tr>
        <w:trPr/>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Cost of sales</w:t>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$113.5 </w:t>
            </w:r>
          </w:p>
        </w:tc>
        <w:tc>
          <w:tcPr>
            <w:tcW w:w="4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$109.7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67.8 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68.9 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137.8 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(6.7)</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(7.1)</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121.4 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39.1 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(1.9)</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34.4 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47.2 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44.0 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13.4 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12.5 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54.2 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4.2 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2.8 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77.4 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15.4 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21.9 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27.2 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4.2 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14.8 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2.8 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57.4 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7.7 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4.2 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(2.8)</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16.3 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Diluted earnings per share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$0.50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$0.01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$0.27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$0.05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$0.17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($0.18)</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three months ended June 30,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Restructuring expense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Loss on investment revaluation of Ceribell, Inc.</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Mark-to-market adjustments for the 2025 and 2029 Notes embedded and capped call derivatives, non-cash interest expense, and loss on debt extinguishment</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 xml:space="preserve">Legal expenses primarily related to 3T Heater-Cooler defense, SNIA environmental liability, cybersecurity incident costs net of insurance reimbursement, Medical Device Regulation ("MDR") costs, and 3T Heater-Cooler litigation provision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(8)</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288" w:before="0" w:after="0"/>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7800"/>
                <wp:effectExtent l="0" t="0" r="0" b="0"/>
                <wp:wrapNone/>
                <wp:docPr id="20" name="Frame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p>
                  </w:txbxContent>
                </v:textbox>
                <w10:wrap type="none"/>
              </v:rect>
            </w:pict>
          </mc:Fallback>
        </mc:AlternateContent>
      </w:r>
    </w:p>
    <w:tbl>
      <w:tblPr>
        <w:tblW w:w="12057" w:type="dxa"/>
        <w:jc w:val="left"/>
        <w:tblInd w:w="0" w:type="dxa"/>
        <w:tblLayout w:type="fixed"/>
        <w:tblCellMar>
          <w:top w:w="28" w:type="dxa"/>
          <w:left w:w="28" w:type="dxa"/>
          <w:bottom w:w="28" w:type="dxa"/>
          <w:right w:w="28" w:type="dxa"/>
        </w:tblCellMar>
      </w:tblPr>
      <w:tblGrid>
        <w:gridCol w:w="651"/>
        <w:gridCol w:w="454"/>
        <w:gridCol w:w="231"/>
        <w:gridCol w:w="435"/>
        <w:gridCol w:w="286"/>
        <w:gridCol w:w="426"/>
        <w:gridCol w:w="109"/>
        <w:gridCol w:w="378"/>
        <w:gridCol w:w="238"/>
        <w:gridCol w:w="560"/>
        <w:gridCol w:w="109"/>
        <w:gridCol w:w="421"/>
        <w:gridCol w:w="210"/>
        <w:gridCol w:w="496"/>
        <w:gridCol w:w="431"/>
        <w:gridCol w:w="185"/>
        <w:gridCol w:w="426"/>
        <w:gridCol w:w="361"/>
        <w:gridCol w:w="255"/>
        <w:gridCol w:w="601"/>
        <w:gridCol w:w="378"/>
        <w:gridCol w:w="238"/>
        <w:gridCol w:w="560"/>
        <w:gridCol w:w="354"/>
        <w:gridCol w:w="262"/>
        <w:gridCol w:w="617"/>
        <w:gridCol w:w="400"/>
        <w:gridCol w:w="231"/>
        <w:gridCol w:w="544"/>
        <w:gridCol w:w="461"/>
        <w:gridCol w:w="260"/>
        <w:gridCol w:w="489"/>
      </w:tblGrid>
      <w:tr>
        <w:trPr/>
        <w:tc>
          <w:tcPr>
            <w:tcW w:w="6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9672"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 xml:space="preserve">(In millions, except for per share amounts) </w:t>
            </w:r>
          </w:p>
        </w:tc>
        <w:tc>
          <w:tcPr>
            <w:tcW w:w="2385"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0"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Non-GAAP Adjustments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Six Months Ended</w:t>
              <w:br/>
              <w:t>June 30, 2026</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Depreciation and Amortization Expense </w:t>
            </w:r>
            <w:r>
              <w:rPr>
                <w:rFonts w:ascii="Franklin Gothic Book;sans-serif" w:hAnsi="Franklin Gothic Book;sans-serif"/>
                <w:b w:val="false"/>
                <w:color w:val="060606"/>
                <w:sz w:val="9"/>
              </w:rPr>
              <w:t>(1)</w:t>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Investment Related Items </w:t>
            </w:r>
            <w:r>
              <w:rPr>
                <w:rFonts w:ascii="Franklin Gothic Book;sans-serif" w:hAnsi="Franklin Gothic Book;sans-serif"/>
                <w:b w:val="false"/>
                <w:color w:val="060606"/>
                <w:sz w:val="9"/>
              </w:rPr>
              <w:t>(2)</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Financing Related Items </w:t>
            </w:r>
            <w:r>
              <w:rPr>
                <w:rFonts w:ascii="Franklin Gothic Book;sans-serif" w:hAnsi="Franklin Gothic Book;sans-serif"/>
                <w:b w:val="false"/>
                <w:color w:val="060606"/>
                <w:sz w:val="9"/>
              </w:rPr>
              <w:t>(3)</w:t>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Contingent Consideration </w:t>
            </w:r>
            <w:r>
              <w:rPr>
                <w:rFonts w:ascii="Franklin Gothic Book;sans-serif" w:hAnsi="Franklin Gothic Book;sans-serif"/>
                <w:b w:val="false"/>
                <w:color w:val="060606"/>
                <w:sz w:val="9"/>
              </w:rPr>
              <w:t>(4)</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Certain Legal &amp; Regulatory Costs </w:t>
            </w:r>
            <w:r>
              <w:rPr>
                <w:rFonts w:ascii="Franklin Gothic Book;sans-serif" w:hAnsi="Franklin Gothic Book;sans-serif"/>
                <w:b w:val="false"/>
                <w:color w:val="060606"/>
                <w:sz w:val="9"/>
              </w:rPr>
              <w:t>(5)</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Share-based Compensation Costs </w:t>
            </w:r>
            <w:r>
              <w:rPr>
                <w:rFonts w:ascii="Franklin Gothic Book;sans-serif" w:hAnsi="Franklin Gothic Book;sans-serif"/>
                <w:b w:val="false"/>
                <w:color w:val="060606"/>
                <w:sz w:val="9"/>
              </w:rPr>
              <w:t>(6)</w:t>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Certain Tax Adjustments </w:t>
            </w:r>
            <w:r>
              <w:rPr>
                <w:rFonts w:ascii="Franklin Gothic Book;sans-serif" w:hAnsi="Franklin Gothic Book;sans-serif"/>
                <w:b w:val="false"/>
                <w:color w:val="060606"/>
                <w:sz w:val="9"/>
              </w:rPr>
              <w:t>(7)</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Adjusted Financial Measures</w:t>
            </w:r>
          </w:p>
        </w:tc>
      </w:tr>
      <w:tr>
        <w:trPr/>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Cost of sales</w:t>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$235.4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($5.8)</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$228.3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68.7 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69.7 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301.7 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(5.2)</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(11.7)</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(19.1)</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265.6 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40.1 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35.3 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112.4 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(10.4)</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(4.7)</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97.1 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14.9 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12.9 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(12.4)</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91.0 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10.9 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24.4 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161.9 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12.1 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3.3 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21.5 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130.9 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10.9 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(12.7)</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58.8 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24.4 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(122.3)</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125.5 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17.4 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7.8 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3.3 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(16.3)</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16.7 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Diluted earnings per share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$0.19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($0.23)</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$0.19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$0.45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($2.18)</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$2.24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six months ended June 30, 2026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 xml:space="preserve">Gain on sale of investment, partially offset by impairment of investment without readily determinable fair value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 xml:space="preserve">Mark-to-market adjustments for the 2029 Notes embedded and capped call derivatives, non-cash interest expense, and loss on debt extinguishment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Legal expenses primarily related to 3T Heater-Cooler defense, 3T Heater-Cooler litigation provision, Saluggia site remediation provision, and MDR costs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288"/>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7800"/>
                <wp:effectExtent l="0" t="0" r="0" b="0"/>
                <wp:wrapNone/>
                <wp:docPr id="21" name="Frame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16</w:t>
                      </w:r>
                    </w:p>
                  </w:txbxContent>
                </v:textbox>
                <w10:wrap type="none"/>
              </v:rect>
            </w:pict>
          </mc:Fallback>
        </mc:AlternateContent>
      </w:r>
    </w:p>
    <w:tbl>
      <w:tblPr>
        <w:tblW w:w="13240" w:type="dxa"/>
        <w:jc w:val="left"/>
        <w:tblInd w:w="0" w:type="dxa"/>
        <w:tblLayout w:type="fixed"/>
        <w:tblCellMar>
          <w:top w:w="28" w:type="dxa"/>
          <w:left w:w="28" w:type="dxa"/>
          <w:bottom w:w="28" w:type="dxa"/>
          <w:right w:w="28" w:type="dxa"/>
        </w:tblCellMar>
      </w:tblPr>
      <w:tblGrid>
        <w:gridCol w:w="651"/>
        <w:gridCol w:w="454"/>
        <w:gridCol w:w="231"/>
        <w:gridCol w:w="434"/>
        <w:gridCol w:w="287"/>
        <w:gridCol w:w="430"/>
        <w:gridCol w:w="109"/>
        <w:gridCol w:w="248"/>
        <w:gridCol w:w="248"/>
        <w:gridCol w:w="585"/>
        <w:gridCol w:w="378"/>
        <w:gridCol w:w="238"/>
        <w:gridCol w:w="560"/>
        <w:gridCol w:w="109"/>
        <w:gridCol w:w="406"/>
        <w:gridCol w:w="210"/>
        <w:gridCol w:w="496"/>
        <w:gridCol w:w="433"/>
        <w:gridCol w:w="183"/>
        <w:gridCol w:w="430"/>
        <w:gridCol w:w="361"/>
        <w:gridCol w:w="255"/>
        <w:gridCol w:w="601"/>
        <w:gridCol w:w="378"/>
        <w:gridCol w:w="238"/>
        <w:gridCol w:w="560"/>
        <w:gridCol w:w="354"/>
        <w:gridCol w:w="262"/>
        <w:gridCol w:w="617"/>
        <w:gridCol w:w="400"/>
        <w:gridCol w:w="231"/>
        <w:gridCol w:w="544"/>
        <w:gridCol w:w="109"/>
        <w:gridCol w:w="461"/>
        <w:gridCol w:w="260"/>
        <w:gridCol w:w="489"/>
      </w:tblGrid>
      <w:tr>
        <w:trPr/>
        <w:tc>
          <w:tcPr>
            <w:tcW w:w="6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746" w:type="dxa"/>
            <w:gridSpan w:val="29"/>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 millions, except for per share amounts)</w:t>
            </w:r>
          </w:p>
        </w:tc>
        <w:tc>
          <w:tcPr>
            <w:tcW w:w="2494" w:type="dxa"/>
            <w:gridSpan w:val="7"/>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0"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Non-GAAP Adjustments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Six Months Ended</w:t>
              <w:br/>
              <w:t>June 30, 2025</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Restructuring Expense </w:t>
            </w:r>
            <w:r>
              <w:rPr>
                <w:rFonts w:ascii="Franklin Gothic Book;sans-serif" w:hAnsi="Franklin Gothic Book;sans-serif"/>
                <w:b w:val="false"/>
                <w:color w:val="060606"/>
                <w:sz w:val="9"/>
              </w:rPr>
              <w:t>(1)</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Depreciation and Amortization Expense </w:t>
            </w:r>
            <w:r>
              <w:rPr>
                <w:rFonts w:ascii="Franklin Gothic Book;sans-serif" w:hAnsi="Franklin Gothic Book;sans-serif"/>
                <w:b w:val="false"/>
                <w:color w:val="060606"/>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Investment Related Items </w:t>
            </w:r>
            <w:r>
              <w:rPr>
                <w:rFonts w:ascii="Franklin Gothic Book;sans-serif" w:hAnsi="Franklin Gothic Book;sans-serif"/>
                <w:b w:val="false"/>
                <w:color w:val="060606"/>
                <w:sz w:val="9"/>
              </w:rPr>
              <w:t>(3)</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Financing Related Items </w:t>
            </w:r>
            <w:r>
              <w:rPr>
                <w:rFonts w:ascii="Franklin Gothic Book;sans-serif" w:hAnsi="Franklin Gothic Book;sans-serif"/>
                <w:b w:val="false"/>
                <w:color w:val="060606"/>
                <w:sz w:val="9"/>
              </w:rPr>
              <w:t>(4)</w:t>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Contingent Consideration </w:t>
            </w:r>
            <w:r>
              <w:rPr>
                <w:rFonts w:ascii="Franklin Gothic Book;sans-serif" w:hAnsi="Franklin Gothic Book;sans-serif"/>
                <w:b w:val="false"/>
                <w:color w:val="060606"/>
                <w:sz w:val="9"/>
              </w:rPr>
              <w:t>(5)</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Certain Legal &amp; Regulatory Costs </w:t>
            </w:r>
            <w:r>
              <w:rPr>
                <w:rFonts w:ascii="Franklin Gothic Book;sans-serif" w:hAnsi="Franklin Gothic Book;sans-serif"/>
                <w:b w:val="false"/>
                <w:color w:val="060606"/>
                <w:sz w:val="9"/>
              </w:rPr>
              <w:t>(6)</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Share-based Compensation Costs </w:t>
            </w:r>
            <w:r>
              <w:rPr>
                <w:rFonts w:ascii="Franklin Gothic Book;sans-serif" w:hAnsi="Franklin Gothic Book;sans-serif"/>
                <w:b w:val="false"/>
                <w:color w:val="060606"/>
                <w:sz w:val="9"/>
              </w:rPr>
              <w:t>(7)</w:t>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Certain Tax Adjustments </w:t>
            </w:r>
            <w:r>
              <w:rPr>
                <w:rFonts w:ascii="Franklin Gothic Book;sans-serif" w:hAnsi="Franklin Gothic Book;sans-serif"/>
                <w:b w:val="false"/>
                <w:color w:val="060606"/>
                <w:sz w:val="9"/>
              </w:rPr>
              <w:t>(8)</w:t>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Adjusted Financial Measures</w:t>
            </w:r>
          </w:p>
        </w:tc>
      </w:tr>
      <w:tr>
        <w:trPr/>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Cost of sales</w:t>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$214.1 </w:t>
            </w:r>
          </w:p>
        </w:tc>
        <w:tc>
          <w:tcPr>
            <w:tcW w:w="4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($3.4)</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($1.8)</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$208.2 </w:t>
            </w:r>
          </w:p>
        </w:tc>
        <w:tc>
          <w:tcPr>
            <w:tcW w:w="4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68.0 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68.9 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266.9 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(5.0)</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(11.3)</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(13.5)</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237.1 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39.9 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35.4 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85.1 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(1.9)</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(2.7)</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82.2 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12.7 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12.3 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102.8 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141.9 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15.4 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21.2 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(loss)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(300.2)</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372.4 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105.5 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(loss)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(44.8)</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55.6 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15.8 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16"/>
              </w:rPr>
              <w:t xml:space="preserve">Diluted (loss) earnings per share </w:t>
            </w:r>
            <w:r>
              <w:rPr>
                <w:rFonts w:ascii="Franklin Gothic Book;sans-serif" w:hAnsi="Franklin Gothic Book;sans-serif"/>
                <w:b w:val="false"/>
                <w:color w:val="060606"/>
                <w:sz w:val="10"/>
              </w:rPr>
              <w:t>(9)</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($5.51)</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$0.15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$0.27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$0.31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($0.25)</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$1.93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six months ended June 30,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Restructuring expense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Loss on investment revaluation of Ceribell, Inc.</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Mark-to-market adjustments for the 2025 and 2029 Notes embedded and capped call derivatives, interest expense on the Term Facilities, non-cash interest expense on the 2025 and 2029 Notes and Revolving Credit Facility, loss on debt extinguishment, and interest income on the collateral for the SNIA litigation guarantee and delayed draw on Term Facilities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SNIA environmental liability, legal expenses primarily related to 3T Heater-Cooler defense, MDR costs, 3T Heater-Cooler litigation provision, cybersecurity incident costs net of insurance reimbursement, and R&amp;D tax incentive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(8)</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(9)</w:t>
      </w:r>
      <w:r>
        <w:rPr>
          <w:rFonts w:ascii="Franklin Gothic Book;sans-serif" w:hAnsi="Franklin Gothic Book;sans-serif"/>
          <w:b w:val="false"/>
          <w:color w:val="060606"/>
          <w:sz w:val="18"/>
        </w:rPr>
        <w:t>The denominator used to calculate the impact of non-GAAP adjustments on a per share basis and adjusted diluted earnings per share includes dilution from LivaNova's share-based compensation awards that was excluded from the calculation of GAAP diluted loss per share because the effect would have been anti-dilutive. See the reconciliation of GAAP diluted weighted average shares outstanding, used in the computation of GAAP diluted loss per share, to adjusted diluted weighted average shares outstanding, used in the computation of adjusted diluted earnings per share, at the end of this news release.</w:t>
      </w:r>
    </w:p>
    <w:p>
      <w:pPr>
        <w:pStyle w:val="TextBody"/>
        <w:bidi w:val="0"/>
        <w:spacing w:lineRule="auto" w:line="300" w:before="0" w:after="120"/>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7800"/>
                <wp:effectExtent l="0" t="0" r="0" b="0"/>
                <wp:wrapNone/>
                <wp:docPr id="22" name="Frame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1"/>
        <w:gridCol w:w="1540"/>
        <w:gridCol w:w="1474"/>
        <w:gridCol w:w="341"/>
        <w:gridCol w:w="341"/>
        <w:gridCol w:w="341"/>
        <w:gridCol w:w="637"/>
        <w:gridCol w:w="391"/>
        <w:gridCol w:w="341"/>
        <w:gridCol w:w="341"/>
        <w:gridCol w:w="341"/>
        <w:gridCol w:w="341"/>
        <w:gridCol w:w="601"/>
        <w:gridCol w:w="563"/>
        <w:gridCol w:w="761"/>
      </w:tblGrid>
      <w:tr>
        <w:trPr/>
        <w:tc>
          <w:tcPr>
            <w:tcW w:w="185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w:t>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June 30,</w:t>
              <w:br/>
              <w:t>2026</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December 31, 2025</w:t>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60606"/>
                <w:sz w:val="20"/>
              </w:rPr>
            </w:pPr>
            <w:r>
              <w:rPr>
                <w:rFonts w:ascii="Franklin Gothic Book;sans-serif" w:hAnsi="Franklin Gothic Book;sans-serif"/>
                <w:b w:val="false"/>
                <w:i/>
                <w:color w:val="060606"/>
                <w:sz w:val="20"/>
              </w:rPr>
              <w:t>Current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Cash and cash equivalents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$516.6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$635.6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Accounts receivable, net of allowance</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231.3 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216.0 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Inventories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172.6 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164.7 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Prepaid and refundable taxes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42.9 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Prepaid expenses and other current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61.6 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36.8 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Current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1,025.0 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1,101.6 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Property, plant, and equipment, net</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273.3 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242.6 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Goodwill</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779.1 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792.8 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Intangible assets, net</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217.0 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230.0 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Operating lease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56.7 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55.5 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Investments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20.3 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Deferred tax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198.7 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111.0 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derivative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57.3 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15.7 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Assets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$2,640.9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$2,606.1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LIABILITIES AND SHAREHOLDERS’ EQUITY</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60606"/>
                <w:sz w:val="20"/>
              </w:rPr>
            </w:pPr>
            <w:r>
              <w:rPr>
                <w:rFonts w:ascii="Franklin Gothic Book;sans-serif" w:hAnsi="Franklin Gothic Book;sans-serif"/>
                <w:b w:val="false"/>
                <w:i/>
                <w:color w:val="060606"/>
                <w:sz w:val="20"/>
              </w:rPr>
              <w:t>Current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debt obligations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$31.5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Accounts payable</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103.4 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97.2 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Accrued liabilities and other</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103.8 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94.6 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SNIA environmental liability</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385.0 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396.2 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contingent consideration</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50.0 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litigation provision liability</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Taxes payable</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33.1 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Accrued employee compensation and related benefits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69.0 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92.9 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Current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707.0 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808.1 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debt obligations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289.9 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345.2 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contingent consideration</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42.1 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42.0 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Deferred tax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operating lease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49.7 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48.3 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employee compensation and related benefits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13.6 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derivative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152.9 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83.9 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long-term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50.7 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55.4 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Liabilities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1,315.5 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1,406.1 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Shareholders’ Equity</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1,325.3 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1,200.0 </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Liabilities and Shareholders’ Equity</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$2,640.9 </w:t>
            </w:r>
          </w:p>
        </w:tc>
        <w:tc>
          <w:tcPr>
            <w:tcW w:w="3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$2,606.1 </w:t>
            </w:r>
          </w:p>
        </w:tc>
        <w:tc>
          <w:tcPr>
            <w:tcW w:w="7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7800"/>
                <wp:effectExtent l="0" t="0" r="0" b="0"/>
                <wp:wrapNone/>
                <wp:docPr id="23" name="Frame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95"/>
        <w:gridCol w:w="2160"/>
        <w:gridCol w:w="2169"/>
        <w:gridCol w:w="109"/>
        <w:gridCol w:w="109"/>
        <w:gridCol w:w="109"/>
        <w:gridCol w:w="479"/>
        <w:gridCol w:w="347"/>
        <w:gridCol w:w="244"/>
        <w:gridCol w:w="244"/>
        <w:gridCol w:w="244"/>
        <w:gridCol w:w="244"/>
        <w:gridCol w:w="522"/>
        <w:gridCol w:w="378"/>
        <w:gridCol w:w="352"/>
      </w:tblGrid>
      <w:tr>
        <w:trPr/>
        <w:tc>
          <w:tcPr>
            <w:tcW w:w="249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Six Months Ended June 30,</w:t>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2025</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$130.9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($300.2)</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Adjustments to reconcile net income (loss)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(89.9)</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52.2 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(27.3)</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17.1 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13.3 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on sale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(13.6)</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11.4 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7.8 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Impairment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Loss on debt extinguishment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Loss on investment revaluation - Ceribell,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(0.3)</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(17.2)</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(13.7)</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(17.4)</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(32.7)</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(33.2)</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(8.9)</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(0.9)</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SNIA environmental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362.1 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81.8 </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86.9 </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(45.8)</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(25.9)</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(0.7)</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(0.2)</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(46.5)</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(19.6)</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(95.9)</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(210.3)</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(50.4)</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(150.7)</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(213.4)</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16.2 </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(118.9)</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(129.9)</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635.6 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723.6 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$516.6 </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$593.6 </w:t>
            </w:r>
          </w:p>
        </w:tc>
        <w:tc>
          <w:tcPr>
            <w:tcW w:w="3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7800"/>
                <wp:effectExtent l="0" t="0" r="0" b="0"/>
                <wp:wrapNone/>
                <wp:docPr id="24" name="Frame2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7"/>
        <w:gridCol w:w="246"/>
        <w:gridCol w:w="119"/>
        <w:gridCol w:w="116"/>
        <w:gridCol w:w="116"/>
        <w:gridCol w:w="116"/>
        <w:gridCol w:w="109"/>
        <w:gridCol w:w="109"/>
        <w:gridCol w:w="109"/>
        <w:gridCol w:w="509"/>
        <w:gridCol w:w="216"/>
        <w:gridCol w:w="507"/>
        <w:gridCol w:w="109"/>
        <w:gridCol w:w="109"/>
        <w:gridCol w:w="109"/>
        <w:gridCol w:w="390"/>
        <w:gridCol w:w="390"/>
        <w:gridCol w:w="391"/>
        <w:gridCol w:w="109"/>
        <w:gridCol w:w="109"/>
        <w:gridCol w:w="109"/>
        <w:gridCol w:w="408"/>
        <w:gridCol w:w="215"/>
        <w:gridCol w:w="510"/>
        <w:gridCol w:w="109"/>
        <w:gridCol w:w="109"/>
        <w:gridCol w:w="109"/>
        <w:gridCol w:w="407"/>
        <w:gridCol w:w="214"/>
        <w:gridCol w:w="507"/>
        <w:gridCol w:w="109"/>
        <w:gridCol w:w="109"/>
        <w:gridCol w:w="109"/>
        <w:gridCol w:w="390"/>
        <w:gridCol w:w="390"/>
        <w:gridCol w:w="391"/>
        <w:gridCol w:w="109"/>
        <w:gridCol w:w="109"/>
        <w:gridCol w:w="109"/>
        <w:gridCol w:w="416"/>
        <w:gridCol w:w="206"/>
        <w:gridCol w:w="596"/>
      </w:tblGrid>
      <w:tr>
        <w:trPr/>
        <w:tc>
          <w:tcPr>
            <w:tcW w:w="4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 xml:space="preserve">RECONCILIATION OF GAAP TO NON-GAAP FINANCIAL MEASURES - UNAUDITED </w:t>
              <w:br/>
              <w:t>(In millions)</w:t>
            </w:r>
          </w:p>
        </w:tc>
      </w:tr>
      <w:tr>
        <w:trPr/>
        <w:tc>
          <w:tcPr>
            <w:tcW w:w="119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 June 30,</w:t>
            </w:r>
          </w:p>
        </w:tc>
      </w:tr>
      <w:tr>
        <w:trPr/>
        <w:tc>
          <w:tcPr>
            <w:tcW w:w="11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2025</w:t>
            </w:r>
          </w:p>
        </w:tc>
      </w:tr>
      <w:tr>
        <w:trPr/>
        <w:tc>
          <w:tcPr>
            <w:tcW w:w="11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r>
      <w:tr>
        <w:trPr/>
        <w:tc>
          <w:tcPr>
            <w:tcW w:w="1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before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$18.5 </w:t>
            </w:r>
          </w:p>
        </w:tc>
        <w:tc>
          <w:tcPr>
            <w:tcW w:w="5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$91.5 </w:t>
            </w:r>
          </w:p>
        </w:tc>
        <w:tc>
          <w:tcPr>
            <w:tcW w:w="5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$33.3 </w:t>
            </w:r>
          </w:p>
        </w:tc>
        <w:tc>
          <w:tcPr>
            <w:tcW w:w="5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$73.5 </w:t>
            </w:r>
          </w:p>
        </w:tc>
        <w:tc>
          <w:tcPr>
            <w:tcW w:w="5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(90.2)</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110.6 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20.4 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6.2 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10.0 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16.1 </w:t>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Loss from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$108.6 </w:t>
            </w:r>
          </w:p>
        </w:tc>
        <w:tc>
          <w:tcPr>
            <w:tcW w:w="5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($110.6)</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$71.0 </w:t>
            </w:r>
          </w:p>
        </w:tc>
        <w:tc>
          <w:tcPr>
            <w:tcW w:w="5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$27.2 </w:t>
            </w:r>
          </w:p>
        </w:tc>
        <w:tc>
          <w:tcPr>
            <w:tcW w:w="5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($10.0)</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$57.4 </w:t>
            </w:r>
          </w:p>
        </w:tc>
        <w:tc>
          <w:tcPr>
            <w:tcW w:w="5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(488.1)</w:t>
            </w:r>
          </w:p>
        </w:tc>
        <w:tc>
          <w:tcPr>
            <w:tcW w:w="5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22.3 </w:t>
            </w:r>
          </w:p>
        </w:tc>
        <w:tc>
          <w:tcPr>
            <w:tcW w:w="51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18.5 </w:t>
            </w:r>
          </w:p>
        </w:tc>
        <w:tc>
          <w:tcPr>
            <w:tcW w:w="5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22.0 </w:t>
            </w:r>
          </w:p>
        </w:tc>
        <w:tc>
          <w:tcPr>
            <w:tcW w:w="5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bl>
    <w:tbl>
      <w:tblPr>
        <w:tblW w:w="10376" w:type="dxa"/>
        <w:jc w:val="left"/>
        <w:tblInd w:w="0" w:type="dxa"/>
        <w:tblLayout w:type="fixed"/>
        <w:tblCellMar>
          <w:top w:w="28" w:type="dxa"/>
          <w:left w:w="28" w:type="dxa"/>
          <w:bottom w:w="28" w:type="dxa"/>
          <w:right w:w="28" w:type="dxa"/>
        </w:tblCellMar>
      </w:tblPr>
      <w:tblGrid>
        <w:gridCol w:w="519"/>
        <w:gridCol w:w="198"/>
        <w:gridCol w:w="112"/>
        <w:gridCol w:w="109"/>
        <w:gridCol w:w="109"/>
        <w:gridCol w:w="109"/>
        <w:gridCol w:w="109"/>
        <w:gridCol w:w="109"/>
        <w:gridCol w:w="109"/>
        <w:gridCol w:w="509"/>
        <w:gridCol w:w="212"/>
        <w:gridCol w:w="496"/>
        <w:gridCol w:w="109"/>
        <w:gridCol w:w="109"/>
        <w:gridCol w:w="109"/>
        <w:gridCol w:w="385"/>
        <w:gridCol w:w="385"/>
        <w:gridCol w:w="386"/>
        <w:gridCol w:w="109"/>
        <w:gridCol w:w="109"/>
        <w:gridCol w:w="109"/>
        <w:gridCol w:w="511"/>
        <w:gridCol w:w="210"/>
        <w:gridCol w:w="496"/>
        <w:gridCol w:w="109"/>
        <w:gridCol w:w="109"/>
        <w:gridCol w:w="109"/>
        <w:gridCol w:w="509"/>
        <w:gridCol w:w="227"/>
        <w:gridCol w:w="496"/>
        <w:gridCol w:w="109"/>
        <w:gridCol w:w="109"/>
        <w:gridCol w:w="109"/>
        <w:gridCol w:w="385"/>
        <w:gridCol w:w="385"/>
        <w:gridCol w:w="386"/>
        <w:gridCol w:w="109"/>
        <w:gridCol w:w="109"/>
        <w:gridCol w:w="109"/>
        <w:gridCol w:w="520"/>
        <w:gridCol w:w="201"/>
        <w:gridCol w:w="559"/>
      </w:tblGrid>
      <w:tr>
        <w:trPr/>
        <w:tc>
          <w:tcPr>
            <w:tcW w:w="5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376"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 xml:space="preserve">RECONCILIATION OF GAAP TO NON-GAAP FINANCIAL MEASURES - UNAUDITED </w:t>
              <w:br/>
              <w:t>(In millions)</w:t>
            </w:r>
          </w:p>
        </w:tc>
      </w:tr>
      <w:tr>
        <w:trPr/>
        <w:tc>
          <w:tcPr>
            <w:tcW w:w="115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Six Months Ended June 30,</w:t>
            </w:r>
          </w:p>
        </w:tc>
      </w:tr>
      <w:tr>
        <w:trPr/>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2025</w:t>
            </w:r>
          </w:p>
        </w:tc>
      </w:tr>
      <w:tr>
        <w:trPr/>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(loss) before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$46.0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$163.0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($282.3)</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$137.0 </w:t>
            </w:r>
          </w:p>
        </w:tc>
        <w:tc>
          <w:tcPr>
            <w:tcW w:w="5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(85.9)</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122.3 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36.5 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17.8 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13.7 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31.5 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Loss from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$130.9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($122.3)</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$125.5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($300.2)</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($13.7)</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$105.5 </w:t>
            </w:r>
          </w:p>
        </w:tc>
        <w:tc>
          <w:tcPr>
            <w:tcW w:w="5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(186.8)</w:t>
            </w:r>
          </w:p>
        </w:tc>
        <w:tc>
          <w:tcPr>
            <w:tcW w:w="4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22.4 </w:t>
            </w:r>
          </w:p>
        </w:tc>
        <w:tc>
          <w:tcPr>
            <w:tcW w:w="4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(6.3)</w:t>
            </w:r>
          </w:p>
        </w:tc>
        <w:tc>
          <w:tcPr>
            <w:tcW w:w="4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23.0 </w:t>
            </w:r>
          </w:p>
        </w:tc>
        <w:tc>
          <w:tcPr>
            <w:tcW w:w="5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bl>
    <w:p>
      <w:pPr>
        <w:pStyle w:val="TextBody"/>
        <w:bidi w:val="0"/>
        <w:spacing w:lineRule="auto" w:line="432" w:before="100" w:after="12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2501"/>
        <w:gridCol w:w="2199"/>
        <w:gridCol w:w="2207"/>
        <w:gridCol w:w="109"/>
        <w:gridCol w:w="109"/>
        <w:gridCol w:w="109"/>
        <w:gridCol w:w="913"/>
        <w:gridCol w:w="894"/>
        <w:gridCol w:w="898"/>
        <w:gridCol w:w="109"/>
        <w:gridCol w:w="157"/>
      </w:tblGrid>
      <w:tr>
        <w:trPr/>
        <w:tc>
          <w:tcPr>
            <w:tcW w:w="250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 xml:space="preserve">RECONCILIATION OF GAAP TO NON-GAAP FINANCIAL MEASURES - UNAUDITED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$66.6 </w:t>
            </w:r>
          </w:p>
        </w:tc>
        <w:tc>
          <w:tcPr>
            <w:tcW w:w="8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Less: 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(31.6)</w:t>
            </w:r>
          </w:p>
        </w:tc>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Less: Dividends received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Add: Payment of contingent consideration included in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10.0 </w:t>
            </w:r>
          </w:p>
        </w:tc>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Add: 3T Heater-Cooler litigation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0.7 </w:t>
            </w:r>
          </w:p>
        </w:tc>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$45.5 </w:t>
            </w:r>
          </w:p>
        </w:tc>
        <w:tc>
          <w:tcPr>
            <w:tcW w:w="8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32" w:before="0" w:after="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lineRule="auto" w:line="432" w:before="120" w:after="12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following table presents the reconciliation of GAAP diluted weighted average shares outstanding, used in the computation of GAAP diluted loss per share, to adjusted diluted weighted average shares outstanding, used in the computation of adjusted diluted earnings per share:</w:t>
      </w:r>
    </w:p>
    <w:tbl>
      <w:tblPr>
        <w:tblW w:w="8839" w:type="dxa"/>
        <w:jc w:val="left"/>
        <w:tblInd w:w="0" w:type="dxa"/>
        <w:tblLayout w:type="fixed"/>
        <w:tblCellMar>
          <w:top w:w="28" w:type="dxa"/>
          <w:left w:w="28" w:type="dxa"/>
          <w:bottom w:w="28" w:type="dxa"/>
          <w:right w:w="28" w:type="dxa"/>
        </w:tblCellMar>
      </w:tblPr>
      <w:tblGrid>
        <w:gridCol w:w="2401"/>
        <w:gridCol w:w="2110"/>
        <w:gridCol w:w="2118"/>
        <w:gridCol w:w="109"/>
        <w:gridCol w:w="109"/>
        <w:gridCol w:w="109"/>
        <w:gridCol w:w="109"/>
        <w:gridCol w:w="109"/>
        <w:gridCol w:w="488"/>
        <w:gridCol w:w="488"/>
        <w:gridCol w:w="689"/>
      </w:tblGrid>
      <w:tr>
        <w:trPr/>
        <w:tc>
          <w:tcPr>
            <w:tcW w:w="2401"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RECONCILIATION OF GAAP TO NON-GAAP FINANCIAL MEASURES - UNAUDITED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Six Months Ended </w:t>
              <w:br/>
              <w:t>June 30, 2025</w:t>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54.5</w:t>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share-based compensation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w:t>
            </w:r>
          </w:p>
        </w:tc>
      </w:tr>
    </w:tbl>
    <w:p>
      <w:pPr>
        <w:pStyle w:val="TextBody"/>
        <w:bidi w:val="0"/>
        <w:spacing w:lineRule="auto" w:line="288"/>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7800"/>
                <wp:effectExtent l="0" t="0" r="0" b="0"/>
                <wp:wrapNone/>
                <wp:docPr id="25" name="Frame2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6610</Words>
  <Characters>37090</Characters>
  <CharactersWithSpaces>42870</CharactersWithSpaces>
  <Paragraphs>1812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