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12, 2025.</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548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980" w:type="dxa"/>
            <w:vAlign w:val="bottom"/>
          </w:tcPr>
          <w:p>
            <w:pPr>
              <w:jc w:val="right"/>
              <w:ind w:right="1031"/>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37"/>
        </w:trPr>
        <w:tc>
          <w:tcPr>
            <w:tcW w:w="548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98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r>
      <w:tr>
        <w:trPr>
          <w:trHeight w:val="405"/>
        </w:trPr>
        <w:tc>
          <w:tcPr>
            <w:tcW w:w="548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w w:val="97"/>
              </w:rPr>
              <w:t>20 Eastbourne Terrace</w:t>
            </w:r>
          </w:p>
        </w:tc>
        <w:tc>
          <w:tcPr>
            <w:tcW w:w="3980" w:type="dxa"/>
            <w:vAlign w:val="bottom"/>
          </w:tcPr>
          <w:p>
            <w:pPr>
              <w:spacing w:after="0"/>
              <w:rPr>
                <w:sz w:val="24"/>
                <w:szCs w:val="24"/>
                <w:color w:val="auto"/>
              </w:rPr>
            </w:pPr>
          </w:p>
        </w:tc>
      </w:tr>
      <w:tr>
        <w:trPr>
          <w:trHeight w:val="214"/>
        </w:trPr>
        <w:tc>
          <w:tcPr>
            <w:tcW w:w="548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w w:val="99"/>
              </w:rPr>
              <w:t>London, United Kingdom</w:t>
            </w:r>
          </w:p>
        </w:tc>
        <w:tc>
          <w:tcPr>
            <w:tcW w:w="398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9"/>
              </w:rPr>
              <w:t>W2 6LG</w:t>
            </w:r>
          </w:p>
        </w:tc>
      </w:tr>
      <w:tr>
        <w:trPr>
          <w:trHeight w:val="237"/>
        </w:trPr>
        <w:tc>
          <w:tcPr>
            <w:tcW w:w="548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398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1"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Second Amended and Restated LivaNova PLC 2022 Incentive Award Plan LivaNova PLC 2025 Director Incentive Award Plan (Full title of the plans)</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Secretariat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LivaNova USA,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Cyberonics Blvd.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77058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(281) 228-7200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8" w:right="339" w:bottom="1440" w:gutter="0" w:footer="0" w:header="0"/>
        </w:sectPr>
      </w:pPr>
    </w:p>
    <w:p>
      <w:pPr>
        <w:spacing w:after="0" w:line="136"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7"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760" w:space="720"/>
            <w:col w:w="2760"/>
          </w:cols>
          <w:pgMar w:left="320" w:top="438" w:right="339" w:bottom="1440" w:gutter="0" w:footer="0" w:header="0"/>
          <w:type w:val="continuous"/>
        </w:sectPr>
      </w:pPr>
    </w:p>
    <w:p>
      <w:pPr>
        <w:spacing w:after="0" w:line="12"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in order to register an additional (i) 2,200,000 ordinary shares, par value £1.00 per share (the “Ordinary Shares”), of LivaNova PLC (the “Registrant”) that may be issued under the Registrant’s Second Amended and Restated LivaNova PLC 2022 Incentive Award Plan (the “Second A&amp;R 2022 Plan”), (ii) 2,200,000 Ordinary Shares that may become available for issuance under the Second A&amp;R 2022 Plan as a result of outstanding awards under the Second A&amp;R 2022 Plan being (a) forfeited, lapsed, or expired, (b) converted to shares of another company in connection with a takeover, sale, recapitalization, reorganization, merger, consolidation, split-up, spin-off, combination, exchange of shares or other similar event, (c) settled for cash (in whole or in part) or (d) repurchased by the Registrant and (iii) 300,000 Ordinary Shares that may be issued under the Registrant’s LivaNova PLC 2025 Director Incentive Award Plan.</w:t>
      </w:r>
    </w:p>
    <w:p>
      <w:pPr>
        <w:spacing w:after="0" w:line="189" w:lineRule="exact"/>
        <w:rPr>
          <w:sz w:val="20"/>
          <w:szCs w:val="20"/>
          <w:color w:val="auto"/>
        </w:rPr>
      </w:pPr>
    </w:p>
    <w:p>
      <w:pPr>
        <w:jc w:val="both"/>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Ordinary Shares are securities of the same class as those securities registered on the Registrant’s registration statements on Form S-8 previously filed </w:t>
      </w:r>
      <w:hyperlink r:id="rId13">
        <w:r>
          <w:rPr>
            <w:rFonts w:ascii="Times New Roman" w:cs="Times New Roman" w:eastAsia="Times New Roman" w:hAnsi="Times New Roman"/>
            <w:sz w:val="18"/>
            <w:szCs w:val="18"/>
            <w:color w:val="auto"/>
          </w:rPr>
          <w:t xml:space="preserve">with the Securities and Exchange Commission (the “Commission”) on </w:t>
        </w:r>
        <w:r>
          <w:rPr>
            <w:rFonts w:ascii="Times New Roman" w:cs="Times New Roman" w:eastAsia="Times New Roman" w:hAnsi="Times New Roman"/>
            <w:sz w:val="18"/>
            <w:szCs w:val="18"/>
            <w:u w:val="single" w:color="auto"/>
            <w:color w:val="0000EE"/>
          </w:rPr>
          <w:t>June 12, 2024 (Registration No. 333-280160)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26, 2023 (Registration No. 333-</w:t>
        </w:r>
      </w:hyperlink>
      <w:hyperlink r:id="rId13">
        <w:r>
          <w:rPr>
            <w:rFonts w:ascii="Times New Roman" w:cs="Times New Roman" w:eastAsia="Times New Roman" w:hAnsi="Times New Roman"/>
            <w:sz w:val="18"/>
            <w:szCs w:val="18"/>
            <w:u w:val="single" w:color="auto"/>
            <w:color w:val="0000EE"/>
          </w:rPr>
          <w:t>273450)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 xml:space="preserve">June 13, 2022 (Registration No. 333-265563)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 xml:space="preserve">October 19, 2015 (Registration No. 333-207478) </w:t>
        </w:r>
      </w:hyperlink>
      <w:hyperlink r:id="rId13">
        <w:r>
          <w:rPr>
            <w:rFonts w:ascii="Times New Roman" w:cs="Times New Roman" w:eastAsia="Times New Roman" w:hAnsi="Times New Roman"/>
            <w:sz w:val="18"/>
            <w:szCs w:val="18"/>
            <w:color w:val="000000"/>
          </w:rPr>
          <w:t>which are hereby incorporated by reference,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except to the extent supplemented, amended or superseded by information set forth in this Registration Statement, consistent with General Instruction E to Form S-8.</w:t>
      </w:r>
    </w:p>
    <w:p>
      <w:pPr>
        <w:spacing w:after="0" w:line="17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rFonts w:ascii="Times New Roman" w:cs="Times New Roman" w:eastAsia="Times New Roman" w:hAnsi="Times New Roman"/>
          <w:sz w:val="18"/>
          <w:szCs w:val="18"/>
          <w:color w:val="0000EE"/>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rFonts w:ascii="Times New Roman" w:cs="Times New Roman" w:eastAsia="Times New Roman" w:hAnsi="Times New Roman"/>
          <w:sz w:val="18"/>
          <w:szCs w:val="18"/>
          <w:color w:val="0000EE"/>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rFonts w:ascii="Times New Roman" w:cs="Times New Roman" w:eastAsia="Times New Roman" w:hAnsi="Times New Roman"/>
          <w:sz w:val="18"/>
          <w:szCs w:val="18"/>
          <w:color w:val="0000EE"/>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into this Registration Statement by reference:</w:t>
      </w:r>
    </w:p>
    <w:p>
      <w:pPr>
        <w:spacing w:after="0" w:line="220" w:lineRule="exact"/>
        <w:rPr>
          <w:rFonts w:ascii="Times New Roman" w:cs="Times New Roman" w:eastAsia="Times New Roman" w:hAnsi="Times New Roman"/>
          <w:sz w:val="18"/>
          <w:szCs w:val="18"/>
          <w:color w:val="0000EE"/>
        </w:rPr>
      </w:pPr>
    </w:p>
    <w:p>
      <w:pPr>
        <w:ind w:left="960" w:right="240" w:hanging="559"/>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w:t>
      </w:r>
      <w:hyperlink r:id="rId16">
        <w:r>
          <w:rPr>
            <w:rFonts w:ascii="Times New Roman" w:cs="Times New Roman" w:eastAsia="Times New Roman" w:hAnsi="Times New Roman"/>
            <w:sz w:val="18"/>
            <w:szCs w:val="18"/>
            <w:u w:val="single" w:color="auto"/>
            <w:color w:val="0000EE"/>
          </w:rPr>
          <w:t>Annual Report on Form 10-K for the fiscal year ended December 31, 2024, filed with the Commission on February 25, 2025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auto"/>
          </w:rPr>
          <w:t xml:space="preserve">(including the information specifically incorporated by reference therein from the Registrant’s </w:t>
        </w:r>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filed with the Commission on April 30, 2025</w:t>
        </w:r>
        <w:r>
          <w:rPr>
            <w:rFonts w:ascii="Times New Roman" w:cs="Times New Roman" w:eastAsia="Times New Roman" w:hAnsi="Times New Roman"/>
            <w:sz w:val="18"/>
            <w:szCs w:val="18"/>
            <w:color w:val="000000"/>
          </w:rPr>
          <w:t>);</w:t>
        </w:r>
      </w:hyperlink>
    </w:p>
    <w:p>
      <w:pPr>
        <w:spacing w:after="0" w:line="177" w:lineRule="exact"/>
        <w:rPr>
          <w:rFonts w:ascii="Times New Roman" w:cs="Times New Roman" w:eastAsia="Times New Roman" w:hAnsi="Times New Roman"/>
          <w:sz w:val="18"/>
          <w:szCs w:val="18"/>
          <w:color w:val="0000EE"/>
        </w:rPr>
      </w:pPr>
    </w:p>
    <w:p>
      <w:pPr>
        <w:ind w:left="960" w:hanging="55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8">
        <w:r>
          <w:rPr>
            <w:rFonts w:ascii="Times New Roman" w:cs="Times New Roman" w:eastAsia="Times New Roman" w:hAnsi="Times New Roman"/>
            <w:sz w:val="18"/>
            <w:szCs w:val="18"/>
            <w:u w:val="single" w:color="auto"/>
            <w:color w:val="0000EE"/>
          </w:rPr>
          <w:t>Quarterly Report on Form 10-Q for the quarterly period ended March 31, 2025, filed with the Commission on May 7, 2025</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960" w:hanging="55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w:t>
      </w:r>
      <w:hyperlink r:id="rId19">
        <w:r>
          <w:rPr>
            <w:rFonts w:ascii="Times New Roman" w:cs="Times New Roman" w:eastAsia="Times New Roman" w:hAnsi="Times New Roman"/>
            <w:sz w:val="18"/>
            <w:szCs w:val="18"/>
            <w:u w:val="single" w:color="auto"/>
            <w:color w:val="0000EE"/>
          </w:rPr>
          <w:t>Form 8-K filed with the Commission on June 11, 2025</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left="960" w:right="120" w:hanging="55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securities contained in </w:t>
      </w:r>
      <w:hyperlink r:id="rId2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December 31, 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Securities Exchange Act of 1934, as amended, after the date of this Registration Statement and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described below.</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7"/>
        </w:trPr>
        <w:tc>
          <w:tcPr>
            <w:tcW w:w="5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jc w:val="center"/>
              <w:spacing w:after="0" w:line="167"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740" w:type="dxa"/>
            <w:vAlign w:val="bottom"/>
            <w:tcBorders>
              <w:top w:val="single" w:sz="8" w:color="auto"/>
            </w:tcBorders>
            <w:gridSpan w:val="12"/>
          </w:tcPr>
          <w:p>
            <w:pPr>
              <w:spacing w:after="0" w:line="167"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Articles of Association of LivaNova PLC, effective as from June 29, 2020 (incorporated by reference to Exhibit 3.1 to the</w:t>
              </w:r>
            </w:hyperlink>
          </w:p>
        </w:tc>
      </w:tr>
      <w:tr>
        <w:trPr>
          <w:trHeight w:val="194"/>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4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Registrant’s Quarterly Report on Form 10-Q, filed on July 29, 2020 (File No. 001-37599))</w:t>
              </w:r>
            </w:hyperlink>
          </w:p>
        </w:tc>
        <w:tc>
          <w:tcPr>
            <w:tcW w:w="2980" w:type="dxa"/>
            <w:vAlign w:val="bottom"/>
            <w:tcBorders>
              <w:top w:val="single" w:sz="8" w:color="0000EE"/>
            </w:tcBorders>
            <w:gridSpan w:val="4"/>
          </w:tcPr>
          <w:p>
            <w:pPr>
              <w:spacing w:after="0"/>
              <w:rPr>
                <w:sz w:val="16"/>
                <w:szCs w:val="16"/>
                <w:color w:val="auto"/>
              </w:rPr>
            </w:pPr>
          </w:p>
        </w:tc>
        <w:tc>
          <w:tcPr>
            <w:tcW w:w="320" w:type="dxa"/>
            <w:vAlign w:val="bottom"/>
            <w:gridSpan w:val="2"/>
          </w:tcPr>
          <w:p>
            <w:pPr>
              <w:spacing w:after="0"/>
              <w:rPr>
                <w:sz w:val="16"/>
                <w:szCs w:val="16"/>
                <w:color w:val="auto"/>
              </w:rPr>
            </w:pPr>
          </w:p>
        </w:tc>
      </w:tr>
      <w:tr>
        <w:trPr>
          <w:trHeight w:val="407"/>
        </w:trPr>
        <w:tc>
          <w:tcPr>
            <w:tcW w:w="560" w:type="dxa"/>
            <w:vAlign w:val="bottom"/>
            <w:gridSpan w:val="2"/>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Opinion of Cleary Gottlieb Steen &amp; Hamilton LLP</w:t>
            </w: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7"/>
        </w:trPr>
        <w:tc>
          <w:tcPr>
            <w:tcW w:w="840" w:type="dxa"/>
            <w:vAlign w:val="bottom"/>
            <w:gridSpan w:val="4"/>
          </w:tcPr>
          <w:p>
            <w:pPr>
              <w:jc w:val="center"/>
              <w:ind w:left="431"/>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Second Amended and Restated LivaNova PLC 2022 Incentive Award Plan, dated April 23, 2025 (incorporated herein by reference to</w:t>
              </w:r>
            </w:hyperlink>
          </w:p>
        </w:tc>
      </w:tr>
      <w:tr>
        <w:trPr>
          <w:trHeight w:val="194"/>
        </w:trPr>
        <w:tc>
          <w:tcPr>
            <w:tcW w:w="54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54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Exhibit 10.1 to the Registrant’s Current Report on Form 8-K, filed on June 11, 2025 (Commission File No. 001-37599))</w:t>
              </w:r>
            </w:hyperlink>
          </w:p>
        </w:tc>
        <w:tc>
          <w:tcPr>
            <w:tcW w:w="20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407"/>
        </w:trPr>
        <w:tc>
          <w:tcPr>
            <w:tcW w:w="840" w:type="dxa"/>
            <w:vAlign w:val="bottom"/>
            <w:gridSpan w:val="4"/>
          </w:tcPr>
          <w:p>
            <w:pPr>
              <w:jc w:val="center"/>
              <w:ind w:left="431"/>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LivaNova PLC 2025 Director Incentive Award Plan, dated April 23, 2025 (incorporated herein by reference to Exhibit 10.5 to the</w:t>
              </w:r>
            </w:hyperlink>
          </w:p>
        </w:tc>
      </w:tr>
      <w:tr>
        <w:trPr>
          <w:trHeight w:val="194"/>
        </w:trPr>
        <w:tc>
          <w:tcPr>
            <w:tcW w:w="54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18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Registrant’s Current Report on Form 8-K, filed on June 11, 2025 (Commission File No. 001-37599))</w:t>
              </w:r>
            </w:hyperlink>
          </w:p>
        </w:tc>
        <w:tc>
          <w:tcPr>
            <w:tcW w:w="2100" w:type="dxa"/>
            <w:vAlign w:val="bottom"/>
            <w:tcBorders>
              <w:top w:val="single" w:sz="8" w:color="0000EE"/>
            </w:tcBorders>
            <w:gridSpan w:val="2"/>
          </w:tcPr>
          <w:p>
            <w:pPr>
              <w:spacing w:after="0"/>
              <w:rPr>
                <w:sz w:val="16"/>
                <w:szCs w:val="16"/>
                <w:color w:val="auto"/>
              </w:rPr>
            </w:pPr>
          </w:p>
        </w:tc>
        <w:tc>
          <w:tcPr>
            <w:tcW w:w="460" w:type="dxa"/>
            <w:vAlign w:val="bottom"/>
            <w:gridSpan w:val="3"/>
          </w:tcPr>
          <w:p>
            <w:pPr>
              <w:spacing w:after="0"/>
              <w:rPr>
                <w:sz w:val="16"/>
                <w:szCs w:val="16"/>
                <w:color w:val="auto"/>
              </w:rPr>
            </w:pPr>
          </w:p>
        </w:tc>
      </w:tr>
      <w:tr>
        <w:trPr>
          <w:trHeight w:val="407"/>
        </w:trPr>
        <w:tc>
          <w:tcPr>
            <w:tcW w:w="840" w:type="dxa"/>
            <w:vAlign w:val="bottom"/>
            <w:gridSpan w:val="4"/>
          </w:tcPr>
          <w:p>
            <w:pPr>
              <w:jc w:val="center"/>
              <w:ind w:left="43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in Exhibit 5.1)</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r>
      <w:tr>
        <w:trPr>
          <w:trHeight w:val="407"/>
        </w:trPr>
        <w:tc>
          <w:tcPr>
            <w:tcW w:w="840" w:type="dxa"/>
            <w:vAlign w:val="bottom"/>
            <w:gridSpan w:val="4"/>
          </w:tcPr>
          <w:p>
            <w:pPr>
              <w:jc w:val="center"/>
              <w:ind w:left="43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r>
      <w:tr>
        <w:trPr>
          <w:trHeight w:val="407"/>
        </w:trPr>
        <w:tc>
          <w:tcPr>
            <w:tcW w:w="840" w:type="dxa"/>
            <w:vAlign w:val="bottom"/>
            <w:gridSpan w:val="4"/>
          </w:tcPr>
          <w:p>
            <w:pPr>
              <w:jc w:val="center"/>
              <w:ind w:left="431"/>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hereto)</w:t>
            </w:r>
          </w:p>
        </w:tc>
      </w:tr>
      <w:tr>
        <w:trPr>
          <w:trHeight w:val="407"/>
        </w:trPr>
        <w:tc>
          <w:tcPr>
            <w:tcW w:w="540" w:type="dxa"/>
            <w:vAlign w:val="bottom"/>
          </w:tcPr>
          <w:p>
            <w:pPr>
              <w:spacing w:after="0"/>
              <w:rPr>
                <w:sz w:val="24"/>
                <w:szCs w:val="24"/>
                <w:color w:val="auto"/>
              </w:rPr>
            </w:pPr>
          </w:p>
        </w:tc>
        <w:tc>
          <w:tcPr>
            <w:tcW w:w="300" w:type="dxa"/>
            <w:vAlign w:val="bottom"/>
            <w:tcBorders>
              <w:top w:val="single" w:sz="8" w:color="0000EE"/>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0000EE"/>
                <w:w w:val="96"/>
              </w:rPr>
              <w:t>107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5600" w:type="dxa"/>
            <w:vAlign w:val="bottom"/>
            <w:gridSpan w:val="8"/>
          </w:tcPr>
          <w:p>
            <w:pPr>
              <w:spacing w:after="0"/>
              <w:rPr>
                <w:sz w:val="24"/>
                <w:szCs w:val="24"/>
                <w:color w:val="auto"/>
              </w:rPr>
            </w:pPr>
          </w:p>
        </w:tc>
      </w:tr>
      <w:tr>
        <w:trPr>
          <w:trHeight w:val="688"/>
        </w:trPr>
        <w:tc>
          <w:tcPr>
            <w:tcW w:w="5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United Kingdom, on June 12, 2025.</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LivaNova PLC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Michael Hutchinson and Sarah Mohr as his or her true and lawful attorney-in-fact and agent with full power of 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89"/>
        </w:trPr>
        <w:tc>
          <w:tcPr>
            <w:tcW w:w="2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Director and Chief Executive Officer</w:t>
            </w: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r>
      <w:tr>
        <w:trPr>
          <w:trHeight w:val="23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Vladimir Makatsaria</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Vladimir Makatsaria</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90"/>
        </w:trPr>
        <w:tc>
          <w:tcPr>
            <w:tcW w:w="2820" w:type="dxa"/>
            <w:vAlign w:val="bottom"/>
          </w:tcPr>
          <w:p>
            <w:pPr>
              <w:spacing w:after="0"/>
              <w:rPr>
                <w:sz w:val="24"/>
                <w:szCs w:val="24"/>
                <w:color w:val="auto"/>
              </w:rPr>
            </w:pP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Shvartsburg</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A. Kozy</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William A. Kozy</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Christopher Barry</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Barry</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Francesco Bianchi</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Francesco Bianchi</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Stacy Enxing Seng</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Stacy Enxing Seng</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O’Kane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Sharon O’Kane</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Podlogar</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Susan Podlogar</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C. Schermerhorn</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Todd C. Schermerhorn</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Brooke Story</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Brooke Story</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Wilver</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Peter Wilver</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Lindsey R. Little</w:t>
            </w:r>
          </w:p>
        </w:tc>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12, 2025</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Lindsey R. Little</w:t>
            </w:r>
          </w:p>
        </w:tc>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863"/>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96455" cy="1985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96455" cy="198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 June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Eastbourne Terrace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W2 6LG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LivaNova PLC –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We have acted as special English counsel to LivaNova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public limited company incorporated under the laws of England and Wales, in connection with the preparation and filing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a registration statement on Form S-8 (such registration statement,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registration of an additional: (i) 2,200,000 ordinary shares with a nominal value of £1 each which may be issued or transferred under the Second Amended and Restated LivaNova PLC 2022 Incentive Award Plan (the “</w:t>
      </w:r>
      <w:r>
        <w:rPr>
          <w:rFonts w:ascii="Times New Roman" w:cs="Times New Roman" w:eastAsia="Times New Roman" w:hAnsi="Times New Roman"/>
          <w:sz w:val="18"/>
          <w:szCs w:val="18"/>
          <w:b w:val="1"/>
          <w:bCs w:val="1"/>
          <w:color w:val="auto"/>
        </w:rPr>
        <w:t>Second A&amp;R 2022 Plan</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7"/>
        <w:spacing w:after="0" w:line="262" w:lineRule="auto"/>
        <w:tabs>
          <w:tab w:leader="none" w:pos="28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2,200,000 ordinary shares with a nominal value of £1 each that may become available for issuance under the Second A&amp;R 2022 Plan, as a result of outstanding awards under the Second A&amp;R 2022 Plan being either (a) forfeited, lapsed, or expired, (b) converted to shares of another company in connection with a takeover, sale, recapitalisation, reorganisation, merger, consolidation, split-up, spin-off, combination, exchange of shares or other similar event,</w:t>
      </w:r>
    </w:p>
    <w:p>
      <w:pPr>
        <w:jc w:val="both"/>
        <w:ind w:firstLine="7"/>
        <w:spacing w:after="0" w:line="251"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for cash (in whole or in part), or (d) repurchased by the Company; and (iii) 300,000 ordinary shares with a nominal value of £1 each that may be issued under the LivaNova 2025 Director Incentive Award Plan (the “</w:t>
      </w:r>
      <w:r>
        <w:rPr>
          <w:rFonts w:ascii="Times New Roman" w:cs="Times New Roman" w:eastAsia="Times New Roman" w:hAnsi="Times New Roman"/>
          <w:sz w:val="18"/>
          <w:szCs w:val="18"/>
          <w:b w:val="1"/>
          <w:bCs w:val="1"/>
          <w:color w:val="auto"/>
        </w:rPr>
        <w:t>2025 Director Incentive Plan</w:t>
      </w:r>
      <w:r>
        <w:rPr>
          <w:rFonts w:ascii="Times New Roman" w:cs="Times New Roman" w:eastAsia="Times New Roman" w:hAnsi="Times New Roman"/>
          <w:sz w:val="18"/>
          <w:szCs w:val="18"/>
          <w:color w:val="auto"/>
        </w:rPr>
        <w:t>”) ((i), (ii) and (iii), together, being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1282"/>
        <w:spacing w:after="0" w:line="277"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 in this regard solely from the Company.</w:t>
      </w:r>
    </w:p>
    <w:p>
      <w:pPr>
        <w:spacing w:after="0" w:line="163" w:lineRule="exact"/>
        <w:rPr>
          <w:sz w:val="20"/>
          <w:szCs w:val="20"/>
          <w:color w:val="auto"/>
        </w:rPr>
      </w:pPr>
    </w:p>
    <w:p>
      <w:pPr>
        <w:ind w:right="20" w:firstLine="1282"/>
        <w:spacing w:after="0" w:line="277" w:lineRule="auto"/>
        <w:rPr>
          <w:sz w:val="20"/>
          <w:szCs w:val="20"/>
          <w:color w:val="auto"/>
        </w:rPr>
      </w:pPr>
      <w:r>
        <w:rPr>
          <w:rFonts w:ascii="Times New Roman" w:cs="Times New Roman" w:eastAsia="Times New Roman" w:hAnsi="Times New Roman"/>
          <w:sz w:val="18"/>
          <w:szCs w:val="18"/>
          <w:color w:val="auto"/>
        </w:rPr>
        <w:t>We understand that the Ordinary Shares are not and are not intended to be admitted to trading on any market or exchange, or otherwise listed,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997585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115570</wp:posOffset>
            </wp:positionV>
            <wp:extent cx="7196455" cy="457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96455" cy="45783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ind w:left="160"/>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220" w:lineRule="exact"/>
        <w:rPr>
          <w:sz w:val="20"/>
          <w:szCs w:val="20"/>
          <w:color w:val="auto"/>
        </w:rPr>
      </w:pPr>
    </w:p>
    <w:p>
      <w:pPr>
        <w:ind w:left="780" w:hanging="611"/>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16" w:lineRule="exact"/>
        <w:rPr>
          <w:rFonts w:ascii="Times New Roman" w:cs="Times New Roman" w:eastAsia="Times New Roman" w:hAnsi="Times New Roman"/>
          <w:sz w:val="18"/>
          <w:szCs w:val="18"/>
          <w:color w:val="auto"/>
        </w:rPr>
      </w:pPr>
    </w:p>
    <w:p>
      <w:pPr>
        <w:jc w:val="both"/>
        <w:ind w:left="780" w:hanging="611"/>
        <w:spacing w:after="0" w:line="26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12 June 2025 signed by an authorised signatory of the Company (the “</w:t>
      </w:r>
      <w:r>
        <w:rPr>
          <w:rFonts w:ascii="Times New Roman" w:cs="Times New Roman" w:eastAsia="Times New Roman" w:hAnsi="Times New Roman"/>
          <w:sz w:val="18"/>
          <w:szCs w:val="18"/>
          <w:b w:val="1"/>
          <w:bCs w:val="1"/>
          <w:color w:val="auto"/>
        </w:rPr>
        <w:t>Company’s Certificate</w:t>
      </w:r>
      <w:r>
        <w:rPr>
          <w:rFonts w:ascii="Times New Roman" w:cs="Times New Roman" w:eastAsia="Times New Roman" w:hAnsi="Times New Roman"/>
          <w:sz w:val="18"/>
          <w:szCs w:val="18"/>
          <w:color w:val="auto"/>
        </w:rPr>
        <w:t>”) relating to certain factual matters and having annexed thereto and certified as true, complete and up-to-date copies of the following documents:</w:t>
      </w:r>
    </w:p>
    <w:p>
      <w:pPr>
        <w:spacing w:after="0" w:line="169" w:lineRule="exact"/>
        <w:rPr>
          <w:rFonts w:ascii="Times New Roman" w:cs="Times New Roman" w:eastAsia="Times New Roman" w:hAnsi="Times New Roman"/>
          <w:sz w:val="18"/>
          <w:szCs w:val="18"/>
          <w:color w:val="auto"/>
        </w:rPr>
      </w:pPr>
    </w:p>
    <w:p>
      <w:pPr>
        <w:ind w:left="1460" w:hanging="650"/>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articles of association of the Company adopted with effect from 29 June 2020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1460" w:hanging="650"/>
        <w:spacing w:after="0" w:line="282" w:lineRule="auto"/>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passed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 23 April 2025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jc w:val="both"/>
        <w:ind w:left="1460" w:hanging="650"/>
        <w:spacing w:after="0" w:line="262" w:lineRule="auto"/>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resolutions passed by the shareholders of the Company at the Company’s annual general meeting held on 11 June 2025 (the “</w:t>
      </w:r>
      <w:r>
        <w:rPr>
          <w:rFonts w:ascii="Times New Roman" w:cs="Times New Roman" w:eastAsia="Times New Roman" w:hAnsi="Times New Roman"/>
          <w:sz w:val="18"/>
          <w:szCs w:val="18"/>
          <w:b w:val="1"/>
          <w:bCs w:val="1"/>
          <w:color w:val="auto"/>
        </w:rPr>
        <w:t>2025 AGM</w:t>
      </w:r>
      <w:r>
        <w:rPr>
          <w:rFonts w:ascii="Times New Roman" w:cs="Times New Roman" w:eastAsia="Times New Roman" w:hAnsi="Times New Roman"/>
          <w:sz w:val="18"/>
          <w:szCs w:val="18"/>
          <w:color w:val="auto"/>
        </w:rPr>
        <w:t>”) approving the Second A&amp;R 2022 Plan and the 2025 Director Incentive Plan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rendering the opinions expressed below we have assumed and not verified:</w:t>
      </w:r>
    </w:p>
    <w:p>
      <w:pPr>
        <w:spacing w:after="0" w:line="220" w:lineRule="exact"/>
        <w:rPr>
          <w:sz w:val="20"/>
          <w:szCs w:val="20"/>
          <w:color w:val="auto"/>
        </w:rPr>
      </w:pPr>
    </w:p>
    <w:p>
      <w:pPr>
        <w:ind w:left="820" w:hanging="651"/>
        <w:spacing w:after="0" w:line="27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the authenticity and completeness of all documents supplied to us and the conformity to the originals of all documents supplied to us as photocopies, facsimile or electronic copies;</w:t>
      </w:r>
    </w:p>
    <w:p>
      <w:pPr>
        <w:spacing w:after="0" w:line="163" w:lineRule="exact"/>
        <w:rPr>
          <w:rFonts w:ascii="Times New Roman" w:cs="Times New Roman" w:eastAsia="Times New Roman" w:hAnsi="Times New Roman"/>
          <w:sz w:val="18"/>
          <w:szCs w:val="18"/>
          <w:color w:val="auto"/>
        </w:rPr>
      </w:pPr>
    </w:p>
    <w:p>
      <w:pPr>
        <w:ind w:left="820" w:right="20" w:hanging="651"/>
        <w:spacing w:after="0" w:line="27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specimen or certificated form, it has been or will be executed in the form of that draft, specimen or certificate;</w:t>
      </w:r>
    </w:p>
    <w:p>
      <w:pPr>
        <w:spacing w:after="0" w:line="163" w:lineRule="exact"/>
        <w:rPr>
          <w:rFonts w:ascii="Times New Roman" w:cs="Times New Roman" w:eastAsia="Times New Roman" w:hAnsi="Times New Roman"/>
          <w:sz w:val="18"/>
          <w:szCs w:val="18"/>
          <w:color w:val="auto"/>
        </w:rPr>
      </w:pPr>
    </w:p>
    <w:p>
      <w:pPr>
        <w:ind w:left="820" w:hanging="651"/>
        <w:spacing w:after="0" w:line="27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as to factual matters of each document we have reviewed, including, without limitation, the accuracy and completeness of all statements in the Company’s Certificate;</w:t>
      </w:r>
    </w:p>
    <w:p>
      <w:pPr>
        <w:spacing w:after="0" w:line="163" w:lineRule="exact"/>
        <w:rPr>
          <w:rFonts w:ascii="Times New Roman" w:cs="Times New Roman" w:eastAsia="Times New Roman" w:hAnsi="Times New Roman"/>
          <w:sz w:val="18"/>
          <w:szCs w:val="18"/>
          <w:color w:val="auto"/>
        </w:rPr>
      </w:pPr>
    </w:p>
    <w:p>
      <w:pPr>
        <w:jc w:val="both"/>
        <w:ind w:left="820" w:hanging="651"/>
        <w:spacing w:after="0" w:line="26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fully complied with its obligations under all applicable anti-terrorism, anti-money laundering, sanctions and human rights legislation, and that each allotment and issue of Ordinary Shares in the manner contemplated in the Registration Statement will be compliant with such laws;</w:t>
      </w:r>
    </w:p>
    <w:p>
      <w:pPr>
        <w:spacing w:after="0" w:line="177" w:lineRule="exact"/>
        <w:rPr>
          <w:rFonts w:ascii="Times New Roman" w:cs="Times New Roman" w:eastAsia="Times New Roman" w:hAnsi="Times New Roman"/>
          <w:sz w:val="18"/>
          <w:szCs w:val="18"/>
          <w:color w:val="auto"/>
        </w:rPr>
      </w:pPr>
    </w:p>
    <w:p>
      <w:pPr>
        <w:ind w:left="820" w:hanging="651"/>
        <w:spacing w:after="0" w:line="27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document has been entered into by any of the parties thereto in connection with any money laundering or any other unlawful activity;</w:t>
      </w:r>
    </w:p>
    <w:p>
      <w:pPr>
        <w:spacing w:after="0" w:line="163" w:lineRule="exact"/>
        <w:rPr>
          <w:rFonts w:ascii="Times New Roman" w:cs="Times New Roman" w:eastAsia="Times New Roman" w:hAnsi="Times New Roman"/>
          <w:sz w:val="18"/>
          <w:szCs w:val="18"/>
          <w:color w:val="auto"/>
        </w:rPr>
      </w:pPr>
    </w:p>
    <w:p>
      <w:pPr>
        <w:jc w:val="both"/>
        <w:ind w:left="820" w:hanging="651"/>
        <w:spacing w:after="0" w:line="26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consents, approvals, notices, filings and registrations which are necessary under any applicable laws or regulations (other than laws or regulations of England and Wales) in order to permit the allotment and issue of any Ordinary Shares in the manner contemplated in the Registration Statement have been or will be duly made or obtained;</w:t>
      </w:r>
    </w:p>
    <w:p>
      <w:pPr>
        <w:spacing w:after="0" w:line="177" w:lineRule="exact"/>
        <w:rPr>
          <w:rFonts w:ascii="Times New Roman" w:cs="Times New Roman" w:eastAsia="Times New Roman" w:hAnsi="Times New Roman"/>
          <w:sz w:val="18"/>
          <w:szCs w:val="18"/>
          <w:color w:val="auto"/>
        </w:rPr>
      </w:pPr>
    </w:p>
    <w:p>
      <w:pPr>
        <w:jc w:val="both"/>
        <w:ind w:left="820" w:hanging="651"/>
        <w:spacing w:after="0" w:line="26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412750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9" w:name="page10"/>
    <w:bookmarkEnd w:id="9"/>
    <w:p>
      <w:pPr>
        <w:jc w:val="both"/>
        <w:ind w:left="820" w:hanging="651"/>
        <w:spacing w:after="0" w:line="25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with all applicable provisions of the Financial Services Act 2012 and the Financial Services and Markets 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and any applicable secondary legislation made under any of the foregoing with respect to anything done by the Company in relation to the Ordinary Shares from or otherwise involving the United Kingdom (including Sections 19 (carrying on a regulated activity), 21 (financial promotion), and 85 (public offers) of FSMA);</w:t>
      </w:r>
    </w:p>
    <w:p>
      <w:pPr>
        <w:spacing w:after="0" w:line="182" w:lineRule="exact"/>
        <w:rPr>
          <w:rFonts w:ascii="Times New Roman" w:cs="Times New Roman" w:eastAsia="Times New Roman" w:hAnsi="Times New Roman"/>
          <w:sz w:val="18"/>
          <w:szCs w:val="18"/>
          <w:color w:val="auto"/>
        </w:rPr>
      </w:pPr>
    </w:p>
    <w:p>
      <w:pPr>
        <w:jc w:val="both"/>
        <w:ind w:left="820" w:hanging="651"/>
        <w:spacing w:after="0" w:line="25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the Board allots any Ordinary Shares, or grants any rights to subscribe for or to convert any security into Ordinary Shares in connection with the 2025 Director Incentive Plan, it: (i) will be authorised to do so for the purposes of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pursuant to an ordinary resolution validly passed by the Company’s shareholders or the Company’s articles of association in force at that time; and (ii) as may be required, will have the power to do so free of the restrictions in section 561 of the Companies Act pursuant to a special resolution validly passed by the Company’s shareholders or the Company’s articles of association in force at that time for the purposes of sections 570 or 571 of the Companies Act, and in each case where relevant such resolutions and authorities will remain in full force and effect and not having expired, been rescinded or amended;</w:t>
      </w:r>
    </w:p>
    <w:p>
      <w:pPr>
        <w:spacing w:after="0" w:line="184" w:lineRule="exact"/>
        <w:rPr>
          <w:rFonts w:ascii="Times New Roman" w:cs="Times New Roman" w:eastAsia="Times New Roman" w:hAnsi="Times New Roman"/>
          <w:sz w:val="18"/>
          <w:szCs w:val="18"/>
          <w:color w:val="auto"/>
        </w:rPr>
      </w:pPr>
    </w:p>
    <w:p>
      <w:pPr>
        <w:jc w:val="both"/>
        <w:ind w:left="820" w:hanging="651"/>
        <w:spacing w:after="0" w:line="25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Ordinary Shares, the Company shall have received in full consideration equal to the subscription price or other consideration for such Ordinary Shares and shall have entered the holder or holders thereof in the register of members of the Company showing that all such Ordinary Shares shall have been fully paid up as to their nominal value and any premium thereon as at each allotment date;</w:t>
      </w:r>
    </w:p>
    <w:p>
      <w:pPr>
        <w:spacing w:after="0" w:line="182" w:lineRule="exact"/>
        <w:rPr>
          <w:rFonts w:ascii="Times New Roman" w:cs="Times New Roman" w:eastAsia="Times New Roman" w:hAnsi="Times New Roman"/>
          <w:sz w:val="18"/>
          <w:szCs w:val="18"/>
          <w:color w:val="auto"/>
        </w:rPr>
      </w:pPr>
    </w:p>
    <w:p>
      <w:pPr>
        <w:ind w:left="820" w:hanging="651"/>
        <w:spacing w:after="0" w:line="27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issue of any Ordinary Share, the issue price or other consideration for such issue is not less than the nominal value, if any, of the Ordinary Share;</w:t>
      </w:r>
    </w:p>
    <w:p>
      <w:pPr>
        <w:spacing w:after="0" w:line="163" w:lineRule="exact"/>
        <w:rPr>
          <w:rFonts w:ascii="Times New Roman" w:cs="Times New Roman" w:eastAsia="Times New Roman" w:hAnsi="Times New Roman"/>
          <w:sz w:val="18"/>
          <w:szCs w:val="18"/>
          <w:color w:val="auto"/>
        </w:rPr>
      </w:pPr>
    </w:p>
    <w:p>
      <w:pPr>
        <w:jc w:val="both"/>
        <w:ind w:left="820" w:hanging="651"/>
        <w:spacing w:after="0" w:line="26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meeting of the Board held on 23 April 2025 at which the Board Resolutions were passed was duly convened and held and such resolutions are a true record of the proceedings at such meeting and are valid, in full force and effect and have not been amended, revoked or superseded;</w:t>
      </w:r>
    </w:p>
    <w:p>
      <w:pPr>
        <w:spacing w:after="0" w:line="177" w:lineRule="exact"/>
        <w:rPr>
          <w:rFonts w:ascii="Times New Roman" w:cs="Times New Roman" w:eastAsia="Times New Roman" w:hAnsi="Times New Roman"/>
          <w:sz w:val="18"/>
          <w:szCs w:val="18"/>
          <w:color w:val="auto"/>
        </w:rPr>
      </w:pPr>
    </w:p>
    <w:p>
      <w:pPr>
        <w:jc w:val="both"/>
        <w:ind w:left="820" w:hanging="651"/>
        <w:spacing w:after="0" w:line="26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2025 AGM at which the Shareholders’ Resolutions were passed was duly convened and held and the Shareholders’ Resolutions were duly and validly passed at the 2025 AGM, are in full force and effect and have not been amended, revoked or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412750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10" w:name="page11"/>
    <w:bookmarkEnd w:id="10"/>
    <w:p>
      <w:pPr>
        <w:jc w:val="both"/>
        <w:ind w:left="1940" w:hanging="651"/>
        <w:spacing w:after="0" w:line="262" w:lineRule="auto"/>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director of the Company has disclosed any interest which he or she may have in the transactions contemplated by the Board Resolutions in accordance with the provisions of the Companies Act and the Articles, and that none of the relevant directors of the Company have any interest in such transactions except to the extent permitted by the Articles; and</w:t>
      </w:r>
    </w:p>
    <w:p>
      <w:pPr>
        <w:spacing w:after="0" w:line="177" w:lineRule="exact"/>
        <w:rPr>
          <w:rFonts w:ascii="Times New Roman" w:cs="Times New Roman" w:eastAsia="Times New Roman" w:hAnsi="Times New Roman"/>
          <w:sz w:val="18"/>
          <w:szCs w:val="18"/>
          <w:color w:val="auto"/>
        </w:rPr>
      </w:pPr>
    </w:p>
    <w:p>
      <w:pPr>
        <w:ind w:left="1940" w:right="20" w:hanging="651"/>
        <w:spacing w:after="0" w:line="277" w:lineRule="auto"/>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consider in good faith that the actions to be carried out pursuant to the Board Resolutions by the Company will promote the success of the Company for the benefit of its members as a whole.</w:t>
      </w:r>
    </w:p>
    <w:p>
      <w:pPr>
        <w:spacing w:after="0" w:line="163"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Based on the foregoing, and subject to the further qualifications and limitations set forth below, it is our opinion that the Ordinary Shares, when issued in accordance with all necessary corporate action of the Company, the provisions of the Company’s articles of association in force at that time and the Second A&amp;R 2022 Plan or the 2025 Director Incentive Plan (as applicable), and subject to receipt by the Company of the aggregate issue price or other consideration in respect of such Ordinary Shares, will be validly issued, fully paid and non-assessable (for the purposes of this opinion, “non-assessable” means that no further contributions in respect of the Ordinary Shares will be required to be made to the Company by the holders thereof, by reason solely of their being such holders).</w:t>
      </w:r>
    </w:p>
    <w:p>
      <w:pPr>
        <w:spacing w:after="0" w:line="187"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The opinion set out above is limited to the laws of England and Wales in force as at the date of this opinion letter (taking into account the effect of the Agreement on the withdrawal of the United Kingdom of Great Britain and Northern Ireland from the European Union and the European Atomic Energy Community and the European Union (Withdrawal) Act 2018) (as amended from time to time, including by the European Union (Withdrawal Agreement) Act 2020 and the Retained EU Law (Revocation and Reform) Act 2023), as currently applied by the courts in England and Wales, and are given on the basis that this opinion letter and any non-contractual obligations arising out of or in connection with it will be governed by and construed in accordance with English law.</w:t>
      </w:r>
    </w:p>
    <w:p>
      <w:pPr>
        <w:spacing w:after="0" w:line="187" w:lineRule="exact"/>
        <w:rPr>
          <w:sz w:val="20"/>
          <w:szCs w:val="20"/>
          <w:color w:val="auto"/>
        </w:rPr>
      </w:pPr>
    </w:p>
    <w:p>
      <w:pPr>
        <w:jc w:val="both"/>
        <w:ind w:firstLine="1282"/>
        <w:spacing w:after="0" w:line="262" w:lineRule="auto"/>
        <w:rPr>
          <w:sz w:val="20"/>
          <w:szCs w:val="20"/>
          <w:color w:val="auto"/>
        </w:rPr>
      </w:pPr>
      <w:r>
        <w:rPr>
          <w:rFonts w:ascii="Times New Roman" w:cs="Times New Roman" w:eastAsia="Times New Roman" w:hAnsi="Times New Roman"/>
          <w:sz w:val="18"/>
          <w:szCs w:val="18"/>
          <w:color w:val="auto"/>
        </w:rPr>
        <w:t>We hereby consent to the use of this opinion as a part Exhibit 5.1 of the Registration Statement as counsel for the Company who have passed on the validity of the Ordinary Shares being registered by the Registration Statement. In giving such consent, we do not thereby admit that we are within the category of persons whose consent is required under Section 7 of the Securities Act or the rules and regulations of the Commission thereunder.</w:t>
      </w:r>
    </w:p>
    <w:p>
      <w:pPr>
        <w:spacing w:after="0" w:line="177" w:lineRule="exact"/>
        <w:rPr>
          <w:sz w:val="20"/>
          <w:szCs w:val="20"/>
          <w:color w:val="auto"/>
        </w:rPr>
      </w:pPr>
    </w:p>
    <w:p>
      <w:pPr>
        <w:jc w:val="both"/>
        <w:ind w:firstLine="1282"/>
        <w:spacing w:after="0" w:line="308" w:lineRule="auto"/>
        <w:rPr>
          <w:sz w:val="20"/>
          <w:szCs w:val="20"/>
          <w:color w:val="auto"/>
        </w:rPr>
      </w:pPr>
      <w:r>
        <w:rPr>
          <w:rFonts w:ascii="Times New Roman" w:cs="Times New Roman" w:eastAsia="Times New Roman" w:hAnsi="Times New Roman"/>
          <w:sz w:val="17"/>
          <w:szCs w:val="17"/>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388620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CLEARY GOTTLIEB STEEN &amp; HAMILTON LLP</w:t>
      </w: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Daniel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15875</wp:posOffset>
            </wp:positionV>
            <wp:extent cx="3350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Daniel Tierney,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300990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LivaNova PLC of our report dated February 25, 2025 relating to the financial statements and the effectiveness of internal control over financial reporting, which appears in LivaNova PLC's Annual Report on Form 10-K for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LivaNova PLC</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2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2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2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3"/>
                <w:szCs w:val="23"/>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4,400,000</w:t>
            </w:r>
          </w:p>
        </w:tc>
        <w:tc>
          <w:tcPr>
            <w:tcW w:w="40" w:type="dxa"/>
            <w:vAlign w:val="bottom"/>
          </w:tcPr>
          <w:p>
            <w:pPr>
              <w:spacing w:after="0"/>
              <w:rPr>
                <w:sz w:val="20"/>
                <w:szCs w:val="2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$ 46.23</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0.0001531</w:t>
            </w: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$ 31,142.38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1.00GBP</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203,412,000.00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300,000</w:t>
            </w:r>
          </w:p>
        </w:tc>
        <w:tc>
          <w:tcPr>
            <w:tcW w:w="40" w:type="dxa"/>
            <w:vAlign w:val="bottom"/>
          </w:tcPr>
          <w:p>
            <w:pPr>
              <w:spacing w:after="0"/>
              <w:rPr>
                <w:sz w:val="20"/>
                <w:szCs w:val="2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$ 46.23</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0.0001531</w:t>
            </w: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$ 2,123.34</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1.00GBP</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13,869,000.00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$ 33,265.72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217,281,000.00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$ 33,265.72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40"/>
        <w:spacing w:after="0" w:line="246" w:lineRule="auto"/>
        <w:rPr>
          <w:sz w:val="20"/>
          <w:szCs w:val="20"/>
          <w:color w:val="auto"/>
        </w:rPr>
      </w:pPr>
      <w:r>
        <w:rPr>
          <w:rFonts w:ascii="Arial" w:cs="Arial" w:eastAsia="Arial" w:hAnsi="Arial"/>
          <w:sz w:val="21"/>
          <w:szCs w:val="21"/>
          <w:color w:val="auto"/>
        </w:rPr>
        <w:t>Pursuant to Rule 416(a) under the Securities Act of 1933, as amended (the "Securities Act"), the Registration Statement covers an indeterminable number of additional ordinary shares, par value 1.00 GBP per share, of LivaNova PLC (the "Ordinary Shares") that may be offered and issued under the Second Amended and Restated LivaNova PLC 2022 Incentive Award Plan (the "Second A&amp;R 2022 Plan") and the LivaNova PLC 2025 Director Incentive Award Plan (the "2025 Director Incentive Plan"), to prevent dilution resulting from stock splits, stock distributions or similar transactions.</w:t>
      </w:r>
    </w:p>
    <w:p>
      <w:pPr>
        <w:spacing w:after="0" w:line="198" w:lineRule="exact"/>
        <w:rPr>
          <w:sz w:val="20"/>
          <w:szCs w:val="20"/>
          <w:color w:val="auto"/>
        </w:rPr>
      </w:pPr>
    </w:p>
    <w:p>
      <w:pPr>
        <w:ind w:left="240" w:right="80"/>
        <w:spacing w:after="0" w:line="258" w:lineRule="auto"/>
        <w:rPr>
          <w:sz w:val="20"/>
          <w:szCs w:val="20"/>
          <w:color w:val="auto"/>
        </w:rPr>
      </w:pPr>
      <w:r>
        <w:rPr>
          <w:rFonts w:ascii="Arial" w:cs="Arial" w:eastAsia="Arial" w:hAnsi="Arial"/>
          <w:sz w:val="21"/>
          <w:szCs w:val="21"/>
          <w:color w:val="auto"/>
        </w:rPr>
        <w:t>Proposed Maximum Offering Price Per Unit is calculated pursuant to Rule 457(c) and Rule 457(h) under the Securities Act based on a price of $46.23 per Ordinary Share, which is the average of the high and low price per Ordinary Share as reported by the Nasdaq Global Select Market on June 9, 2025.</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Amount Registered represents Ordinary Shares being registered pursuant to the Second A&amp;R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105410</wp:posOffset>
            </wp:positionV>
            <wp:extent cx="69811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81190" cy="4254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240"/>
        <w:spacing w:after="0" w:line="246" w:lineRule="auto"/>
        <w:rPr>
          <w:sz w:val="20"/>
          <w:szCs w:val="20"/>
          <w:color w:val="auto"/>
        </w:rPr>
      </w:pPr>
      <w:r>
        <w:rPr>
          <w:rFonts w:ascii="Arial" w:cs="Arial" w:eastAsia="Arial" w:hAnsi="Arial"/>
          <w:sz w:val="21"/>
          <w:szCs w:val="21"/>
          <w:color w:val="auto"/>
        </w:rPr>
        <w:t>Pursuant to Rule 416(a) under the Securities Act of 1933, as amended (the "Securities Act'), the Registration Statement covers an indeterminable number of additional ordinary shares, par value 1.00 GBP per share, of LivaNova PLC (the "Ordinary Shares") that may be offered and issued under the Second Amended and Restated LivaNova PLC 2022 Incentive Award Plan (the "Second A&amp;R 2022 Plan") and the LivaNova PLC 2025 Director Incentive Award Plan (the "2025 Director Incentive Plan"), to prevent dilution resulting from stock splits, stock distributions or similar transactions.</w:t>
      </w:r>
    </w:p>
    <w:p>
      <w:pPr>
        <w:spacing w:after="0" w:line="198" w:lineRule="exact"/>
        <w:rPr>
          <w:sz w:val="20"/>
          <w:szCs w:val="20"/>
          <w:color w:val="auto"/>
        </w:rPr>
      </w:pPr>
    </w:p>
    <w:p>
      <w:pPr>
        <w:ind w:left="240" w:right="80"/>
        <w:spacing w:after="0" w:line="258" w:lineRule="auto"/>
        <w:rPr>
          <w:sz w:val="20"/>
          <w:szCs w:val="20"/>
          <w:color w:val="auto"/>
        </w:rPr>
      </w:pPr>
      <w:r>
        <w:rPr>
          <w:rFonts w:ascii="Arial" w:cs="Arial" w:eastAsia="Arial" w:hAnsi="Arial"/>
          <w:sz w:val="21"/>
          <w:szCs w:val="21"/>
          <w:color w:val="auto"/>
        </w:rPr>
        <w:t>Proposed Maximum Offering Price Per Unit is calculated pursuant to Rule 457(c) and Rule 457(h) under the Securities Act based on a price of $46.23 per Ordinary Share, which is the average of the high and low price per Ordinary Share as reported by the Nasdaq Global Select Market on June 9, 2025.</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Amount Registered represents Ordinary Shares being registered pursuant to the 2025 Director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105410</wp:posOffset>
            </wp:positionV>
            <wp:extent cx="69811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981190" cy="42545"/>
                    </a:xfrm>
                    <a:prstGeom prst="rect">
                      <a:avLst/>
                    </a:prstGeom>
                    <a:noFill/>
                  </pic:spPr>
                </pic:pic>
              </a:graphicData>
            </a:graphic>
          </wp:anchor>
        </w:drawing>
      </w:r>
    </w:p>
    <w:sectPr>
      <w:pgSz w:w="11900" w:h="16838" w:orient="portrait"/>
      <w:cols w:equalWidth="0" w:num="1">
        <w:col w:w="10900"/>
      </w:cols>
      <w:pgMar w:left="360" w:top="14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35"/>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8"/>
    </w:lvl>
  </w:abstractNum>
  <w:abstractNum w:abstractNumId="6">
    <w:nsid w:val="41B71EFB"/>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jpeg"/><Relationship Id="rId30" Type="http://schemas.openxmlformats.org/officeDocument/2006/relationships/image" Target="media/image12.png"/><Relationship Id="rId31" Type="http://schemas.openxmlformats.org/officeDocument/2006/relationships/image" Target="media/image13.jpe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13" Type="http://schemas.openxmlformats.org/officeDocument/2006/relationships/hyperlink" Target="https://www.sec.gov/Archives/edgar/data/1639691/000163969123000080/securitiestobeofferedtoemp.htm" TargetMode="External"/><Relationship Id="rId14" Type="http://schemas.openxmlformats.org/officeDocument/2006/relationships/hyperlink" Target="https://www.sec.gov/Archives/edgar/data/1639691/000110465922070586/tm2218278d1_s8.htm" TargetMode="External"/><Relationship Id="rId15" Type="http://schemas.openxmlformats.org/officeDocument/2006/relationships/hyperlink" Target="https://www.sec.gov/Archives/edgar/data/1639691/000119312515346159/d89334ds8.htm" TargetMode="External"/><Relationship Id="rId16" Type="http://schemas.openxmlformats.org/officeDocument/2006/relationships/hyperlink" Target="https://www.sec.gov/ix?doc=/Archives/edgar/data/1639691/000163969125000010/livn-20241231.htm" TargetMode="External"/><Relationship Id="rId17" Type="http://schemas.openxmlformats.org/officeDocument/2006/relationships/hyperlink" Target="https://www.sec.gov/ix?doc=/Archives/edgar/data/1639691/000110465925041852/tm252314-4_def14a.htm" TargetMode="External"/><Relationship Id="rId18" Type="http://schemas.openxmlformats.org/officeDocument/2006/relationships/hyperlink" Target="https://www.sec.gov/ix?doc=/Archives/edgar/data/1639691/000163969125000042/livn-20250331.htm" TargetMode="External"/><Relationship Id="rId19" Type="http://schemas.openxmlformats.org/officeDocument/2006/relationships/hyperlink" Target="https://www.sec.gov/ix?doc=/Archives/edgar/data/1639691/000163969125000052/livn-20250611.htm" TargetMode="External"/><Relationship Id="rId20" Type="http://schemas.openxmlformats.org/officeDocument/2006/relationships/hyperlink" Target="https://www.sec.gov/Archives/edgar/data/1639691/000163969125000010/livn-20241231xex41.htm" TargetMode="External"/><Relationship Id="rId23" Type="http://schemas.openxmlformats.org/officeDocument/2006/relationships/hyperlink" Target="https://www.sec.gov/Archives/edgar/data/1639691/000163969120000098/livn-20200630xex31.htm" TargetMode="External"/><Relationship Id="rId24" Type="http://schemas.openxmlformats.org/officeDocument/2006/relationships/hyperlink" Target="https://www.sec.gov/Archives/edgar/data/1639691/000163969125000052/finalsecondamendedandres.htm" TargetMode="External"/><Relationship Id="rId25" Type="http://schemas.openxmlformats.org/officeDocument/2006/relationships/hyperlink" Target="https://www.sec.gov/Archives/edgar/data/1639691/000163969125000052/final2025director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2025-06-13T05:10:36Z</dcterms:created>
  <dcterms:modified xsi:type="dcterms:W3CDTF">2025-06-13T05:10:36Z</dcterms:modified>
</cp:coreProperties>
</file>