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97"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100965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3"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1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Date of Report (Date of earliest event reported): June 15,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160655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2860675</wp:posOffset>
            </wp:positionH>
            <wp:positionV relativeFrom="paragraph">
              <wp:posOffset>349250</wp:posOffset>
            </wp:positionV>
            <wp:extent cx="1534795" cy="4718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34795" cy="4718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LivaNova PLC</w:t>
      </w:r>
    </w:p>
    <w:p>
      <w:pPr>
        <w:spacing w:after="0" w:line="4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tbl>
      <w:tblPr>
        <w:tblLayout w:type="fixed"/>
        <w:tblInd w:w="1040" w:type="dxa"/>
        <w:tblCellMar>
          <w:top w:w="0" w:type="dxa"/>
          <w:left w:w="0" w:type="dxa"/>
          <w:bottom w:w="0" w:type="dxa"/>
          <w:right w:w="0" w:type="dxa"/>
        </w:tblCellMar>
      </w:tblPr>
      <w:tr>
        <w:trPr>
          <w:trHeight w:val="220"/>
        </w:trPr>
        <w:tc>
          <w:tcPr>
            <w:tcW w:w="21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England and Wales</w:t>
            </w:r>
          </w:p>
        </w:tc>
        <w:tc>
          <w:tcPr>
            <w:tcW w:w="3720" w:type="dxa"/>
            <w:vAlign w:val="bottom"/>
            <w:gridSpan w:val="2"/>
          </w:tcPr>
          <w:p>
            <w:pPr>
              <w:jc w:val="center"/>
              <w:ind w:left="1290"/>
              <w:spacing w:after="0"/>
              <w:rPr>
                <w:sz w:val="20"/>
                <w:szCs w:val="20"/>
                <w:color w:val="auto"/>
              </w:rPr>
            </w:pPr>
            <w:r>
              <w:rPr>
                <w:rFonts w:ascii="Arial" w:cs="Arial" w:eastAsia="Arial" w:hAnsi="Arial"/>
                <w:sz w:val="18"/>
                <w:szCs w:val="18"/>
                <w:b w:val="1"/>
                <w:bCs w:val="1"/>
                <w:color w:val="auto"/>
                <w:w w:val="90"/>
              </w:rPr>
              <w:t>001-37599</w:t>
            </w:r>
          </w:p>
        </w:tc>
        <w:tc>
          <w:tcPr>
            <w:tcW w:w="1520" w:type="dxa"/>
            <w:vAlign w:val="bottom"/>
          </w:tcPr>
          <w:p>
            <w:pPr>
              <w:spacing w:after="0"/>
              <w:rPr>
                <w:sz w:val="19"/>
                <w:szCs w:val="19"/>
                <w:color w:val="auto"/>
              </w:rPr>
            </w:pPr>
          </w:p>
        </w:tc>
        <w:tc>
          <w:tcPr>
            <w:tcW w:w="1680" w:type="dxa"/>
            <w:vAlign w:val="bottom"/>
          </w:tcPr>
          <w:p>
            <w:pPr>
              <w:jc w:val="center"/>
              <w:ind w:left="230"/>
              <w:spacing w:after="0"/>
              <w:rPr>
                <w:sz w:val="20"/>
                <w:szCs w:val="20"/>
                <w:color w:val="auto"/>
              </w:rPr>
            </w:pPr>
            <w:r>
              <w:rPr>
                <w:rFonts w:ascii="Arial" w:cs="Arial" w:eastAsia="Arial" w:hAnsi="Arial"/>
                <w:sz w:val="18"/>
                <w:szCs w:val="18"/>
                <w:b w:val="1"/>
                <w:bCs w:val="1"/>
                <w:color w:val="auto"/>
                <w:w w:val="91"/>
              </w:rPr>
              <w:t>98-1268150</w:t>
            </w:r>
          </w:p>
        </w:tc>
      </w:tr>
      <w:tr>
        <w:trPr>
          <w:trHeight w:val="216"/>
        </w:trPr>
        <w:tc>
          <w:tcPr>
            <w:tcW w:w="2140" w:type="dxa"/>
            <w:vAlign w:val="bottom"/>
          </w:tcPr>
          <w:p>
            <w:pPr>
              <w:jc w:val="center"/>
              <w:ind w:right="90"/>
              <w:spacing w:after="0"/>
              <w:rPr>
                <w:sz w:val="20"/>
                <w:szCs w:val="20"/>
                <w:color w:val="auto"/>
              </w:rPr>
            </w:pPr>
            <w:r>
              <w:rPr>
                <w:rFonts w:ascii="Arial" w:cs="Arial" w:eastAsia="Arial" w:hAnsi="Arial"/>
                <w:sz w:val="18"/>
                <w:szCs w:val="18"/>
                <w:color w:val="auto"/>
                <w:w w:val="91"/>
              </w:rPr>
              <w:t>(State or Other Jurisdiction</w:t>
            </w:r>
          </w:p>
        </w:tc>
        <w:tc>
          <w:tcPr>
            <w:tcW w:w="1340" w:type="dxa"/>
            <w:vAlign w:val="bottom"/>
          </w:tcPr>
          <w:p>
            <w:pPr>
              <w:spacing w:after="0"/>
              <w:rPr>
                <w:sz w:val="18"/>
                <w:szCs w:val="18"/>
                <w:color w:val="auto"/>
              </w:rPr>
            </w:pPr>
          </w:p>
        </w:tc>
        <w:tc>
          <w:tcPr>
            <w:tcW w:w="3900" w:type="dxa"/>
            <w:vAlign w:val="bottom"/>
            <w:gridSpan w:val="2"/>
          </w:tcPr>
          <w:p>
            <w:pPr>
              <w:jc w:val="center"/>
              <w:ind w:right="1480"/>
              <w:spacing w:after="0"/>
              <w:rPr>
                <w:sz w:val="20"/>
                <w:szCs w:val="20"/>
                <w:color w:val="auto"/>
              </w:rPr>
            </w:pPr>
            <w:r>
              <w:rPr>
                <w:rFonts w:ascii="Arial" w:cs="Arial" w:eastAsia="Arial" w:hAnsi="Arial"/>
                <w:sz w:val="18"/>
                <w:szCs w:val="18"/>
                <w:color w:val="auto"/>
                <w:w w:val="93"/>
              </w:rPr>
              <w:t>(Commission</w:t>
            </w:r>
          </w:p>
        </w:tc>
        <w:tc>
          <w:tcPr>
            <w:tcW w:w="1680" w:type="dxa"/>
            <w:vAlign w:val="bottom"/>
          </w:tcPr>
          <w:p>
            <w:pPr>
              <w:jc w:val="center"/>
              <w:ind w:left="230"/>
              <w:spacing w:after="0"/>
              <w:rPr>
                <w:sz w:val="20"/>
                <w:szCs w:val="20"/>
                <w:color w:val="auto"/>
              </w:rPr>
            </w:pPr>
            <w:r>
              <w:rPr>
                <w:rFonts w:ascii="Arial" w:cs="Arial" w:eastAsia="Arial" w:hAnsi="Arial"/>
                <w:sz w:val="18"/>
                <w:szCs w:val="18"/>
                <w:color w:val="auto"/>
                <w:w w:val="92"/>
              </w:rPr>
              <w:t>(IRS Employer</w:t>
            </w:r>
          </w:p>
        </w:tc>
      </w:tr>
      <w:tr>
        <w:trPr>
          <w:trHeight w:val="230"/>
        </w:trPr>
        <w:tc>
          <w:tcPr>
            <w:tcW w:w="2140" w:type="dxa"/>
            <w:vAlign w:val="bottom"/>
          </w:tcPr>
          <w:p>
            <w:pPr>
              <w:jc w:val="center"/>
              <w:ind w:right="90"/>
              <w:spacing w:after="0"/>
              <w:rPr>
                <w:sz w:val="20"/>
                <w:szCs w:val="20"/>
                <w:color w:val="auto"/>
              </w:rPr>
            </w:pPr>
            <w:r>
              <w:rPr>
                <w:rFonts w:ascii="Arial" w:cs="Arial" w:eastAsia="Arial" w:hAnsi="Arial"/>
                <w:sz w:val="18"/>
                <w:szCs w:val="18"/>
                <w:color w:val="auto"/>
                <w:w w:val="94"/>
              </w:rPr>
              <w:t>of Incorporation)</w:t>
            </w:r>
          </w:p>
        </w:tc>
        <w:tc>
          <w:tcPr>
            <w:tcW w:w="1340" w:type="dxa"/>
            <w:vAlign w:val="bottom"/>
          </w:tcPr>
          <w:p>
            <w:pPr>
              <w:spacing w:after="0"/>
              <w:rPr>
                <w:sz w:val="20"/>
                <w:szCs w:val="20"/>
                <w:color w:val="auto"/>
              </w:rPr>
            </w:pPr>
          </w:p>
        </w:tc>
        <w:tc>
          <w:tcPr>
            <w:tcW w:w="3900" w:type="dxa"/>
            <w:vAlign w:val="bottom"/>
            <w:gridSpan w:val="2"/>
          </w:tcPr>
          <w:p>
            <w:pPr>
              <w:jc w:val="center"/>
              <w:ind w:right="1480"/>
              <w:spacing w:after="0"/>
              <w:rPr>
                <w:sz w:val="20"/>
                <w:szCs w:val="20"/>
                <w:color w:val="auto"/>
              </w:rPr>
            </w:pPr>
            <w:r>
              <w:rPr>
                <w:rFonts w:ascii="Arial" w:cs="Arial" w:eastAsia="Arial" w:hAnsi="Arial"/>
                <w:sz w:val="18"/>
                <w:szCs w:val="18"/>
                <w:color w:val="auto"/>
                <w:w w:val="94"/>
              </w:rPr>
              <w:t>File Number)</w:t>
            </w:r>
          </w:p>
        </w:tc>
        <w:tc>
          <w:tcPr>
            <w:tcW w:w="1680" w:type="dxa"/>
            <w:vAlign w:val="bottom"/>
          </w:tcPr>
          <w:p>
            <w:pPr>
              <w:jc w:val="center"/>
              <w:ind w:left="250"/>
              <w:spacing w:after="0"/>
              <w:rPr>
                <w:sz w:val="20"/>
                <w:szCs w:val="20"/>
                <w:color w:val="auto"/>
              </w:rPr>
            </w:pPr>
            <w:r>
              <w:rPr>
                <w:rFonts w:ascii="Arial" w:cs="Arial" w:eastAsia="Arial" w:hAnsi="Arial"/>
                <w:sz w:val="18"/>
                <w:szCs w:val="18"/>
                <w:color w:val="auto"/>
                <w:w w:val="95"/>
              </w:rPr>
              <w:t>Identification No.)</w:t>
            </w:r>
          </w:p>
        </w:tc>
      </w:tr>
      <w:tr>
        <w:trPr>
          <w:trHeight w:val="365"/>
        </w:trPr>
        <w:tc>
          <w:tcPr>
            <w:tcW w:w="2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5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07"/>
        </w:trPr>
        <w:tc>
          <w:tcPr>
            <w:tcW w:w="2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900" w:type="dxa"/>
            <w:vAlign w:val="bottom"/>
            <w:gridSpan w:val="2"/>
          </w:tcPr>
          <w:p>
            <w:pPr>
              <w:jc w:val="center"/>
              <w:ind w:right="1500"/>
              <w:spacing w:after="0"/>
              <w:rPr>
                <w:sz w:val="20"/>
                <w:szCs w:val="20"/>
                <w:color w:val="auto"/>
              </w:rPr>
            </w:pPr>
            <w:r>
              <w:rPr>
                <w:rFonts w:ascii="Arial" w:cs="Arial" w:eastAsia="Arial" w:hAnsi="Arial"/>
                <w:sz w:val="18"/>
                <w:szCs w:val="18"/>
                <w:b w:val="1"/>
                <w:bCs w:val="1"/>
                <w:color w:val="auto"/>
                <w:w w:val="91"/>
              </w:rPr>
              <w:t>5 Merchant Square</w:t>
            </w:r>
          </w:p>
        </w:tc>
        <w:tc>
          <w:tcPr>
            <w:tcW w:w="1680" w:type="dxa"/>
            <w:vAlign w:val="bottom"/>
          </w:tcPr>
          <w:p>
            <w:pPr>
              <w:spacing w:after="0"/>
              <w:rPr>
                <w:sz w:val="24"/>
                <w:szCs w:val="24"/>
                <w:color w:val="auto"/>
              </w:rPr>
            </w:pPr>
          </w:p>
        </w:tc>
      </w:tr>
      <w:tr>
        <w:trPr>
          <w:trHeight w:val="216"/>
        </w:trPr>
        <w:tc>
          <w:tcPr>
            <w:tcW w:w="2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900" w:type="dxa"/>
            <w:vAlign w:val="bottom"/>
            <w:gridSpan w:val="2"/>
          </w:tcPr>
          <w:p>
            <w:pPr>
              <w:jc w:val="center"/>
              <w:ind w:right="1520"/>
              <w:spacing w:after="0"/>
              <w:rPr>
                <w:sz w:val="20"/>
                <w:szCs w:val="20"/>
                <w:color w:val="auto"/>
              </w:rPr>
            </w:pPr>
            <w:r>
              <w:rPr>
                <w:rFonts w:ascii="Arial" w:cs="Arial" w:eastAsia="Arial" w:hAnsi="Arial"/>
                <w:sz w:val="18"/>
                <w:szCs w:val="18"/>
                <w:b w:val="1"/>
                <w:bCs w:val="1"/>
                <w:color w:val="auto"/>
                <w:w w:val="94"/>
              </w:rPr>
              <w:t>North Wharf Road</w:t>
            </w:r>
          </w:p>
        </w:tc>
        <w:tc>
          <w:tcPr>
            <w:tcW w:w="1680" w:type="dxa"/>
            <w:vAlign w:val="bottom"/>
          </w:tcPr>
          <w:p>
            <w:pPr>
              <w:spacing w:after="0"/>
              <w:rPr>
                <w:sz w:val="18"/>
                <w:szCs w:val="18"/>
                <w:color w:val="auto"/>
              </w:rPr>
            </w:pPr>
          </w:p>
        </w:tc>
      </w:tr>
      <w:tr>
        <w:trPr>
          <w:trHeight w:val="216"/>
        </w:trPr>
        <w:tc>
          <w:tcPr>
            <w:tcW w:w="2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900" w:type="dxa"/>
            <w:vAlign w:val="bottom"/>
            <w:gridSpan w:val="2"/>
          </w:tcPr>
          <w:p>
            <w:pPr>
              <w:jc w:val="center"/>
              <w:ind w:right="1520"/>
              <w:spacing w:after="0"/>
              <w:rPr>
                <w:sz w:val="20"/>
                <w:szCs w:val="20"/>
                <w:color w:val="auto"/>
              </w:rPr>
            </w:pPr>
            <w:r>
              <w:rPr>
                <w:rFonts w:ascii="Arial" w:cs="Arial" w:eastAsia="Arial" w:hAnsi="Arial"/>
                <w:sz w:val="18"/>
                <w:szCs w:val="18"/>
                <w:b w:val="1"/>
                <w:bCs w:val="1"/>
                <w:color w:val="auto"/>
                <w:w w:val="93"/>
              </w:rPr>
              <w:t>London, W2 1AY</w:t>
            </w:r>
          </w:p>
        </w:tc>
        <w:tc>
          <w:tcPr>
            <w:tcW w:w="1680" w:type="dxa"/>
            <w:vAlign w:val="bottom"/>
          </w:tcPr>
          <w:p>
            <w:pPr>
              <w:spacing w:after="0"/>
              <w:rPr>
                <w:sz w:val="18"/>
                <w:szCs w:val="18"/>
                <w:color w:val="auto"/>
              </w:rPr>
            </w:pPr>
          </w:p>
        </w:tc>
      </w:tr>
      <w:tr>
        <w:trPr>
          <w:trHeight w:val="220"/>
        </w:trPr>
        <w:tc>
          <w:tcPr>
            <w:tcW w:w="2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900" w:type="dxa"/>
            <w:vAlign w:val="bottom"/>
            <w:gridSpan w:val="2"/>
          </w:tcPr>
          <w:p>
            <w:pPr>
              <w:jc w:val="center"/>
              <w:ind w:right="1500"/>
              <w:spacing w:after="0"/>
              <w:rPr>
                <w:sz w:val="20"/>
                <w:szCs w:val="20"/>
                <w:color w:val="auto"/>
              </w:rPr>
            </w:pPr>
            <w:r>
              <w:rPr>
                <w:rFonts w:ascii="Arial" w:cs="Arial" w:eastAsia="Arial" w:hAnsi="Arial"/>
                <w:sz w:val="18"/>
                <w:szCs w:val="18"/>
                <w:b w:val="1"/>
                <w:bCs w:val="1"/>
                <w:color w:val="auto"/>
                <w:w w:val="92"/>
              </w:rPr>
              <w:t>United Kingdom</w:t>
            </w:r>
          </w:p>
        </w:tc>
        <w:tc>
          <w:tcPr>
            <w:tcW w:w="1680" w:type="dxa"/>
            <w:vAlign w:val="bottom"/>
          </w:tcPr>
          <w:p>
            <w:pPr>
              <w:spacing w:after="0"/>
              <w:rPr>
                <w:sz w:val="19"/>
                <w:szCs w:val="19"/>
                <w:color w:val="auto"/>
              </w:rPr>
            </w:pPr>
          </w:p>
        </w:tc>
      </w:tr>
      <w:tr>
        <w:trPr>
          <w:trHeight w:val="230"/>
        </w:trPr>
        <w:tc>
          <w:tcPr>
            <w:tcW w:w="2140" w:type="dxa"/>
            <w:vAlign w:val="bottom"/>
          </w:tcPr>
          <w:p>
            <w:pPr>
              <w:spacing w:after="0"/>
              <w:rPr>
                <w:sz w:val="20"/>
                <w:szCs w:val="20"/>
                <w:color w:val="auto"/>
              </w:rPr>
            </w:pPr>
          </w:p>
        </w:tc>
        <w:tc>
          <w:tcPr>
            <w:tcW w:w="5240" w:type="dxa"/>
            <w:vAlign w:val="bottom"/>
            <w:gridSpan w:val="3"/>
          </w:tcPr>
          <w:p>
            <w:pPr>
              <w:jc w:val="center"/>
              <w:ind w:right="180"/>
              <w:spacing w:after="0"/>
              <w:rPr>
                <w:sz w:val="20"/>
                <w:szCs w:val="20"/>
                <w:color w:val="auto"/>
              </w:rPr>
            </w:pPr>
            <w:r>
              <w:rPr>
                <w:rFonts w:ascii="Arial" w:cs="Arial" w:eastAsia="Arial" w:hAnsi="Arial"/>
                <w:sz w:val="18"/>
                <w:szCs w:val="18"/>
                <w:color w:val="auto"/>
                <w:w w:val="92"/>
              </w:rPr>
              <w:t>(Address of Principal Executive Offices)</w:t>
            </w:r>
          </w:p>
        </w:tc>
        <w:tc>
          <w:tcPr>
            <w:tcW w:w="1680" w:type="dxa"/>
            <w:vAlign w:val="bottom"/>
          </w:tcPr>
          <w:p>
            <w:pPr>
              <w:spacing w:after="0"/>
              <w:rPr>
                <w:sz w:val="20"/>
                <w:szCs w:val="20"/>
                <w:color w:val="auto"/>
              </w:rPr>
            </w:pPr>
          </w:p>
        </w:tc>
      </w:tr>
      <w:tr>
        <w:trPr>
          <w:trHeight w:val="418"/>
        </w:trPr>
        <w:tc>
          <w:tcPr>
            <w:tcW w:w="2140" w:type="dxa"/>
            <w:vAlign w:val="bottom"/>
          </w:tcPr>
          <w:p>
            <w:pPr>
              <w:spacing w:after="0"/>
              <w:rPr>
                <w:sz w:val="24"/>
                <w:szCs w:val="24"/>
                <w:color w:val="auto"/>
              </w:rPr>
            </w:pPr>
          </w:p>
        </w:tc>
        <w:tc>
          <w:tcPr>
            <w:tcW w:w="3720" w:type="dxa"/>
            <w:vAlign w:val="bottom"/>
            <w:gridSpan w:val="2"/>
          </w:tcPr>
          <w:p>
            <w:pPr>
              <w:jc w:val="center"/>
              <w:ind w:left="1250"/>
              <w:spacing w:after="0"/>
              <w:rPr>
                <w:sz w:val="20"/>
                <w:szCs w:val="20"/>
                <w:color w:val="auto"/>
              </w:rPr>
            </w:pPr>
            <w:r>
              <w:rPr>
                <w:rFonts w:ascii="Arial" w:cs="Arial" w:eastAsia="Arial" w:hAnsi="Arial"/>
                <w:sz w:val="18"/>
                <w:szCs w:val="18"/>
                <w:b w:val="1"/>
                <w:bCs w:val="1"/>
                <w:color w:val="auto"/>
                <w:w w:val="91"/>
              </w:rPr>
              <w:t>(44) 203 786 5275</w:t>
            </w:r>
          </w:p>
        </w:tc>
        <w:tc>
          <w:tcPr>
            <w:tcW w:w="15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30"/>
        </w:trPr>
        <w:tc>
          <w:tcPr>
            <w:tcW w:w="2140" w:type="dxa"/>
            <w:vAlign w:val="bottom"/>
          </w:tcPr>
          <w:p>
            <w:pPr>
              <w:spacing w:after="0"/>
              <w:rPr>
                <w:sz w:val="20"/>
                <w:szCs w:val="20"/>
                <w:color w:val="auto"/>
              </w:rPr>
            </w:pPr>
          </w:p>
        </w:tc>
        <w:tc>
          <w:tcPr>
            <w:tcW w:w="5240" w:type="dxa"/>
            <w:vAlign w:val="bottom"/>
            <w:gridSpan w:val="3"/>
          </w:tcPr>
          <w:p>
            <w:pPr>
              <w:jc w:val="center"/>
              <w:ind w:right="160"/>
              <w:spacing w:after="0"/>
              <w:rPr>
                <w:sz w:val="20"/>
                <w:szCs w:val="20"/>
                <w:color w:val="auto"/>
              </w:rPr>
            </w:pPr>
            <w:r>
              <w:rPr>
                <w:rFonts w:ascii="Arial" w:cs="Arial" w:eastAsia="Arial" w:hAnsi="Arial"/>
                <w:sz w:val="18"/>
                <w:szCs w:val="18"/>
                <w:color w:val="auto"/>
                <w:w w:val="91"/>
              </w:rPr>
              <w:t>(Registrant’s Telephone Number, Including Area Code)</w:t>
            </w:r>
          </w:p>
        </w:tc>
        <w:tc>
          <w:tcPr>
            <w:tcW w:w="1680" w:type="dxa"/>
            <w:vAlign w:val="bottom"/>
          </w:tcPr>
          <w:p>
            <w:pPr>
              <w:spacing w:after="0"/>
              <w:rPr>
                <w:sz w:val="20"/>
                <w:szCs w:val="20"/>
                <w:color w:val="auto"/>
              </w:rPr>
            </w:pPr>
          </w:p>
        </w:tc>
      </w:tr>
      <w:tr>
        <w:trPr>
          <w:trHeight w:val="418"/>
        </w:trPr>
        <w:tc>
          <w:tcPr>
            <w:tcW w:w="2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900" w:type="dxa"/>
            <w:vAlign w:val="bottom"/>
            <w:gridSpan w:val="2"/>
          </w:tcPr>
          <w:p>
            <w:pPr>
              <w:jc w:val="center"/>
              <w:ind w:right="1520"/>
              <w:spacing w:after="0"/>
              <w:rPr>
                <w:sz w:val="20"/>
                <w:szCs w:val="20"/>
                <w:color w:val="auto"/>
              </w:rPr>
            </w:pPr>
            <w:r>
              <w:rPr>
                <w:rFonts w:ascii="Arial" w:cs="Arial" w:eastAsia="Arial" w:hAnsi="Arial"/>
                <w:sz w:val="18"/>
                <w:szCs w:val="18"/>
                <w:b w:val="1"/>
                <w:bCs w:val="1"/>
                <w:color w:val="auto"/>
                <w:w w:val="96"/>
              </w:rPr>
              <w:t>N/A</w:t>
            </w:r>
          </w:p>
        </w:tc>
        <w:tc>
          <w:tcPr>
            <w:tcW w:w="1680" w:type="dxa"/>
            <w:vAlign w:val="bottom"/>
          </w:tcPr>
          <w:p>
            <w:pPr>
              <w:spacing w:after="0"/>
              <w:rPr>
                <w:sz w:val="24"/>
                <w:szCs w:val="24"/>
                <w:color w:val="auto"/>
              </w:rPr>
            </w:pPr>
          </w:p>
        </w:tc>
      </w:tr>
      <w:tr>
        <w:trPr>
          <w:trHeight w:val="230"/>
        </w:trPr>
        <w:tc>
          <w:tcPr>
            <w:tcW w:w="2140" w:type="dxa"/>
            <w:vAlign w:val="bottom"/>
          </w:tcPr>
          <w:p>
            <w:pPr>
              <w:spacing w:after="0"/>
              <w:rPr>
                <w:sz w:val="20"/>
                <w:szCs w:val="20"/>
                <w:color w:val="auto"/>
              </w:rPr>
            </w:pPr>
          </w:p>
        </w:tc>
        <w:tc>
          <w:tcPr>
            <w:tcW w:w="5240" w:type="dxa"/>
            <w:vAlign w:val="bottom"/>
            <w:gridSpan w:val="3"/>
          </w:tcPr>
          <w:p>
            <w:pPr>
              <w:jc w:val="center"/>
              <w:ind w:right="18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168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222885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ind w:firstLine="456"/>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197" w:lineRule="exact"/>
        <w:rPr>
          <w:sz w:val="24"/>
          <w:szCs w:val="24"/>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383540</wp:posOffset>
            </wp:positionV>
            <wp:extent cx="72466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20"/>
          </w:cols>
          <w:pgMar w:left="240" w:top="409" w:right="33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June 15, 2016, LivaNova PLC (the “Company” or “LivaNova”) held its 2016 Annual General Meeting of Shareholders (the “AGM”) in London, United Kingdom. A quorum was present at the AGM.</w:t>
      </w:r>
    </w:p>
    <w:p>
      <w:pPr>
        <w:spacing w:after="0" w:line="19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At the Company’s AGM, LivaNova’s shareholders considered ten proposals as more fully described in the Company’s 2016 Proxy Statement and as summarized below. Each of the ordinary resolutions 1-9 and the special resolution number 10 was adopted. The number of votes cast for and against, as well as the number of abstentions as to each such resolution, are set forth below.</w:t>
      </w:r>
    </w:p>
    <w:p>
      <w:pPr>
        <w:spacing w:after="0" w:line="181" w:lineRule="exact"/>
        <w:rPr>
          <w:sz w:val="20"/>
          <w:szCs w:val="20"/>
          <w:color w:val="auto"/>
        </w:rPr>
      </w:pPr>
    </w:p>
    <w:p>
      <w:pPr>
        <w:ind w:right="180" w:firstLine="8"/>
        <w:spacing w:after="0" w:line="277" w:lineRule="auto"/>
        <w:tabs>
          <w:tab w:leader="none" w:pos="675" w:val="left"/>
        </w:tabs>
        <w:numPr>
          <w:ilvl w:val="0"/>
          <w:numId w:val="2"/>
        </w:numPr>
        <w:rPr>
          <w:rFonts w:ascii="Arial" w:cs="Arial" w:eastAsia="Arial" w:hAnsi="Arial"/>
          <w:sz w:val="18"/>
          <w:szCs w:val="18"/>
          <w:color w:val="auto"/>
        </w:rPr>
      </w:pPr>
      <w:r>
        <w:rPr>
          <w:rFonts w:ascii="Arial" w:cs="Arial" w:eastAsia="Arial" w:hAnsi="Arial"/>
          <w:sz w:val="18"/>
          <w:szCs w:val="18"/>
          <w:color w:val="auto"/>
        </w:rPr>
        <w:t>Ordinary resolution to receive and adopt the Company’s audited UK statutory accounts for the period ended December 31, 2015, together with the reports of the directors and the auditors thereon (the “UK annual report and accounts”).</w:t>
      </w:r>
    </w:p>
    <w:p>
      <w:pPr>
        <w:spacing w:after="0" w:line="193" w:lineRule="exact"/>
        <w:rPr>
          <w:sz w:val="20"/>
          <w:szCs w:val="20"/>
          <w:color w:val="auto"/>
        </w:rPr>
      </w:pPr>
    </w:p>
    <w:tbl>
      <w:tblPr>
        <w:tblLayout w:type="fixed"/>
        <w:tblInd w:w="920" w:type="dxa"/>
        <w:tblCellMar>
          <w:top w:w="0" w:type="dxa"/>
          <w:left w:w="0" w:type="dxa"/>
          <w:bottom w:w="0" w:type="dxa"/>
          <w:right w:w="0" w:type="dxa"/>
        </w:tblCellMar>
      </w:tblPr>
      <w:tr>
        <w:trPr>
          <w:trHeight w:val="241"/>
        </w:trPr>
        <w:tc>
          <w:tcPr>
            <w:tcW w:w="35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Votes For</w:t>
            </w:r>
          </w:p>
        </w:tc>
        <w:tc>
          <w:tcPr>
            <w:tcW w:w="3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Votes Against</w:t>
            </w:r>
          </w:p>
        </w:tc>
        <w:tc>
          <w:tcPr>
            <w:tcW w:w="2860" w:type="dxa"/>
            <w:vAlign w:val="bottom"/>
          </w:tcPr>
          <w:p>
            <w:pPr>
              <w:jc w:val="center"/>
              <w:spacing w:after="0"/>
              <w:rPr>
                <w:sz w:val="20"/>
                <w:szCs w:val="20"/>
                <w:color w:val="auto"/>
              </w:rPr>
            </w:pPr>
            <w:r>
              <w:rPr>
                <w:rFonts w:ascii="Arial" w:cs="Arial" w:eastAsia="Arial" w:hAnsi="Arial"/>
                <w:sz w:val="18"/>
                <w:szCs w:val="18"/>
                <w:b w:val="1"/>
                <w:bCs w:val="1"/>
                <w:color w:val="auto"/>
                <w:w w:val="86"/>
              </w:rPr>
              <w:t>Votes Abstained</w:t>
            </w:r>
          </w:p>
        </w:tc>
      </w:tr>
      <w:tr>
        <w:trPr>
          <w:trHeight w:val="95"/>
        </w:trPr>
        <w:tc>
          <w:tcPr>
            <w:tcW w:w="336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94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860" w:type="dxa"/>
            <w:vAlign w:val="bottom"/>
            <w:tcBorders>
              <w:top w:val="single" w:sz="8" w:color="auto"/>
            </w:tcBorders>
          </w:tcPr>
          <w:p>
            <w:pPr>
              <w:spacing w:after="0"/>
              <w:rPr>
                <w:sz w:val="8"/>
                <w:szCs w:val="8"/>
                <w:color w:val="auto"/>
              </w:rPr>
            </w:pPr>
          </w:p>
        </w:tc>
      </w:tr>
      <w:tr>
        <w:trPr>
          <w:trHeight w:val="216"/>
        </w:trPr>
        <w:tc>
          <w:tcPr>
            <w:tcW w:w="3360" w:type="dxa"/>
            <w:vAlign w:val="bottom"/>
            <w:shd w:val="clear" w:color="auto" w:fill="CCEEFF"/>
          </w:tcPr>
          <w:p>
            <w:pPr>
              <w:jc w:val="right"/>
              <w:ind w:right="1170"/>
              <w:spacing w:after="0"/>
              <w:rPr>
                <w:sz w:val="20"/>
                <w:szCs w:val="20"/>
                <w:color w:val="auto"/>
              </w:rPr>
            </w:pPr>
            <w:r>
              <w:rPr>
                <w:rFonts w:ascii="Arial" w:cs="Arial" w:eastAsia="Arial" w:hAnsi="Arial"/>
                <w:sz w:val="18"/>
                <w:szCs w:val="18"/>
                <w:color w:val="auto"/>
              </w:rPr>
              <w:t>37,090,847</w:t>
            </w:r>
          </w:p>
        </w:tc>
        <w:tc>
          <w:tcPr>
            <w:tcW w:w="220" w:type="dxa"/>
            <w:vAlign w:val="bottom"/>
            <w:shd w:val="clear" w:color="auto" w:fill="CCEEFF"/>
          </w:tcPr>
          <w:p>
            <w:pPr>
              <w:spacing w:after="0"/>
              <w:rPr>
                <w:sz w:val="18"/>
                <w:szCs w:val="18"/>
                <w:color w:val="auto"/>
              </w:rPr>
            </w:pPr>
          </w:p>
        </w:tc>
        <w:tc>
          <w:tcPr>
            <w:tcW w:w="2940" w:type="dxa"/>
            <w:vAlign w:val="bottom"/>
            <w:shd w:val="clear" w:color="auto" w:fill="CCEEFF"/>
          </w:tcPr>
          <w:p>
            <w:pPr>
              <w:jc w:val="right"/>
              <w:ind w:right="1130"/>
              <w:spacing w:after="0"/>
              <w:rPr>
                <w:sz w:val="20"/>
                <w:szCs w:val="20"/>
                <w:color w:val="auto"/>
              </w:rPr>
            </w:pPr>
            <w:r>
              <w:rPr>
                <w:rFonts w:ascii="Arial" w:cs="Arial" w:eastAsia="Arial" w:hAnsi="Arial"/>
                <w:sz w:val="18"/>
                <w:szCs w:val="18"/>
                <w:color w:val="auto"/>
              </w:rPr>
              <w:t>12,756</w:t>
            </w:r>
          </w:p>
        </w:tc>
        <w:tc>
          <w:tcPr>
            <w:tcW w:w="200" w:type="dxa"/>
            <w:vAlign w:val="bottom"/>
            <w:shd w:val="clear" w:color="auto" w:fill="CCEEFF"/>
          </w:tcPr>
          <w:p>
            <w:pPr>
              <w:spacing w:after="0"/>
              <w:rPr>
                <w:sz w:val="18"/>
                <w:szCs w:val="18"/>
                <w:color w:val="auto"/>
              </w:rPr>
            </w:pPr>
          </w:p>
        </w:tc>
        <w:tc>
          <w:tcPr>
            <w:tcW w:w="286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rPr>
              <w:t>243,914</w:t>
            </w:r>
          </w:p>
        </w:tc>
      </w:tr>
    </w:tbl>
    <w:p>
      <w:pPr>
        <w:spacing w:after="0" w:line="202" w:lineRule="exact"/>
        <w:rPr>
          <w:sz w:val="20"/>
          <w:szCs w:val="20"/>
          <w:color w:val="auto"/>
        </w:rPr>
      </w:pPr>
    </w:p>
    <w:p>
      <w:pPr>
        <w:ind w:right="380" w:firstLine="8"/>
        <w:spacing w:after="0" w:line="342" w:lineRule="auto"/>
        <w:tabs>
          <w:tab w:leader="none" w:pos="675" w:val="left"/>
        </w:tabs>
        <w:numPr>
          <w:ilvl w:val="0"/>
          <w:numId w:val="3"/>
        </w:numPr>
        <w:rPr>
          <w:rFonts w:ascii="Arial" w:cs="Arial" w:eastAsia="Arial" w:hAnsi="Arial"/>
          <w:sz w:val="16"/>
          <w:szCs w:val="16"/>
          <w:color w:val="auto"/>
        </w:rPr>
      </w:pPr>
      <w:r>
        <w:rPr>
          <w:rFonts w:ascii="Arial" w:cs="Arial" w:eastAsia="Arial" w:hAnsi="Arial"/>
          <w:sz w:val="16"/>
          <w:szCs w:val="16"/>
          <w:color w:val="auto"/>
        </w:rPr>
        <w:t>Ordinary resolution to approve the directors’ remuneration report (excluding the directors’ remuneration policy, set out on pages 63 to 75 of the directors’ remuneration report) in the form set out in the Company’s UK annual report and accounts for the period ended December 31, 2015.</w:t>
      </w:r>
    </w:p>
    <w:p>
      <w:pPr>
        <w:spacing w:after="0" w:line="147" w:lineRule="exact"/>
        <w:rPr>
          <w:sz w:val="20"/>
          <w:szCs w:val="20"/>
          <w:color w:val="auto"/>
        </w:rPr>
      </w:pPr>
    </w:p>
    <w:tbl>
      <w:tblPr>
        <w:tblLayout w:type="fixed"/>
        <w:tblInd w:w="920" w:type="dxa"/>
        <w:tblCellMar>
          <w:top w:w="0" w:type="dxa"/>
          <w:left w:w="0" w:type="dxa"/>
          <w:bottom w:w="0" w:type="dxa"/>
          <w:right w:w="0" w:type="dxa"/>
        </w:tblCellMar>
      </w:tblPr>
      <w:tr>
        <w:trPr>
          <w:trHeight w:val="241"/>
        </w:trPr>
        <w:tc>
          <w:tcPr>
            <w:tcW w:w="35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Votes For</w:t>
            </w:r>
          </w:p>
        </w:tc>
        <w:tc>
          <w:tcPr>
            <w:tcW w:w="3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Votes Against</w:t>
            </w:r>
          </w:p>
        </w:tc>
        <w:tc>
          <w:tcPr>
            <w:tcW w:w="2860" w:type="dxa"/>
            <w:vAlign w:val="bottom"/>
          </w:tcPr>
          <w:p>
            <w:pPr>
              <w:jc w:val="center"/>
              <w:spacing w:after="0"/>
              <w:rPr>
                <w:sz w:val="20"/>
                <w:szCs w:val="20"/>
                <w:color w:val="auto"/>
              </w:rPr>
            </w:pPr>
            <w:r>
              <w:rPr>
                <w:rFonts w:ascii="Arial" w:cs="Arial" w:eastAsia="Arial" w:hAnsi="Arial"/>
                <w:sz w:val="18"/>
                <w:szCs w:val="18"/>
                <w:b w:val="1"/>
                <w:bCs w:val="1"/>
                <w:color w:val="auto"/>
                <w:w w:val="86"/>
              </w:rPr>
              <w:t>Votes Abstained</w:t>
            </w:r>
          </w:p>
        </w:tc>
      </w:tr>
      <w:tr>
        <w:trPr>
          <w:trHeight w:val="95"/>
        </w:trPr>
        <w:tc>
          <w:tcPr>
            <w:tcW w:w="336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94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860" w:type="dxa"/>
            <w:vAlign w:val="bottom"/>
            <w:tcBorders>
              <w:top w:val="single" w:sz="8" w:color="auto"/>
            </w:tcBorders>
          </w:tcPr>
          <w:p>
            <w:pPr>
              <w:spacing w:after="0"/>
              <w:rPr>
                <w:sz w:val="8"/>
                <w:szCs w:val="8"/>
                <w:color w:val="auto"/>
              </w:rPr>
            </w:pPr>
          </w:p>
        </w:tc>
      </w:tr>
      <w:tr>
        <w:trPr>
          <w:trHeight w:val="216"/>
        </w:trPr>
        <w:tc>
          <w:tcPr>
            <w:tcW w:w="3360" w:type="dxa"/>
            <w:vAlign w:val="bottom"/>
            <w:shd w:val="clear" w:color="auto" w:fill="CCEEFF"/>
          </w:tcPr>
          <w:p>
            <w:pPr>
              <w:jc w:val="right"/>
              <w:ind w:right="1190"/>
              <w:spacing w:after="0"/>
              <w:rPr>
                <w:sz w:val="20"/>
                <w:szCs w:val="20"/>
                <w:color w:val="auto"/>
              </w:rPr>
            </w:pPr>
            <w:r>
              <w:rPr>
                <w:rFonts w:ascii="Arial" w:cs="Arial" w:eastAsia="Arial" w:hAnsi="Arial"/>
                <w:sz w:val="18"/>
                <w:szCs w:val="18"/>
                <w:color w:val="auto"/>
              </w:rPr>
              <w:t>34,111,340</w:t>
            </w:r>
          </w:p>
        </w:tc>
        <w:tc>
          <w:tcPr>
            <w:tcW w:w="220" w:type="dxa"/>
            <w:vAlign w:val="bottom"/>
            <w:shd w:val="clear" w:color="auto" w:fill="CCEEFF"/>
          </w:tcPr>
          <w:p>
            <w:pPr>
              <w:spacing w:after="0"/>
              <w:rPr>
                <w:sz w:val="18"/>
                <w:szCs w:val="18"/>
                <w:color w:val="auto"/>
              </w:rPr>
            </w:pPr>
          </w:p>
        </w:tc>
        <w:tc>
          <w:tcPr>
            <w:tcW w:w="294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rPr>
              <w:t>3,191,816</w:t>
            </w:r>
          </w:p>
        </w:tc>
        <w:tc>
          <w:tcPr>
            <w:tcW w:w="200" w:type="dxa"/>
            <w:vAlign w:val="bottom"/>
            <w:shd w:val="clear" w:color="auto" w:fill="CCEEFF"/>
          </w:tcPr>
          <w:p>
            <w:pPr>
              <w:spacing w:after="0"/>
              <w:rPr>
                <w:sz w:val="18"/>
                <w:szCs w:val="18"/>
                <w:color w:val="auto"/>
              </w:rPr>
            </w:pPr>
          </w:p>
        </w:tc>
        <w:tc>
          <w:tcPr>
            <w:tcW w:w="2860" w:type="dxa"/>
            <w:vAlign w:val="bottom"/>
            <w:shd w:val="clear" w:color="auto" w:fill="CCEEFF"/>
          </w:tcPr>
          <w:p>
            <w:pPr>
              <w:jc w:val="right"/>
              <w:ind w:right="1090"/>
              <w:spacing w:after="0"/>
              <w:rPr>
                <w:sz w:val="20"/>
                <w:szCs w:val="20"/>
                <w:color w:val="auto"/>
              </w:rPr>
            </w:pPr>
            <w:r>
              <w:rPr>
                <w:rFonts w:ascii="Arial" w:cs="Arial" w:eastAsia="Arial" w:hAnsi="Arial"/>
                <w:sz w:val="18"/>
                <w:szCs w:val="18"/>
                <w:color w:val="auto"/>
              </w:rPr>
              <w:t>44,301</w:t>
            </w:r>
          </w:p>
        </w:tc>
      </w:tr>
    </w:tbl>
    <w:p>
      <w:pPr>
        <w:spacing w:after="0" w:line="202" w:lineRule="exact"/>
        <w:rPr>
          <w:sz w:val="20"/>
          <w:szCs w:val="20"/>
          <w:color w:val="auto"/>
        </w:rPr>
      </w:pPr>
    </w:p>
    <w:p>
      <w:pPr>
        <w:jc w:val="both"/>
        <w:ind w:right="120" w:firstLine="8"/>
        <w:spacing w:after="0" w:line="264" w:lineRule="auto"/>
        <w:tabs>
          <w:tab w:leader="none" w:pos="675" w:val="left"/>
        </w:tabs>
        <w:numPr>
          <w:ilvl w:val="0"/>
          <w:numId w:val="4"/>
        </w:numPr>
        <w:rPr>
          <w:rFonts w:ascii="Arial" w:cs="Arial" w:eastAsia="Arial" w:hAnsi="Arial"/>
          <w:sz w:val="18"/>
          <w:szCs w:val="18"/>
          <w:color w:val="auto"/>
        </w:rPr>
      </w:pPr>
      <w:r>
        <w:rPr>
          <w:rFonts w:ascii="Arial" w:cs="Arial" w:eastAsia="Arial" w:hAnsi="Arial"/>
          <w:sz w:val="18"/>
          <w:szCs w:val="18"/>
          <w:color w:val="auto"/>
        </w:rPr>
        <w:t>Ordinary resolution to approve the directors’ remuneration policy set out on pages 63 to 75 of the directors’ remuneration report in the form set out in the Company’s UK annual report and accounts for the period ended December 31, 2015, such policy to take effect immediately after the conclusion of the 2016 AGM.</w:t>
      </w:r>
    </w:p>
    <w:p>
      <w:pPr>
        <w:spacing w:after="0" w:line="204" w:lineRule="exact"/>
        <w:rPr>
          <w:sz w:val="20"/>
          <w:szCs w:val="20"/>
          <w:color w:val="auto"/>
        </w:rPr>
      </w:pPr>
    </w:p>
    <w:tbl>
      <w:tblPr>
        <w:tblLayout w:type="fixed"/>
        <w:tblInd w:w="920" w:type="dxa"/>
        <w:tblCellMar>
          <w:top w:w="0" w:type="dxa"/>
          <w:left w:w="0" w:type="dxa"/>
          <w:bottom w:w="0" w:type="dxa"/>
          <w:right w:w="0" w:type="dxa"/>
        </w:tblCellMar>
      </w:tblPr>
      <w:tr>
        <w:trPr>
          <w:trHeight w:val="241"/>
        </w:trPr>
        <w:tc>
          <w:tcPr>
            <w:tcW w:w="35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Votes For</w:t>
            </w:r>
          </w:p>
        </w:tc>
        <w:tc>
          <w:tcPr>
            <w:tcW w:w="3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Votes Against</w:t>
            </w:r>
          </w:p>
        </w:tc>
        <w:tc>
          <w:tcPr>
            <w:tcW w:w="2860" w:type="dxa"/>
            <w:vAlign w:val="bottom"/>
          </w:tcPr>
          <w:p>
            <w:pPr>
              <w:jc w:val="center"/>
              <w:spacing w:after="0"/>
              <w:rPr>
                <w:sz w:val="20"/>
                <w:szCs w:val="20"/>
                <w:color w:val="auto"/>
              </w:rPr>
            </w:pPr>
            <w:r>
              <w:rPr>
                <w:rFonts w:ascii="Arial" w:cs="Arial" w:eastAsia="Arial" w:hAnsi="Arial"/>
                <w:sz w:val="18"/>
                <w:szCs w:val="18"/>
                <w:b w:val="1"/>
                <w:bCs w:val="1"/>
                <w:color w:val="auto"/>
                <w:w w:val="86"/>
              </w:rPr>
              <w:t>Votes Abstained</w:t>
            </w:r>
          </w:p>
        </w:tc>
      </w:tr>
      <w:tr>
        <w:trPr>
          <w:trHeight w:val="95"/>
        </w:trPr>
        <w:tc>
          <w:tcPr>
            <w:tcW w:w="336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94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860" w:type="dxa"/>
            <w:vAlign w:val="bottom"/>
            <w:tcBorders>
              <w:top w:val="single" w:sz="8" w:color="auto"/>
            </w:tcBorders>
          </w:tcPr>
          <w:p>
            <w:pPr>
              <w:spacing w:after="0"/>
              <w:rPr>
                <w:sz w:val="8"/>
                <w:szCs w:val="8"/>
                <w:color w:val="auto"/>
              </w:rPr>
            </w:pPr>
          </w:p>
        </w:tc>
      </w:tr>
      <w:tr>
        <w:trPr>
          <w:trHeight w:val="216"/>
        </w:trPr>
        <w:tc>
          <w:tcPr>
            <w:tcW w:w="3360" w:type="dxa"/>
            <w:vAlign w:val="bottom"/>
            <w:shd w:val="clear" w:color="auto" w:fill="CCEEFF"/>
          </w:tcPr>
          <w:p>
            <w:pPr>
              <w:jc w:val="right"/>
              <w:ind w:right="1170"/>
              <w:spacing w:after="0"/>
              <w:rPr>
                <w:sz w:val="20"/>
                <w:szCs w:val="20"/>
                <w:color w:val="auto"/>
              </w:rPr>
            </w:pPr>
            <w:r>
              <w:rPr>
                <w:rFonts w:ascii="Arial" w:cs="Arial" w:eastAsia="Arial" w:hAnsi="Arial"/>
                <w:sz w:val="18"/>
                <w:szCs w:val="18"/>
                <w:color w:val="auto"/>
              </w:rPr>
              <w:t>32,806,406</w:t>
            </w:r>
          </w:p>
        </w:tc>
        <w:tc>
          <w:tcPr>
            <w:tcW w:w="220" w:type="dxa"/>
            <w:vAlign w:val="bottom"/>
            <w:shd w:val="clear" w:color="auto" w:fill="CCEEFF"/>
          </w:tcPr>
          <w:p>
            <w:pPr>
              <w:spacing w:after="0"/>
              <w:rPr>
                <w:sz w:val="18"/>
                <w:szCs w:val="18"/>
                <w:color w:val="auto"/>
              </w:rPr>
            </w:pPr>
          </w:p>
        </w:tc>
        <w:tc>
          <w:tcPr>
            <w:tcW w:w="294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rPr>
              <w:t>2,699,096</w:t>
            </w:r>
          </w:p>
        </w:tc>
        <w:tc>
          <w:tcPr>
            <w:tcW w:w="200" w:type="dxa"/>
            <w:vAlign w:val="bottom"/>
            <w:shd w:val="clear" w:color="auto" w:fill="CCEEFF"/>
          </w:tcPr>
          <w:p>
            <w:pPr>
              <w:spacing w:after="0"/>
              <w:rPr>
                <w:sz w:val="18"/>
                <w:szCs w:val="18"/>
                <w:color w:val="auto"/>
              </w:rPr>
            </w:pPr>
          </w:p>
        </w:tc>
        <w:tc>
          <w:tcPr>
            <w:tcW w:w="286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rPr>
              <w:t>1,842,015</w:t>
            </w:r>
          </w:p>
        </w:tc>
      </w:tr>
    </w:tbl>
    <w:p>
      <w:pPr>
        <w:spacing w:after="0" w:line="202" w:lineRule="exact"/>
        <w:rPr>
          <w:sz w:val="20"/>
          <w:szCs w:val="20"/>
          <w:color w:val="auto"/>
        </w:rPr>
      </w:pPr>
    </w:p>
    <w:p>
      <w:pPr>
        <w:ind w:right="240" w:firstLine="8"/>
        <w:spacing w:after="0" w:line="308" w:lineRule="auto"/>
        <w:tabs>
          <w:tab w:leader="none" w:pos="675" w:val="left"/>
        </w:tabs>
        <w:numPr>
          <w:ilvl w:val="0"/>
          <w:numId w:val="5"/>
        </w:numPr>
        <w:rPr>
          <w:rFonts w:ascii="Arial" w:cs="Arial" w:eastAsia="Arial" w:hAnsi="Arial"/>
          <w:sz w:val="17"/>
          <w:szCs w:val="17"/>
          <w:color w:val="auto"/>
        </w:rPr>
      </w:pPr>
      <w:r>
        <w:rPr>
          <w:rFonts w:ascii="Arial" w:cs="Arial" w:eastAsia="Arial" w:hAnsi="Arial"/>
          <w:sz w:val="17"/>
          <w:szCs w:val="17"/>
          <w:color w:val="auto"/>
        </w:rPr>
        <w:t>Ordinary resolution to re-appoint PricewaterhouseCoopers LP as the Company’s UK statutory auditor under the UK Companies Act 2006 to hold office from the conclusion of the AGM until the conclusion of the next general meeting at which the annual report and accounts are laid.</w:t>
      </w:r>
    </w:p>
    <w:p>
      <w:pPr>
        <w:spacing w:after="0" w:line="170" w:lineRule="exact"/>
        <w:rPr>
          <w:sz w:val="20"/>
          <w:szCs w:val="20"/>
          <w:color w:val="auto"/>
        </w:rPr>
      </w:pPr>
    </w:p>
    <w:tbl>
      <w:tblPr>
        <w:tblLayout w:type="fixed"/>
        <w:tblInd w:w="920" w:type="dxa"/>
        <w:tblCellMar>
          <w:top w:w="0" w:type="dxa"/>
          <w:left w:w="0" w:type="dxa"/>
          <w:bottom w:w="0" w:type="dxa"/>
          <w:right w:w="0" w:type="dxa"/>
        </w:tblCellMar>
      </w:tblPr>
      <w:tr>
        <w:trPr>
          <w:trHeight w:val="241"/>
        </w:trPr>
        <w:tc>
          <w:tcPr>
            <w:tcW w:w="35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Votes For</w:t>
            </w:r>
          </w:p>
        </w:tc>
        <w:tc>
          <w:tcPr>
            <w:tcW w:w="3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Votes Against</w:t>
            </w:r>
          </w:p>
        </w:tc>
        <w:tc>
          <w:tcPr>
            <w:tcW w:w="2860" w:type="dxa"/>
            <w:vAlign w:val="bottom"/>
          </w:tcPr>
          <w:p>
            <w:pPr>
              <w:jc w:val="center"/>
              <w:spacing w:after="0"/>
              <w:rPr>
                <w:sz w:val="20"/>
                <w:szCs w:val="20"/>
                <w:color w:val="auto"/>
              </w:rPr>
            </w:pPr>
            <w:r>
              <w:rPr>
                <w:rFonts w:ascii="Arial" w:cs="Arial" w:eastAsia="Arial" w:hAnsi="Arial"/>
                <w:sz w:val="18"/>
                <w:szCs w:val="18"/>
                <w:b w:val="1"/>
                <w:bCs w:val="1"/>
                <w:color w:val="auto"/>
                <w:w w:val="86"/>
              </w:rPr>
              <w:t>Votes Abstained</w:t>
            </w:r>
          </w:p>
        </w:tc>
      </w:tr>
      <w:tr>
        <w:trPr>
          <w:trHeight w:val="95"/>
        </w:trPr>
        <w:tc>
          <w:tcPr>
            <w:tcW w:w="336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94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860" w:type="dxa"/>
            <w:vAlign w:val="bottom"/>
            <w:tcBorders>
              <w:top w:val="single" w:sz="8" w:color="auto"/>
            </w:tcBorders>
          </w:tcPr>
          <w:p>
            <w:pPr>
              <w:spacing w:after="0"/>
              <w:rPr>
                <w:sz w:val="8"/>
                <w:szCs w:val="8"/>
                <w:color w:val="auto"/>
              </w:rPr>
            </w:pPr>
          </w:p>
        </w:tc>
      </w:tr>
      <w:tr>
        <w:trPr>
          <w:trHeight w:val="216"/>
        </w:trPr>
        <w:tc>
          <w:tcPr>
            <w:tcW w:w="3360" w:type="dxa"/>
            <w:vAlign w:val="bottom"/>
            <w:shd w:val="clear" w:color="auto" w:fill="CCEEFF"/>
          </w:tcPr>
          <w:p>
            <w:pPr>
              <w:jc w:val="right"/>
              <w:ind w:right="1170"/>
              <w:spacing w:after="0"/>
              <w:rPr>
                <w:sz w:val="20"/>
                <w:szCs w:val="20"/>
                <w:color w:val="auto"/>
              </w:rPr>
            </w:pPr>
            <w:r>
              <w:rPr>
                <w:rFonts w:ascii="Arial" w:cs="Arial" w:eastAsia="Arial" w:hAnsi="Arial"/>
                <w:sz w:val="18"/>
                <w:szCs w:val="18"/>
                <w:color w:val="auto"/>
              </w:rPr>
              <w:t>37,298,092</w:t>
            </w:r>
          </w:p>
        </w:tc>
        <w:tc>
          <w:tcPr>
            <w:tcW w:w="220" w:type="dxa"/>
            <w:vAlign w:val="bottom"/>
            <w:shd w:val="clear" w:color="auto" w:fill="CCEEFF"/>
          </w:tcPr>
          <w:p>
            <w:pPr>
              <w:spacing w:after="0"/>
              <w:rPr>
                <w:sz w:val="18"/>
                <w:szCs w:val="18"/>
                <w:color w:val="auto"/>
              </w:rPr>
            </w:pPr>
          </w:p>
        </w:tc>
        <w:tc>
          <w:tcPr>
            <w:tcW w:w="2940" w:type="dxa"/>
            <w:vAlign w:val="bottom"/>
            <w:shd w:val="clear" w:color="auto" w:fill="CCEEFF"/>
          </w:tcPr>
          <w:p>
            <w:pPr>
              <w:jc w:val="right"/>
              <w:ind w:right="1130"/>
              <w:spacing w:after="0"/>
              <w:rPr>
                <w:sz w:val="20"/>
                <w:szCs w:val="20"/>
                <w:color w:val="auto"/>
              </w:rPr>
            </w:pPr>
            <w:r>
              <w:rPr>
                <w:rFonts w:ascii="Arial" w:cs="Arial" w:eastAsia="Arial" w:hAnsi="Arial"/>
                <w:sz w:val="18"/>
                <w:szCs w:val="18"/>
                <w:color w:val="auto"/>
              </w:rPr>
              <w:t>17,352</w:t>
            </w:r>
          </w:p>
        </w:tc>
        <w:tc>
          <w:tcPr>
            <w:tcW w:w="200" w:type="dxa"/>
            <w:vAlign w:val="bottom"/>
            <w:shd w:val="clear" w:color="auto" w:fill="CCEEFF"/>
          </w:tcPr>
          <w:p>
            <w:pPr>
              <w:spacing w:after="0"/>
              <w:rPr>
                <w:sz w:val="18"/>
                <w:szCs w:val="18"/>
                <w:color w:val="auto"/>
              </w:rPr>
            </w:pPr>
          </w:p>
        </w:tc>
        <w:tc>
          <w:tcPr>
            <w:tcW w:w="2860" w:type="dxa"/>
            <w:vAlign w:val="bottom"/>
            <w:shd w:val="clear" w:color="auto" w:fill="CCEEFF"/>
          </w:tcPr>
          <w:p>
            <w:pPr>
              <w:jc w:val="right"/>
              <w:ind w:right="1090"/>
              <w:spacing w:after="0"/>
              <w:rPr>
                <w:sz w:val="20"/>
                <w:szCs w:val="20"/>
                <w:color w:val="auto"/>
              </w:rPr>
            </w:pPr>
            <w:r>
              <w:rPr>
                <w:rFonts w:ascii="Arial" w:cs="Arial" w:eastAsia="Arial" w:hAnsi="Arial"/>
                <w:sz w:val="18"/>
                <w:szCs w:val="18"/>
                <w:color w:val="auto"/>
              </w:rPr>
              <w:t>32,073</w:t>
            </w:r>
          </w:p>
        </w:tc>
      </w:tr>
    </w:tbl>
    <w:p>
      <w:pPr>
        <w:spacing w:after="0" w:line="202" w:lineRule="exact"/>
        <w:rPr>
          <w:sz w:val="20"/>
          <w:szCs w:val="20"/>
          <w:color w:val="auto"/>
        </w:rPr>
      </w:pPr>
    </w:p>
    <w:p>
      <w:pPr>
        <w:ind w:firstLine="8"/>
        <w:spacing w:after="0" w:line="277" w:lineRule="auto"/>
        <w:tabs>
          <w:tab w:leader="none" w:pos="675" w:val="left"/>
        </w:tabs>
        <w:numPr>
          <w:ilvl w:val="0"/>
          <w:numId w:val="6"/>
        </w:numPr>
        <w:rPr>
          <w:rFonts w:ascii="Arial" w:cs="Arial" w:eastAsia="Arial" w:hAnsi="Arial"/>
          <w:sz w:val="18"/>
          <w:szCs w:val="18"/>
          <w:color w:val="auto"/>
        </w:rPr>
      </w:pPr>
      <w:r>
        <w:rPr>
          <w:rFonts w:ascii="Arial" w:cs="Arial" w:eastAsia="Arial" w:hAnsi="Arial"/>
          <w:sz w:val="18"/>
          <w:szCs w:val="18"/>
          <w:color w:val="auto"/>
        </w:rPr>
        <w:t>Ordinary resolution to ratify the appointment of PricewaterhouseCoopers S.p.A. as the Company’s independent registered public accounting firm for the year ended 31 December 31, 2015.</w:t>
      </w:r>
    </w:p>
    <w:p>
      <w:pPr>
        <w:spacing w:after="0" w:line="193" w:lineRule="exact"/>
        <w:rPr>
          <w:sz w:val="20"/>
          <w:szCs w:val="20"/>
          <w:color w:val="auto"/>
        </w:rPr>
      </w:pPr>
    </w:p>
    <w:tbl>
      <w:tblPr>
        <w:tblLayout w:type="fixed"/>
        <w:tblInd w:w="920" w:type="dxa"/>
        <w:tblCellMar>
          <w:top w:w="0" w:type="dxa"/>
          <w:left w:w="0" w:type="dxa"/>
          <w:bottom w:w="0" w:type="dxa"/>
          <w:right w:w="0" w:type="dxa"/>
        </w:tblCellMar>
      </w:tblPr>
      <w:tr>
        <w:trPr>
          <w:trHeight w:val="241"/>
        </w:trPr>
        <w:tc>
          <w:tcPr>
            <w:tcW w:w="35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Votes For</w:t>
            </w:r>
          </w:p>
        </w:tc>
        <w:tc>
          <w:tcPr>
            <w:tcW w:w="3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Votes Against</w:t>
            </w:r>
          </w:p>
        </w:tc>
        <w:tc>
          <w:tcPr>
            <w:tcW w:w="2860" w:type="dxa"/>
            <w:vAlign w:val="bottom"/>
          </w:tcPr>
          <w:p>
            <w:pPr>
              <w:jc w:val="center"/>
              <w:spacing w:after="0"/>
              <w:rPr>
                <w:sz w:val="20"/>
                <w:szCs w:val="20"/>
                <w:color w:val="auto"/>
              </w:rPr>
            </w:pPr>
            <w:r>
              <w:rPr>
                <w:rFonts w:ascii="Arial" w:cs="Arial" w:eastAsia="Arial" w:hAnsi="Arial"/>
                <w:sz w:val="18"/>
                <w:szCs w:val="18"/>
                <w:b w:val="1"/>
                <w:bCs w:val="1"/>
                <w:color w:val="auto"/>
                <w:w w:val="86"/>
              </w:rPr>
              <w:t>Votes Abstained</w:t>
            </w:r>
          </w:p>
        </w:tc>
      </w:tr>
      <w:tr>
        <w:trPr>
          <w:trHeight w:val="95"/>
        </w:trPr>
        <w:tc>
          <w:tcPr>
            <w:tcW w:w="336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94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860" w:type="dxa"/>
            <w:vAlign w:val="bottom"/>
            <w:tcBorders>
              <w:top w:val="single" w:sz="8" w:color="auto"/>
            </w:tcBorders>
          </w:tcPr>
          <w:p>
            <w:pPr>
              <w:spacing w:after="0"/>
              <w:rPr>
                <w:sz w:val="8"/>
                <w:szCs w:val="8"/>
                <w:color w:val="auto"/>
              </w:rPr>
            </w:pPr>
          </w:p>
        </w:tc>
      </w:tr>
      <w:tr>
        <w:trPr>
          <w:trHeight w:val="216"/>
        </w:trPr>
        <w:tc>
          <w:tcPr>
            <w:tcW w:w="3360" w:type="dxa"/>
            <w:vAlign w:val="bottom"/>
            <w:shd w:val="clear" w:color="auto" w:fill="CCEEFF"/>
          </w:tcPr>
          <w:p>
            <w:pPr>
              <w:jc w:val="right"/>
              <w:ind w:right="1170"/>
              <w:spacing w:after="0"/>
              <w:rPr>
                <w:sz w:val="20"/>
                <w:szCs w:val="20"/>
                <w:color w:val="auto"/>
              </w:rPr>
            </w:pPr>
            <w:r>
              <w:rPr>
                <w:rFonts w:ascii="Arial" w:cs="Arial" w:eastAsia="Arial" w:hAnsi="Arial"/>
                <w:sz w:val="18"/>
                <w:szCs w:val="18"/>
                <w:color w:val="auto"/>
              </w:rPr>
              <w:t>37,297,926</w:t>
            </w:r>
          </w:p>
        </w:tc>
        <w:tc>
          <w:tcPr>
            <w:tcW w:w="220" w:type="dxa"/>
            <w:vAlign w:val="bottom"/>
            <w:shd w:val="clear" w:color="auto" w:fill="CCEEFF"/>
          </w:tcPr>
          <w:p>
            <w:pPr>
              <w:spacing w:after="0"/>
              <w:rPr>
                <w:sz w:val="18"/>
                <w:szCs w:val="18"/>
                <w:color w:val="auto"/>
              </w:rPr>
            </w:pPr>
          </w:p>
        </w:tc>
        <w:tc>
          <w:tcPr>
            <w:tcW w:w="2940" w:type="dxa"/>
            <w:vAlign w:val="bottom"/>
            <w:shd w:val="clear" w:color="auto" w:fill="CCEEFF"/>
          </w:tcPr>
          <w:p>
            <w:pPr>
              <w:jc w:val="right"/>
              <w:ind w:right="1130"/>
              <w:spacing w:after="0"/>
              <w:rPr>
                <w:sz w:val="20"/>
                <w:szCs w:val="20"/>
                <w:color w:val="auto"/>
              </w:rPr>
            </w:pPr>
            <w:r>
              <w:rPr>
                <w:rFonts w:ascii="Arial" w:cs="Arial" w:eastAsia="Arial" w:hAnsi="Arial"/>
                <w:sz w:val="18"/>
                <w:szCs w:val="18"/>
                <w:color w:val="auto"/>
              </w:rPr>
              <w:t>17,558</w:t>
            </w:r>
          </w:p>
        </w:tc>
        <w:tc>
          <w:tcPr>
            <w:tcW w:w="200" w:type="dxa"/>
            <w:vAlign w:val="bottom"/>
            <w:shd w:val="clear" w:color="auto" w:fill="CCEEFF"/>
          </w:tcPr>
          <w:p>
            <w:pPr>
              <w:spacing w:after="0"/>
              <w:rPr>
                <w:sz w:val="18"/>
                <w:szCs w:val="18"/>
                <w:color w:val="auto"/>
              </w:rPr>
            </w:pPr>
          </w:p>
        </w:tc>
        <w:tc>
          <w:tcPr>
            <w:tcW w:w="2860" w:type="dxa"/>
            <w:vAlign w:val="bottom"/>
            <w:shd w:val="clear" w:color="auto" w:fill="CCEEFF"/>
          </w:tcPr>
          <w:p>
            <w:pPr>
              <w:jc w:val="right"/>
              <w:ind w:right="1090"/>
              <w:spacing w:after="0"/>
              <w:rPr>
                <w:sz w:val="20"/>
                <w:szCs w:val="20"/>
                <w:color w:val="auto"/>
              </w:rPr>
            </w:pPr>
            <w:r>
              <w:rPr>
                <w:rFonts w:ascii="Arial" w:cs="Arial" w:eastAsia="Arial" w:hAnsi="Arial"/>
                <w:sz w:val="18"/>
                <w:szCs w:val="18"/>
                <w:color w:val="auto"/>
              </w:rPr>
              <w:t>32,033</w:t>
            </w:r>
          </w:p>
        </w:tc>
      </w:tr>
    </w:tbl>
    <w:p>
      <w:pPr>
        <w:sectPr>
          <w:pgSz w:w="11900" w:h="16838" w:orient="portrait"/>
          <w:cols w:equalWidth="0" w:num="1">
            <w:col w:w="11400"/>
          </w:cols>
          <w:pgMar w:left="240" w:top="270" w:right="259" w:bottom="1440" w:gutter="0" w:footer="0" w:header="0"/>
        </w:sectPr>
      </w:pPr>
    </w:p>
    <w:bookmarkStart w:id="2" w:name="page3"/>
    <w:bookmarkEnd w:id="2"/>
    <w:p>
      <w:pPr>
        <w:ind w:right="580" w:firstLine="8"/>
        <w:spacing w:after="0" w:line="308" w:lineRule="auto"/>
        <w:tabs>
          <w:tab w:leader="none" w:pos="675" w:val="left"/>
        </w:tabs>
        <w:numPr>
          <w:ilvl w:val="0"/>
          <w:numId w:val="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Ordinary resolution to authorize the directors and/or the Audit &amp; Compliance Committee of the Company to determine the remuneration of PricewaterhouseCoopers LLP, in its capacity as the Company’s UK statutory auditor under the UK Companies Act 2006.</w:t>
      </w:r>
    </w:p>
    <w:p>
      <w:pPr>
        <w:spacing w:after="0" w:line="170" w:lineRule="exact"/>
        <w:rPr>
          <w:sz w:val="20"/>
          <w:szCs w:val="20"/>
          <w:color w:val="auto"/>
        </w:rPr>
      </w:pPr>
    </w:p>
    <w:tbl>
      <w:tblPr>
        <w:tblLayout w:type="fixed"/>
        <w:tblInd w:w="920" w:type="dxa"/>
        <w:tblCellMar>
          <w:top w:w="0" w:type="dxa"/>
          <w:left w:w="0" w:type="dxa"/>
          <w:bottom w:w="0" w:type="dxa"/>
          <w:right w:w="0" w:type="dxa"/>
        </w:tblCellMar>
      </w:tblPr>
      <w:tr>
        <w:trPr>
          <w:trHeight w:val="241"/>
        </w:trPr>
        <w:tc>
          <w:tcPr>
            <w:tcW w:w="35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Votes For</w:t>
            </w:r>
          </w:p>
        </w:tc>
        <w:tc>
          <w:tcPr>
            <w:tcW w:w="3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Votes Against</w:t>
            </w:r>
          </w:p>
        </w:tc>
        <w:tc>
          <w:tcPr>
            <w:tcW w:w="2860" w:type="dxa"/>
            <w:vAlign w:val="bottom"/>
          </w:tcPr>
          <w:p>
            <w:pPr>
              <w:jc w:val="center"/>
              <w:spacing w:after="0"/>
              <w:rPr>
                <w:sz w:val="20"/>
                <w:szCs w:val="20"/>
                <w:color w:val="auto"/>
              </w:rPr>
            </w:pPr>
            <w:r>
              <w:rPr>
                <w:rFonts w:ascii="Arial" w:cs="Arial" w:eastAsia="Arial" w:hAnsi="Arial"/>
                <w:sz w:val="18"/>
                <w:szCs w:val="18"/>
                <w:b w:val="1"/>
                <w:bCs w:val="1"/>
                <w:color w:val="auto"/>
                <w:w w:val="86"/>
              </w:rPr>
              <w:t>Votes Abstained</w:t>
            </w:r>
          </w:p>
        </w:tc>
      </w:tr>
      <w:tr>
        <w:trPr>
          <w:trHeight w:val="95"/>
        </w:trPr>
        <w:tc>
          <w:tcPr>
            <w:tcW w:w="336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94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860" w:type="dxa"/>
            <w:vAlign w:val="bottom"/>
            <w:tcBorders>
              <w:top w:val="single" w:sz="8" w:color="auto"/>
            </w:tcBorders>
          </w:tcPr>
          <w:p>
            <w:pPr>
              <w:spacing w:after="0"/>
              <w:rPr>
                <w:sz w:val="8"/>
                <w:szCs w:val="8"/>
                <w:color w:val="auto"/>
              </w:rPr>
            </w:pPr>
          </w:p>
        </w:tc>
      </w:tr>
      <w:tr>
        <w:trPr>
          <w:trHeight w:val="216"/>
        </w:trPr>
        <w:tc>
          <w:tcPr>
            <w:tcW w:w="3360" w:type="dxa"/>
            <w:vAlign w:val="bottom"/>
            <w:shd w:val="clear" w:color="auto" w:fill="CCEEFF"/>
          </w:tcPr>
          <w:p>
            <w:pPr>
              <w:jc w:val="right"/>
              <w:ind w:right="1170"/>
              <w:spacing w:after="0"/>
              <w:rPr>
                <w:sz w:val="20"/>
                <w:szCs w:val="20"/>
                <w:color w:val="auto"/>
              </w:rPr>
            </w:pPr>
            <w:r>
              <w:rPr>
                <w:rFonts w:ascii="Arial" w:cs="Arial" w:eastAsia="Arial" w:hAnsi="Arial"/>
                <w:sz w:val="18"/>
                <w:szCs w:val="18"/>
                <w:color w:val="auto"/>
              </w:rPr>
              <w:t>37,291,728</w:t>
            </w:r>
          </w:p>
        </w:tc>
        <w:tc>
          <w:tcPr>
            <w:tcW w:w="220" w:type="dxa"/>
            <w:vAlign w:val="bottom"/>
            <w:shd w:val="clear" w:color="auto" w:fill="CCEEFF"/>
          </w:tcPr>
          <w:p>
            <w:pPr>
              <w:spacing w:after="0"/>
              <w:rPr>
                <w:sz w:val="18"/>
                <w:szCs w:val="18"/>
                <w:color w:val="auto"/>
              </w:rPr>
            </w:pPr>
          </w:p>
        </w:tc>
        <w:tc>
          <w:tcPr>
            <w:tcW w:w="2940" w:type="dxa"/>
            <w:vAlign w:val="bottom"/>
            <w:shd w:val="clear" w:color="auto" w:fill="CCEEFF"/>
          </w:tcPr>
          <w:p>
            <w:pPr>
              <w:jc w:val="right"/>
              <w:ind w:right="1130"/>
              <w:spacing w:after="0"/>
              <w:rPr>
                <w:sz w:val="20"/>
                <w:szCs w:val="20"/>
                <w:color w:val="auto"/>
              </w:rPr>
            </w:pPr>
            <w:r>
              <w:rPr>
                <w:rFonts w:ascii="Arial" w:cs="Arial" w:eastAsia="Arial" w:hAnsi="Arial"/>
                <w:sz w:val="18"/>
                <w:szCs w:val="18"/>
                <w:color w:val="auto"/>
              </w:rPr>
              <w:t>18,871</w:t>
            </w:r>
          </w:p>
        </w:tc>
        <w:tc>
          <w:tcPr>
            <w:tcW w:w="200" w:type="dxa"/>
            <w:vAlign w:val="bottom"/>
            <w:shd w:val="clear" w:color="auto" w:fill="CCEEFF"/>
          </w:tcPr>
          <w:p>
            <w:pPr>
              <w:spacing w:after="0"/>
              <w:rPr>
                <w:sz w:val="18"/>
                <w:szCs w:val="18"/>
                <w:color w:val="auto"/>
              </w:rPr>
            </w:pPr>
          </w:p>
        </w:tc>
        <w:tc>
          <w:tcPr>
            <w:tcW w:w="2860" w:type="dxa"/>
            <w:vAlign w:val="bottom"/>
            <w:shd w:val="clear" w:color="auto" w:fill="CCEEFF"/>
          </w:tcPr>
          <w:p>
            <w:pPr>
              <w:jc w:val="right"/>
              <w:ind w:right="1090"/>
              <w:spacing w:after="0"/>
              <w:rPr>
                <w:sz w:val="20"/>
                <w:szCs w:val="20"/>
                <w:color w:val="auto"/>
              </w:rPr>
            </w:pPr>
            <w:r>
              <w:rPr>
                <w:rFonts w:ascii="Arial" w:cs="Arial" w:eastAsia="Arial" w:hAnsi="Arial"/>
                <w:sz w:val="18"/>
                <w:szCs w:val="18"/>
                <w:color w:val="auto"/>
              </w:rPr>
              <w:t>36,918</w:t>
            </w:r>
          </w:p>
        </w:tc>
      </w:tr>
    </w:tbl>
    <w:p>
      <w:pPr>
        <w:spacing w:after="0" w:line="202" w:lineRule="exact"/>
        <w:rPr>
          <w:sz w:val="20"/>
          <w:szCs w:val="20"/>
          <w:color w:val="auto"/>
        </w:rPr>
      </w:pPr>
    </w:p>
    <w:p>
      <w:pPr>
        <w:ind w:firstLine="8"/>
        <w:spacing w:after="0" w:line="277" w:lineRule="auto"/>
        <w:tabs>
          <w:tab w:leader="none" w:pos="675" w:val="left"/>
        </w:tabs>
        <w:numPr>
          <w:ilvl w:val="0"/>
          <w:numId w:val="8"/>
        </w:numPr>
        <w:rPr>
          <w:rFonts w:ascii="Arial" w:cs="Arial" w:eastAsia="Arial" w:hAnsi="Arial"/>
          <w:sz w:val="18"/>
          <w:szCs w:val="18"/>
          <w:color w:val="auto"/>
        </w:rPr>
      </w:pPr>
      <w:r>
        <w:rPr>
          <w:rFonts w:ascii="Arial" w:cs="Arial" w:eastAsia="Arial" w:hAnsi="Arial"/>
          <w:sz w:val="18"/>
          <w:szCs w:val="18"/>
          <w:color w:val="auto"/>
        </w:rPr>
        <w:t>Ordinary resolution to approve the form of share repurchase contracts and the counterparties through which the Company may conduct repurchases on the NASDAQ Global Market, as described more fully in the proxy statement accompanying the notice of the AGM.</w:t>
      </w:r>
    </w:p>
    <w:p>
      <w:pPr>
        <w:spacing w:after="0" w:line="193" w:lineRule="exact"/>
        <w:rPr>
          <w:sz w:val="20"/>
          <w:szCs w:val="20"/>
          <w:color w:val="auto"/>
        </w:rPr>
      </w:pPr>
    </w:p>
    <w:tbl>
      <w:tblPr>
        <w:tblLayout w:type="fixed"/>
        <w:tblInd w:w="920" w:type="dxa"/>
        <w:tblCellMar>
          <w:top w:w="0" w:type="dxa"/>
          <w:left w:w="0" w:type="dxa"/>
          <w:bottom w:w="0" w:type="dxa"/>
          <w:right w:w="0" w:type="dxa"/>
        </w:tblCellMar>
      </w:tblPr>
      <w:tr>
        <w:trPr>
          <w:trHeight w:val="241"/>
        </w:trPr>
        <w:tc>
          <w:tcPr>
            <w:tcW w:w="35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Votes For</w:t>
            </w:r>
          </w:p>
        </w:tc>
        <w:tc>
          <w:tcPr>
            <w:tcW w:w="3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Votes Against</w:t>
            </w:r>
          </w:p>
        </w:tc>
        <w:tc>
          <w:tcPr>
            <w:tcW w:w="2860" w:type="dxa"/>
            <w:vAlign w:val="bottom"/>
          </w:tcPr>
          <w:p>
            <w:pPr>
              <w:jc w:val="center"/>
              <w:spacing w:after="0"/>
              <w:rPr>
                <w:sz w:val="20"/>
                <w:szCs w:val="20"/>
                <w:color w:val="auto"/>
              </w:rPr>
            </w:pPr>
            <w:r>
              <w:rPr>
                <w:rFonts w:ascii="Arial" w:cs="Arial" w:eastAsia="Arial" w:hAnsi="Arial"/>
                <w:sz w:val="18"/>
                <w:szCs w:val="18"/>
                <w:b w:val="1"/>
                <w:bCs w:val="1"/>
                <w:color w:val="auto"/>
                <w:w w:val="86"/>
              </w:rPr>
              <w:t>Votes Abstained</w:t>
            </w:r>
          </w:p>
        </w:tc>
      </w:tr>
      <w:tr>
        <w:trPr>
          <w:trHeight w:val="95"/>
        </w:trPr>
        <w:tc>
          <w:tcPr>
            <w:tcW w:w="336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94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860" w:type="dxa"/>
            <w:vAlign w:val="bottom"/>
            <w:tcBorders>
              <w:top w:val="single" w:sz="8" w:color="auto"/>
            </w:tcBorders>
          </w:tcPr>
          <w:p>
            <w:pPr>
              <w:spacing w:after="0"/>
              <w:rPr>
                <w:sz w:val="8"/>
                <w:szCs w:val="8"/>
                <w:color w:val="auto"/>
              </w:rPr>
            </w:pPr>
          </w:p>
        </w:tc>
      </w:tr>
      <w:tr>
        <w:trPr>
          <w:trHeight w:val="216"/>
        </w:trPr>
        <w:tc>
          <w:tcPr>
            <w:tcW w:w="3360" w:type="dxa"/>
            <w:vAlign w:val="bottom"/>
            <w:shd w:val="clear" w:color="auto" w:fill="CCEEFF"/>
          </w:tcPr>
          <w:p>
            <w:pPr>
              <w:jc w:val="right"/>
              <w:ind w:right="1170"/>
              <w:spacing w:after="0"/>
              <w:rPr>
                <w:sz w:val="20"/>
                <w:szCs w:val="20"/>
                <w:color w:val="auto"/>
              </w:rPr>
            </w:pPr>
            <w:r>
              <w:rPr>
                <w:rFonts w:ascii="Arial" w:cs="Arial" w:eastAsia="Arial" w:hAnsi="Arial"/>
                <w:sz w:val="18"/>
                <w:szCs w:val="18"/>
                <w:color w:val="auto"/>
              </w:rPr>
              <w:t>34,617,720</w:t>
            </w:r>
          </w:p>
        </w:tc>
        <w:tc>
          <w:tcPr>
            <w:tcW w:w="220" w:type="dxa"/>
            <w:vAlign w:val="bottom"/>
            <w:shd w:val="clear" w:color="auto" w:fill="CCEEFF"/>
          </w:tcPr>
          <w:p>
            <w:pPr>
              <w:spacing w:after="0"/>
              <w:rPr>
                <w:sz w:val="18"/>
                <w:szCs w:val="18"/>
                <w:color w:val="auto"/>
              </w:rPr>
            </w:pPr>
          </w:p>
        </w:tc>
        <w:tc>
          <w:tcPr>
            <w:tcW w:w="294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rPr>
              <w:t>2,631,432</w:t>
            </w:r>
          </w:p>
        </w:tc>
        <w:tc>
          <w:tcPr>
            <w:tcW w:w="200" w:type="dxa"/>
            <w:vAlign w:val="bottom"/>
            <w:shd w:val="clear" w:color="auto" w:fill="CCEEFF"/>
          </w:tcPr>
          <w:p>
            <w:pPr>
              <w:spacing w:after="0"/>
              <w:rPr>
                <w:sz w:val="18"/>
                <w:szCs w:val="18"/>
                <w:color w:val="auto"/>
              </w:rPr>
            </w:pPr>
          </w:p>
        </w:tc>
        <w:tc>
          <w:tcPr>
            <w:tcW w:w="2860" w:type="dxa"/>
            <w:vAlign w:val="bottom"/>
            <w:shd w:val="clear" w:color="auto" w:fill="CCEEFF"/>
          </w:tcPr>
          <w:p>
            <w:pPr>
              <w:jc w:val="right"/>
              <w:ind w:right="1090"/>
              <w:spacing w:after="0"/>
              <w:rPr>
                <w:sz w:val="20"/>
                <w:szCs w:val="20"/>
                <w:color w:val="auto"/>
              </w:rPr>
            </w:pPr>
            <w:r>
              <w:rPr>
                <w:rFonts w:ascii="Arial" w:cs="Arial" w:eastAsia="Arial" w:hAnsi="Arial"/>
                <w:sz w:val="18"/>
                <w:szCs w:val="18"/>
                <w:color w:val="auto"/>
              </w:rPr>
              <w:t>98,365</w:t>
            </w:r>
          </w:p>
        </w:tc>
      </w:tr>
    </w:tbl>
    <w:p>
      <w:pPr>
        <w:spacing w:after="0" w:line="202" w:lineRule="exact"/>
        <w:rPr>
          <w:sz w:val="20"/>
          <w:szCs w:val="20"/>
          <w:color w:val="auto"/>
        </w:rPr>
      </w:pPr>
    </w:p>
    <w:p>
      <w:pPr>
        <w:ind w:firstLine="8"/>
        <w:spacing w:after="0" w:line="277" w:lineRule="auto"/>
        <w:tabs>
          <w:tab w:leader="none" w:pos="675" w:val="left"/>
        </w:tabs>
        <w:numPr>
          <w:ilvl w:val="0"/>
          <w:numId w:val="9"/>
        </w:numPr>
        <w:rPr>
          <w:rFonts w:ascii="Arial" w:cs="Arial" w:eastAsia="Arial" w:hAnsi="Arial"/>
          <w:sz w:val="18"/>
          <w:szCs w:val="18"/>
          <w:color w:val="auto"/>
        </w:rPr>
      </w:pPr>
      <w:r>
        <w:rPr>
          <w:rFonts w:ascii="Arial" w:cs="Arial" w:eastAsia="Arial" w:hAnsi="Arial"/>
          <w:sz w:val="18"/>
          <w:szCs w:val="18"/>
          <w:color w:val="auto"/>
        </w:rPr>
        <w:t>Ordinary resolution to authorize the Company to make market purchases of Ordinary Shares on the London Stock Exchange plc, as described more fully in the proxy statement accompanying the notice of the AGM.</w:t>
      </w:r>
    </w:p>
    <w:p>
      <w:pPr>
        <w:spacing w:after="0" w:line="193" w:lineRule="exact"/>
        <w:rPr>
          <w:sz w:val="20"/>
          <w:szCs w:val="20"/>
          <w:color w:val="auto"/>
        </w:rPr>
      </w:pPr>
    </w:p>
    <w:tbl>
      <w:tblPr>
        <w:tblLayout w:type="fixed"/>
        <w:tblInd w:w="920" w:type="dxa"/>
        <w:tblCellMar>
          <w:top w:w="0" w:type="dxa"/>
          <w:left w:w="0" w:type="dxa"/>
          <w:bottom w:w="0" w:type="dxa"/>
          <w:right w:w="0" w:type="dxa"/>
        </w:tblCellMar>
      </w:tblPr>
      <w:tr>
        <w:trPr>
          <w:trHeight w:val="241"/>
        </w:trPr>
        <w:tc>
          <w:tcPr>
            <w:tcW w:w="35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Votes For</w:t>
            </w:r>
          </w:p>
        </w:tc>
        <w:tc>
          <w:tcPr>
            <w:tcW w:w="3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Votes Against</w:t>
            </w:r>
          </w:p>
        </w:tc>
        <w:tc>
          <w:tcPr>
            <w:tcW w:w="2860" w:type="dxa"/>
            <w:vAlign w:val="bottom"/>
          </w:tcPr>
          <w:p>
            <w:pPr>
              <w:jc w:val="center"/>
              <w:spacing w:after="0"/>
              <w:rPr>
                <w:sz w:val="20"/>
                <w:szCs w:val="20"/>
                <w:color w:val="auto"/>
              </w:rPr>
            </w:pPr>
            <w:r>
              <w:rPr>
                <w:rFonts w:ascii="Arial" w:cs="Arial" w:eastAsia="Arial" w:hAnsi="Arial"/>
                <w:sz w:val="18"/>
                <w:szCs w:val="18"/>
                <w:b w:val="1"/>
                <w:bCs w:val="1"/>
                <w:color w:val="auto"/>
                <w:w w:val="86"/>
              </w:rPr>
              <w:t>Votes Abstained</w:t>
            </w:r>
          </w:p>
        </w:tc>
      </w:tr>
      <w:tr>
        <w:trPr>
          <w:trHeight w:val="95"/>
        </w:trPr>
        <w:tc>
          <w:tcPr>
            <w:tcW w:w="336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94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860" w:type="dxa"/>
            <w:vAlign w:val="bottom"/>
            <w:tcBorders>
              <w:top w:val="single" w:sz="8" w:color="auto"/>
            </w:tcBorders>
          </w:tcPr>
          <w:p>
            <w:pPr>
              <w:spacing w:after="0"/>
              <w:rPr>
                <w:sz w:val="8"/>
                <w:szCs w:val="8"/>
                <w:color w:val="auto"/>
              </w:rPr>
            </w:pPr>
          </w:p>
        </w:tc>
      </w:tr>
      <w:tr>
        <w:trPr>
          <w:trHeight w:val="216"/>
        </w:trPr>
        <w:tc>
          <w:tcPr>
            <w:tcW w:w="3360" w:type="dxa"/>
            <w:vAlign w:val="bottom"/>
            <w:shd w:val="clear" w:color="auto" w:fill="CCEEFF"/>
          </w:tcPr>
          <w:p>
            <w:pPr>
              <w:jc w:val="right"/>
              <w:ind w:right="1170"/>
              <w:spacing w:after="0"/>
              <w:rPr>
                <w:sz w:val="20"/>
                <w:szCs w:val="20"/>
                <w:color w:val="auto"/>
              </w:rPr>
            </w:pPr>
            <w:r>
              <w:rPr>
                <w:rFonts w:ascii="Arial" w:cs="Arial" w:eastAsia="Arial" w:hAnsi="Arial"/>
                <w:sz w:val="18"/>
                <w:szCs w:val="18"/>
                <w:color w:val="auto"/>
              </w:rPr>
              <w:t>37,234,915</w:t>
            </w:r>
          </w:p>
        </w:tc>
        <w:tc>
          <w:tcPr>
            <w:tcW w:w="220" w:type="dxa"/>
            <w:vAlign w:val="bottom"/>
            <w:shd w:val="clear" w:color="auto" w:fill="CCEEFF"/>
          </w:tcPr>
          <w:p>
            <w:pPr>
              <w:spacing w:after="0"/>
              <w:rPr>
                <w:sz w:val="18"/>
                <w:szCs w:val="18"/>
                <w:color w:val="auto"/>
              </w:rPr>
            </w:pPr>
          </w:p>
        </w:tc>
        <w:tc>
          <w:tcPr>
            <w:tcW w:w="2940" w:type="dxa"/>
            <w:vAlign w:val="bottom"/>
            <w:shd w:val="clear" w:color="auto" w:fill="CCEEFF"/>
          </w:tcPr>
          <w:p>
            <w:pPr>
              <w:jc w:val="right"/>
              <w:ind w:right="1130"/>
              <w:spacing w:after="0"/>
              <w:rPr>
                <w:sz w:val="20"/>
                <w:szCs w:val="20"/>
                <w:color w:val="auto"/>
              </w:rPr>
            </w:pPr>
            <w:r>
              <w:rPr>
                <w:rFonts w:ascii="Arial" w:cs="Arial" w:eastAsia="Arial" w:hAnsi="Arial"/>
                <w:sz w:val="18"/>
                <w:szCs w:val="18"/>
                <w:color w:val="auto"/>
              </w:rPr>
              <w:t>14,089</w:t>
            </w:r>
          </w:p>
        </w:tc>
        <w:tc>
          <w:tcPr>
            <w:tcW w:w="200" w:type="dxa"/>
            <w:vAlign w:val="bottom"/>
            <w:shd w:val="clear" w:color="auto" w:fill="CCEEFF"/>
          </w:tcPr>
          <w:p>
            <w:pPr>
              <w:spacing w:after="0"/>
              <w:rPr>
                <w:sz w:val="18"/>
                <w:szCs w:val="18"/>
                <w:color w:val="auto"/>
              </w:rPr>
            </w:pPr>
          </w:p>
        </w:tc>
        <w:tc>
          <w:tcPr>
            <w:tcW w:w="2860" w:type="dxa"/>
            <w:vAlign w:val="bottom"/>
            <w:shd w:val="clear" w:color="auto" w:fill="CCEEFF"/>
          </w:tcPr>
          <w:p>
            <w:pPr>
              <w:jc w:val="right"/>
              <w:ind w:right="1090"/>
              <w:spacing w:after="0"/>
              <w:rPr>
                <w:sz w:val="20"/>
                <w:szCs w:val="20"/>
                <w:color w:val="auto"/>
              </w:rPr>
            </w:pPr>
            <w:r>
              <w:rPr>
                <w:rFonts w:ascii="Arial" w:cs="Arial" w:eastAsia="Arial" w:hAnsi="Arial"/>
                <w:sz w:val="18"/>
                <w:szCs w:val="18"/>
                <w:color w:val="auto"/>
              </w:rPr>
              <w:t>98,513</w:t>
            </w:r>
          </w:p>
        </w:tc>
      </w:tr>
    </w:tbl>
    <w:p>
      <w:pPr>
        <w:spacing w:after="0" w:line="202" w:lineRule="exact"/>
        <w:rPr>
          <w:sz w:val="20"/>
          <w:szCs w:val="20"/>
          <w:color w:val="auto"/>
        </w:rPr>
      </w:pPr>
    </w:p>
    <w:p>
      <w:pPr>
        <w:ind w:right="20" w:firstLine="8"/>
        <w:spacing w:after="0" w:line="264" w:lineRule="auto"/>
        <w:tabs>
          <w:tab w:leader="none" w:pos="6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Ordinary resolution to authorize the Company, subject to and in accordance with the provisions of the UK Companies Act 2006, to send, convey or supply all types of notices, documents or information to shareholders by electronic means, including by making such notices, documents or information available on a website.</w:t>
      </w:r>
    </w:p>
    <w:p>
      <w:pPr>
        <w:spacing w:after="0" w:line="204" w:lineRule="exact"/>
        <w:rPr>
          <w:sz w:val="20"/>
          <w:szCs w:val="20"/>
          <w:color w:val="auto"/>
        </w:rPr>
      </w:pPr>
    </w:p>
    <w:tbl>
      <w:tblPr>
        <w:tblLayout w:type="fixed"/>
        <w:tblInd w:w="920" w:type="dxa"/>
        <w:tblCellMar>
          <w:top w:w="0" w:type="dxa"/>
          <w:left w:w="0" w:type="dxa"/>
          <w:bottom w:w="0" w:type="dxa"/>
          <w:right w:w="0" w:type="dxa"/>
        </w:tblCellMar>
      </w:tblPr>
      <w:tr>
        <w:trPr>
          <w:trHeight w:val="241"/>
        </w:trPr>
        <w:tc>
          <w:tcPr>
            <w:tcW w:w="35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Votes For</w:t>
            </w:r>
          </w:p>
        </w:tc>
        <w:tc>
          <w:tcPr>
            <w:tcW w:w="3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Votes Against</w:t>
            </w:r>
          </w:p>
        </w:tc>
        <w:tc>
          <w:tcPr>
            <w:tcW w:w="2860" w:type="dxa"/>
            <w:vAlign w:val="bottom"/>
          </w:tcPr>
          <w:p>
            <w:pPr>
              <w:jc w:val="center"/>
              <w:spacing w:after="0"/>
              <w:rPr>
                <w:sz w:val="20"/>
                <w:szCs w:val="20"/>
                <w:color w:val="auto"/>
              </w:rPr>
            </w:pPr>
            <w:r>
              <w:rPr>
                <w:rFonts w:ascii="Arial" w:cs="Arial" w:eastAsia="Arial" w:hAnsi="Arial"/>
                <w:sz w:val="18"/>
                <w:szCs w:val="18"/>
                <w:b w:val="1"/>
                <w:bCs w:val="1"/>
                <w:color w:val="auto"/>
                <w:w w:val="86"/>
              </w:rPr>
              <w:t>Votes Abstained</w:t>
            </w:r>
          </w:p>
        </w:tc>
      </w:tr>
      <w:tr>
        <w:trPr>
          <w:trHeight w:val="95"/>
        </w:trPr>
        <w:tc>
          <w:tcPr>
            <w:tcW w:w="336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94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860" w:type="dxa"/>
            <w:vAlign w:val="bottom"/>
            <w:tcBorders>
              <w:top w:val="single" w:sz="8" w:color="auto"/>
            </w:tcBorders>
          </w:tcPr>
          <w:p>
            <w:pPr>
              <w:spacing w:after="0"/>
              <w:rPr>
                <w:sz w:val="8"/>
                <w:szCs w:val="8"/>
                <w:color w:val="auto"/>
              </w:rPr>
            </w:pPr>
          </w:p>
        </w:tc>
      </w:tr>
      <w:tr>
        <w:trPr>
          <w:trHeight w:val="216"/>
        </w:trPr>
        <w:tc>
          <w:tcPr>
            <w:tcW w:w="3360" w:type="dxa"/>
            <w:vAlign w:val="bottom"/>
            <w:shd w:val="clear" w:color="auto" w:fill="CCEEFF"/>
          </w:tcPr>
          <w:p>
            <w:pPr>
              <w:jc w:val="right"/>
              <w:ind w:right="1170"/>
              <w:spacing w:after="0"/>
              <w:rPr>
                <w:sz w:val="20"/>
                <w:szCs w:val="20"/>
                <w:color w:val="auto"/>
              </w:rPr>
            </w:pPr>
            <w:r>
              <w:rPr>
                <w:rFonts w:ascii="Arial" w:cs="Arial" w:eastAsia="Arial" w:hAnsi="Arial"/>
                <w:sz w:val="18"/>
                <w:szCs w:val="18"/>
                <w:color w:val="auto"/>
              </w:rPr>
              <w:t>37,289,862</w:t>
            </w:r>
          </w:p>
        </w:tc>
        <w:tc>
          <w:tcPr>
            <w:tcW w:w="220" w:type="dxa"/>
            <w:vAlign w:val="bottom"/>
            <w:shd w:val="clear" w:color="auto" w:fill="CCEEFF"/>
          </w:tcPr>
          <w:p>
            <w:pPr>
              <w:spacing w:after="0"/>
              <w:rPr>
                <w:sz w:val="18"/>
                <w:szCs w:val="18"/>
                <w:color w:val="auto"/>
              </w:rPr>
            </w:pPr>
          </w:p>
        </w:tc>
        <w:tc>
          <w:tcPr>
            <w:tcW w:w="2940" w:type="dxa"/>
            <w:vAlign w:val="bottom"/>
            <w:shd w:val="clear" w:color="auto" w:fill="CCEEFF"/>
          </w:tcPr>
          <w:p>
            <w:pPr>
              <w:jc w:val="right"/>
              <w:ind w:right="1130"/>
              <w:spacing w:after="0"/>
              <w:rPr>
                <w:sz w:val="20"/>
                <w:szCs w:val="20"/>
                <w:color w:val="auto"/>
              </w:rPr>
            </w:pPr>
            <w:r>
              <w:rPr>
                <w:rFonts w:ascii="Arial" w:cs="Arial" w:eastAsia="Arial" w:hAnsi="Arial"/>
                <w:sz w:val="18"/>
                <w:szCs w:val="18"/>
                <w:color w:val="auto"/>
              </w:rPr>
              <w:t>14,369</w:t>
            </w:r>
          </w:p>
        </w:tc>
        <w:tc>
          <w:tcPr>
            <w:tcW w:w="200" w:type="dxa"/>
            <w:vAlign w:val="bottom"/>
            <w:shd w:val="clear" w:color="auto" w:fill="CCEEFF"/>
          </w:tcPr>
          <w:p>
            <w:pPr>
              <w:spacing w:after="0"/>
              <w:rPr>
                <w:sz w:val="18"/>
                <w:szCs w:val="18"/>
                <w:color w:val="auto"/>
              </w:rPr>
            </w:pPr>
          </w:p>
        </w:tc>
        <w:tc>
          <w:tcPr>
            <w:tcW w:w="2860" w:type="dxa"/>
            <w:vAlign w:val="bottom"/>
            <w:shd w:val="clear" w:color="auto" w:fill="CCEEFF"/>
          </w:tcPr>
          <w:p>
            <w:pPr>
              <w:jc w:val="right"/>
              <w:ind w:right="1090"/>
              <w:spacing w:after="0"/>
              <w:rPr>
                <w:sz w:val="20"/>
                <w:szCs w:val="20"/>
                <w:color w:val="auto"/>
              </w:rPr>
            </w:pPr>
            <w:r>
              <w:rPr>
                <w:rFonts w:ascii="Arial" w:cs="Arial" w:eastAsia="Arial" w:hAnsi="Arial"/>
                <w:sz w:val="18"/>
                <w:szCs w:val="18"/>
                <w:color w:val="auto"/>
              </w:rPr>
              <w:t>43,286</w:t>
            </w:r>
          </w:p>
        </w:tc>
      </w:tr>
    </w:tbl>
    <w:p>
      <w:pPr>
        <w:spacing w:after="0" w:line="202" w:lineRule="exact"/>
        <w:rPr>
          <w:sz w:val="20"/>
          <w:szCs w:val="20"/>
          <w:color w:val="auto"/>
        </w:rPr>
      </w:pPr>
    </w:p>
    <w:p>
      <w:pPr>
        <w:ind w:left="680" w:hanging="672"/>
        <w:spacing w:after="0"/>
        <w:tabs>
          <w:tab w:leader="none" w:pos="6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Special resolution to authorize the Company to call general meetings, other than an annual general meeting, on not less than 14 clear days’ notice.</w:t>
      </w:r>
    </w:p>
    <w:p>
      <w:pPr>
        <w:spacing w:after="0" w:line="271" w:lineRule="exact"/>
        <w:rPr>
          <w:sz w:val="20"/>
          <w:szCs w:val="20"/>
          <w:color w:val="auto"/>
        </w:rPr>
      </w:pPr>
    </w:p>
    <w:tbl>
      <w:tblPr>
        <w:tblLayout w:type="fixed"/>
        <w:tblInd w:w="920" w:type="dxa"/>
        <w:tblCellMar>
          <w:top w:w="0" w:type="dxa"/>
          <w:left w:w="0" w:type="dxa"/>
          <w:bottom w:w="0" w:type="dxa"/>
          <w:right w:w="0" w:type="dxa"/>
        </w:tblCellMar>
      </w:tblPr>
      <w:tr>
        <w:trPr>
          <w:trHeight w:val="241"/>
        </w:trPr>
        <w:tc>
          <w:tcPr>
            <w:tcW w:w="35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Votes For</w:t>
            </w:r>
          </w:p>
        </w:tc>
        <w:tc>
          <w:tcPr>
            <w:tcW w:w="3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Votes Against</w:t>
            </w:r>
          </w:p>
        </w:tc>
        <w:tc>
          <w:tcPr>
            <w:tcW w:w="2860" w:type="dxa"/>
            <w:vAlign w:val="bottom"/>
          </w:tcPr>
          <w:p>
            <w:pPr>
              <w:jc w:val="center"/>
              <w:spacing w:after="0"/>
              <w:rPr>
                <w:sz w:val="20"/>
                <w:szCs w:val="20"/>
                <w:color w:val="auto"/>
              </w:rPr>
            </w:pPr>
            <w:r>
              <w:rPr>
                <w:rFonts w:ascii="Arial" w:cs="Arial" w:eastAsia="Arial" w:hAnsi="Arial"/>
                <w:sz w:val="18"/>
                <w:szCs w:val="18"/>
                <w:b w:val="1"/>
                <w:bCs w:val="1"/>
                <w:color w:val="auto"/>
                <w:w w:val="86"/>
              </w:rPr>
              <w:t>Votes Abstained</w:t>
            </w:r>
          </w:p>
        </w:tc>
      </w:tr>
      <w:tr>
        <w:trPr>
          <w:trHeight w:val="95"/>
        </w:trPr>
        <w:tc>
          <w:tcPr>
            <w:tcW w:w="336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94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860" w:type="dxa"/>
            <w:vAlign w:val="bottom"/>
            <w:tcBorders>
              <w:top w:val="single" w:sz="8" w:color="auto"/>
            </w:tcBorders>
          </w:tcPr>
          <w:p>
            <w:pPr>
              <w:spacing w:after="0"/>
              <w:rPr>
                <w:sz w:val="8"/>
                <w:szCs w:val="8"/>
                <w:color w:val="auto"/>
              </w:rPr>
            </w:pPr>
          </w:p>
        </w:tc>
      </w:tr>
      <w:tr>
        <w:trPr>
          <w:trHeight w:val="216"/>
        </w:trPr>
        <w:tc>
          <w:tcPr>
            <w:tcW w:w="3360" w:type="dxa"/>
            <w:vAlign w:val="bottom"/>
            <w:shd w:val="clear" w:color="auto" w:fill="CCEEFF"/>
          </w:tcPr>
          <w:p>
            <w:pPr>
              <w:jc w:val="right"/>
              <w:ind w:right="1170"/>
              <w:spacing w:after="0"/>
              <w:rPr>
                <w:sz w:val="20"/>
                <w:szCs w:val="20"/>
                <w:color w:val="auto"/>
              </w:rPr>
            </w:pPr>
            <w:r>
              <w:rPr>
                <w:rFonts w:ascii="Arial" w:cs="Arial" w:eastAsia="Arial" w:hAnsi="Arial"/>
                <w:sz w:val="18"/>
                <w:szCs w:val="18"/>
                <w:color w:val="auto"/>
              </w:rPr>
              <w:t>31,784,141</w:t>
            </w:r>
          </w:p>
        </w:tc>
        <w:tc>
          <w:tcPr>
            <w:tcW w:w="220" w:type="dxa"/>
            <w:vAlign w:val="bottom"/>
            <w:shd w:val="clear" w:color="auto" w:fill="CCEEFF"/>
          </w:tcPr>
          <w:p>
            <w:pPr>
              <w:spacing w:after="0"/>
              <w:rPr>
                <w:sz w:val="18"/>
                <w:szCs w:val="18"/>
                <w:color w:val="auto"/>
              </w:rPr>
            </w:pPr>
          </w:p>
        </w:tc>
        <w:tc>
          <w:tcPr>
            <w:tcW w:w="294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rPr>
              <w:t>3,882,080</w:t>
            </w:r>
          </w:p>
        </w:tc>
        <w:tc>
          <w:tcPr>
            <w:tcW w:w="200" w:type="dxa"/>
            <w:vAlign w:val="bottom"/>
            <w:shd w:val="clear" w:color="auto" w:fill="CCEEFF"/>
          </w:tcPr>
          <w:p>
            <w:pPr>
              <w:spacing w:after="0"/>
              <w:rPr>
                <w:sz w:val="18"/>
                <w:szCs w:val="18"/>
                <w:color w:val="auto"/>
              </w:rPr>
            </w:pPr>
          </w:p>
        </w:tc>
        <w:tc>
          <w:tcPr>
            <w:tcW w:w="286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rPr>
              <w:t>1,681,296</w:t>
            </w: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disclosed under this Item 7.01 is being furnished and shall not be deemed “filed” for purposes of Section 18 of the United States Securities Exchange Act of 1934, as amended (the “Exchange Act”), or otherwise subject to the liabilities of that section. The information in this Item 7.01 shall not be deemed incorporated by reference into any filing under the Exchange Act or the United States Securities Act of 1933, as amended, regardless of any general incorporation language in such filing.</w:t>
      </w:r>
    </w:p>
    <w:p>
      <w:pPr>
        <w:sectPr>
          <w:pgSz w:w="11900" w:h="16838" w:orient="portrait"/>
          <w:cols w:equalWidth="0" w:num="1">
            <w:col w:w="11300"/>
          </w:cols>
          <w:pgMar w:left="240" w:top="274"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60" w:type="dxa"/>
            <w:vAlign w:val="bottom"/>
          </w:tcPr>
          <w:p>
            <w:pPr>
              <w:spacing w:after="0"/>
              <w:rPr>
                <w:sz w:val="18"/>
                <w:szCs w:val="18"/>
                <w:color w:val="auto"/>
              </w:rPr>
            </w:pPr>
          </w:p>
        </w:tc>
        <w:tc>
          <w:tcPr>
            <w:tcW w:w="7960" w:type="dxa"/>
            <w:vAlign w:val="bottom"/>
            <w:gridSpan w:val="2"/>
          </w:tcPr>
          <w:p>
            <w:pPr>
              <w:ind w:left="2020"/>
              <w:spacing w:after="0"/>
              <w:rPr>
                <w:sz w:val="20"/>
                <w:szCs w:val="20"/>
                <w:color w:val="auto"/>
              </w:rPr>
            </w:pPr>
            <w:r>
              <w:rPr>
                <w:rFonts w:ascii="Arial" w:cs="Arial" w:eastAsia="Arial" w:hAnsi="Arial"/>
                <w:sz w:val="18"/>
                <w:szCs w:val="18"/>
                <w:color w:val="auto"/>
              </w:rPr>
              <w:t>LivaNova PLC</w:t>
            </w: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Date: June 16, 2016</w:t>
            </w:r>
          </w:p>
        </w:tc>
        <w:tc>
          <w:tcPr>
            <w:tcW w:w="2600" w:type="dxa"/>
            <w:vAlign w:val="bottom"/>
          </w:tcPr>
          <w:p>
            <w:pPr>
              <w:ind w:left="2020"/>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Catherine Moroz</w:t>
            </w:r>
          </w:p>
        </w:tc>
      </w:tr>
      <w:tr>
        <w:trPr>
          <w:trHeight w:val="209"/>
        </w:trPr>
        <w:tc>
          <w:tcPr>
            <w:tcW w:w="3460" w:type="dxa"/>
            <w:vAlign w:val="bottom"/>
          </w:tcPr>
          <w:p>
            <w:pPr>
              <w:spacing w:after="0"/>
              <w:rPr>
                <w:sz w:val="18"/>
                <w:szCs w:val="18"/>
                <w:color w:val="auto"/>
              </w:rPr>
            </w:pPr>
          </w:p>
        </w:tc>
        <w:tc>
          <w:tcPr>
            <w:tcW w:w="2600" w:type="dxa"/>
            <w:vAlign w:val="bottom"/>
          </w:tcPr>
          <w:p>
            <w:pPr>
              <w:ind w:left="2020"/>
              <w:spacing w:after="0"/>
              <w:rPr>
                <w:sz w:val="20"/>
                <w:szCs w:val="20"/>
                <w:color w:val="auto"/>
              </w:rPr>
            </w:pPr>
            <w:r>
              <w:rPr>
                <w:rFonts w:ascii="Arial" w:cs="Arial" w:eastAsia="Arial" w:hAnsi="Arial"/>
                <w:sz w:val="18"/>
                <w:szCs w:val="18"/>
                <w:color w:val="auto"/>
              </w:rPr>
              <w:t>Name:</w:t>
            </w:r>
          </w:p>
        </w:tc>
        <w:tc>
          <w:tcPr>
            <w:tcW w:w="5360" w:type="dxa"/>
            <w:vAlign w:val="bottom"/>
          </w:tcPr>
          <w:p>
            <w:pPr>
              <w:spacing w:after="0"/>
              <w:rPr>
                <w:sz w:val="20"/>
                <w:szCs w:val="20"/>
                <w:color w:val="auto"/>
              </w:rPr>
            </w:pPr>
            <w:r>
              <w:rPr>
                <w:rFonts w:ascii="Arial" w:cs="Arial" w:eastAsia="Arial" w:hAnsi="Arial"/>
                <w:sz w:val="18"/>
                <w:szCs w:val="18"/>
                <w:color w:val="auto"/>
              </w:rPr>
              <w:t>Catherine Moroz</w:t>
            </w:r>
          </w:p>
        </w:tc>
      </w:tr>
      <w:tr>
        <w:trPr>
          <w:trHeight w:val="230"/>
        </w:trPr>
        <w:tc>
          <w:tcPr>
            <w:tcW w:w="3460" w:type="dxa"/>
            <w:vAlign w:val="bottom"/>
          </w:tcPr>
          <w:p>
            <w:pPr>
              <w:spacing w:after="0"/>
              <w:rPr>
                <w:sz w:val="20"/>
                <w:szCs w:val="20"/>
                <w:color w:val="auto"/>
              </w:rPr>
            </w:pPr>
          </w:p>
        </w:tc>
        <w:tc>
          <w:tcPr>
            <w:tcW w:w="2600" w:type="dxa"/>
            <w:vAlign w:val="bottom"/>
          </w:tcPr>
          <w:p>
            <w:pPr>
              <w:ind w:left="2020"/>
              <w:spacing w:after="0"/>
              <w:rPr>
                <w:sz w:val="20"/>
                <w:szCs w:val="20"/>
                <w:color w:val="auto"/>
              </w:rPr>
            </w:pPr>
            <w:r>
              <w:rPr>
                <w:rFonts w:ascii="Arial" w:cs="Arial" w:eastAsia="Arial" w:hAnsi="Arial"/>
                <w:sz w:val="18"/>
                <w:szCs w:val="18"/>
                <w:color w:val="auto"/>
              </w:rPr>
              <w:t>Title</w:t>
            </w:r>
          </w:p>
        </w:tc>
        <w:tc>
          <w:tcPr>
            <w:tcW w:w="5360" w:type="dxa"/>
            <w:vAlign w:val="bottom"/>
          </w:tcPr>
          <w:p>
            <w:pPr>
              <w:spacing w:after="0"/>
              <w:rPr>
                <w:sz w:val="20"/>
                <w:szCs w:val="20"/>
                <w:color w:val="auto"/>
              </w:rPr>
            </w:pPr>
            <w:r>
              <w:rPr>
                <w:rFonts w:ascii="Arial" w:cs="Arial" w:eastAsia="Arial" w:hAnsi="Arial"/>
                <w:sz w:val="18"/>
                <w:szCs w:val="18"/>
                <w:color w:val="auto"/>
              </w:rPr>
              <w:t>Deputy Company Secretary</w:t>
            </w:r>
          </w:p>
        </w:tc>
      </w:tr>
    </w:tbl>
    <w:p>
      <w:pPr>
        <w:spacing w:after="0" w:line="1" w:lineRule="exact"/>
        <w:rPr>
          <w:sz w:val="20"/>
          <w:szCs w:val="20"/>
          <w:color w:val="auto"/>
        </w:rPr>
      </w:pP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2"/>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4"/>
    </w:lvl>
  </w:abstractNum>
  <w:abstractNum w:abstractNumId="5">
    <w:nsid w:val="515F007C"/>
    <w:multiLevelType w:val="hybridMultilevel"/>
    <w:lvl w:ilvl="0">
      <w:lvlJc w:val="left"/>
      <w:lvlText w:val="%1."/>
      <w:numFmt w:val="decimal"/>
      <w:start w:val="5"/>
    </w:lvl>
  </w:abstractNum>
  <w:abstractNum w:abstractNumId="6">
    <w:nsid w:val="5BD062C2"/>
    <w:multiLevelType w:val="hybridMultilevel"/>
    <w:lvl w:ilvl="0">
      <w:lvlJc w:val="left"/>
      <w:lvlText w:val="%1."/>
      <w:numFmt w:val="decimal"/>
      <w:start w:val="6"/>
    </w:lvl>
  </w:abstractNum>
  <w:abstractNum w:abstractNumId="7">
    <w:nsid w:val="12200854"/>
    <w:multiLevelType w:val="hybridMultilevel"/>
    <w:lvl w:ilvl="0">
      <w:lvlJc w:val="left"/>
      <w:lvlText w:val="%1."/>
      <w:numFmt w:val="decimal"/>
      <w:start w:val="7"/>
    </w:lvl>
  </w:abstractNum>
  <w:abstractNum w:abstractNumId="8">
    <w:nsid w:val="4DB127F8"/>
    <w:multiLevelType w:val="hybridMultilevel"/>
    <w:lvl w:ilvl="0">
      <w:lvlJc w:val="left"/>
      <w:lvlText w:val="%1."/>
      <w:numFmt w:val="decimal"/>
      <w:start w:val="8"/>
    </w:lvl>
  </w:abstractNum>
  <w:abstractNum w:abstractNumId="9">
    <w:nsid w:val="216231B"/>
    <w:multiLevelType w:val="hybridMultilevel"/>
    <w:lvl w:ilvl="0">
      <w:lvlJc w:val="left"/>
      <w:lvlText w:val="%1."/>
      <w:numFmt w:val="decimal"/>
      <w:start w:val="9"/>
    </w:lvl>
  </w:abstractNum>
  <w:abstractNum w:abstractNumId="10">
    <w:nsid w:val="1F16E9E8"/>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2019-12-09T02:44:08Z</dcterms:created>
  <dcterms:modified xsi:type="dcterms:W3CDTF">2019-12-09T02:44:08Z</dcterms:modified>
</cp:coreProperties>
</file>