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429895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2842895</wp:posOffset>
            </wp:positionH>
            <wp:positionV relativeFrom="paragraph">
              <wp:posOffset>170180</wp:posOffset>
            </wp:positionV>
            <wp:extent cx="1465580" cy="460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5580" cy="4603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3" w:lineRule="exact"/>
        <w:rPr>
          <w:sz w:val="24"/>
          <w:szCs w:val="24"/>
          <w:color w:val="auto"/>
        </w:rPr>
      </w:pPr>
    </w:p>
    <w:tbl>
      <w:tblPr>
        <w:tblLayout w:type="fixed"/>
        <w:tblInd w:w="1320" w:type="dxa"/>
        <w:tblCellMar>
          <w:top w:w="0" w:type="dxa"/>
          <w:left w:w="0" w:type="dxa"/>
          <w:bottom w:w="0" w:type="dxa"/>
          <w:right w:w="0" w:type="dxa"/>
        </w:tblCellMar>
      </w:tblPr>
      <w:tr>
        <w:trPr>
          <w:trHeight w:val="237"/>
        </w:trPr>
        <w:tc>
          <w:tcPr>
            <w:tcW w:w="214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4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8"/>
              </w:rPr>
              <w:t>98-1268150</w:t>
            </w:r>
          </w:p>
        </w:tc>
      </w:tr>
      <w:tr>
        <w:trPr>
          <w:trHeight w:val="250"/>
        </w:trPr>
        <w:tc>
          <w:tcPr>
            <w:tcW w:w="214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4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(IRS Employer</w:t>
            </w:r>
          </w:p>
        </w:tc>
      </w:tr>
      <w:tr>
        <w:trPr>
          <w:trHeight w:val="233"/>
        </w:trPr>
        <w:tc>
          <w:tcPr>
            <w:tcW w:w="21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of Incorporation)</w:t>
            </w:r>
          </w:p>
        </w:tc>
        <w:tc>
          <w:tcPr>
            <w:tcW w:w="44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File Number)</w:t>
            </w:r>
          </w:p>
        </w:tc>
        <w:tc>
          <w:tcPr>
            <w:tcW w:w="166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4"/>
        </w:trPr>
        <w:tc>
          <w:tcPr>
            <w:tcW w:w="2140" w:type="dxa"/>
            <w:vAlign w:val="bottom"/>
          </w:tcPr>
          <w:p>
            <w:pPr>
              <w:spacing w:after="0"/>
              <w:rPr>
                <w:sz w:val="24"/>
                <w:szCs w:val="24"/>
                <w:color w:val="auto"/>
              </w:rPr>
            </w:pPr>
          </w:p>
        </w:tc>
        <w:tc>
          <w:tcPr>
            <w:tcW w:w="44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20 Eastbourne Terrace</w:t>
            </w:r>
          </w:p>
        </w:tc>
        <w:tc>
          <w:tcPr>
            <w:tcW w:w="1660" w:type="dxa"/>
            <w:vAlign w:val="bottom"/>
          </w:tcPr>
          <w:p>
            <w:pPr>
              <w:spacing w:after="0"/>
              <w:rPr>
                <w:sz w:val="24"/>
                <w:szCs w:val="24"/>
                <w:color w:val="auto"/>
              </w:rPr>
            </w:pPr>
          </w:p>
        </w:tc>
      </w:tr>
      <w:tr>
        <w:trPr>
          <w:trHeight w:val="215"/>
        </w:trPr>
        <w:tc>
          <w:tcPr>
            <w:tcW w:w="2140" w:type="dxa"/>
            <w:vAlign w:val="bottom"/>
          </w:tcPr>
          <w:p>
            <w:pPr>
              <w:spacing w:after="0"/>
              <w:rPr>
                <w:sz w:val="18"/>
                <w:szCs w:val="18"/>
                <w:color w:val="auto"/>
              </w:rPr>
            </w:pPr>
          </w:p>
        </w:tc>
        <w:tc>
          <w:tcPr>
            <w:tcW w:w="44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London, W2 6LG</w:t>
            </w:r>
          </w:p>
        </w:tc>
        <w:tc>
          <w:tcPr>
            <w:tcW w:w="1660" w:type="dxa"/>
            <w:vAlign w:val="bottom"/>
          </w:tcPr>
          <w:p>
            <w:pPr>
              <w:spacing w:after="0"/>
              <w:rPr>
                <w:sz w:val="18"/>
                <w:szCs w:val="18"/>
                <w:color w:val="auto"/>
              </w:rPr>
            </w:pPr>
          </w:p>
        </w:tc>
      </w:tr>
      <w:tr>
        <w:trPr>
          <w:trHeight w:val="219"/>
        </w:trPr>
        <w:tc>
          <w:tcPr>
            <w:tcW w:w="2140" w:type="dxa"/>
            <w:vAlign w:val="bottom"/>
          </w:tcPr>
          <w:p>
            <w:pPr>
              <w:spacing w:after="0"/>
              <w:rPr>
                <w:sz w:val="19"/>
                <w:szCs w:val="19"/>
                <w:color w:val="auto"/>
              </w:rPr>
            </w:pPr>
          </w:p>
        </w:tc>
        <w:tc>
          <w:tcPr>
            <w:tcW w:w="448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3"/>
        </w:trPr>
        <w:tc>
          <w:tcPr>
            <w:tcW w:w="2140" w:type="dxa"/>
            <w:vAlign w:val="bottom"/>
          </w:tcPr>
          <w:p>
            <w:pPr>
              <w:spacing w:after="0"/>
              <w:rPr>
                <w:sz w:val="20"/>
                <w:szCs w:val="20"/>
                <w:color w:val="auto"/>
              </w:rPr>
            </w:pPr>
          </w:p>
        </w:tc>
        <w:tc>
          <w:tcPr>
            <w:tcW w:w="448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60" w:type="dxa"/>
            <w:vAlign w:val="bottom"/>
          </w:tcPr>
          <w:p>
            <w:pPr>
              <w:spacing w:after="0"/>
              <w:rPr>
                <w:sz w:val="20"/>
                <w:szCs w:val="20"/>
                <w:color w:val="auto"/>
              </w:rPr>
            </w:pPr>
          </w:p>
        </w:tc>
      </w:tr>
      <w:tr>
        <w:trPr>
          <w:trHeight w:val="438"/>
        </w:trPr>
        <w:tc>
          <w:tcPr>
            <w:tcW w:w="2140" w:type="dxa"/>
            <w:vAlign w:val="bottom"/>
          </w:tcPr>
          <w:p>
            <w:pPr>
              <w:spacing w:after="0"/>
              <w:rPr>
                <w:sz w:val="24"/>
                <w:szCs w:val="24"/>
                <w:color w:val="auto"/>
              </w:rPr>
            </w:pPr>
          </w:p>
        </w:tc>
        <w:tc>
          <w:tcPr>
            <w:tcW w:w="44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+44 20 33250660</w:t>
            </w:r>
          </w:p>
        </w:tc>
        <w:tc>
          <w:tcPr>
            <w:tcW w:w="1660" w:type="dxa"/>
            <w:vAlign w:val="bottom"/>
          </w:tcPr>
          <w:p>
            <w:pPr>
              <w:spacing w:after="0"/>
              <w:rPr>
                <w:sz w:val="24"/>
                <w:szCs w:val="24"/>
                <w:color w:val="auto"/>
              </w:rPr>
            </w:pPr>
          </w:p>
        </w:tc>
      </w:tr>
      <w:tr>
        <w:trPr>
          <w:trHeight w:val="233"/>
        </w:trPr>
        <w:tc>
          <w:tcPr>
            <w:tcW w:w="2140" w:type="dxa"/>
            <w:vAlign w:val="bottom"/>
          </w:tcPr>
          <w:p>
            <w:pPr>
              <w:spacing w:after="0"/>
              <w:rPr>
                <w:sz w:val="20"/>
                <w:szCs w:val="20"/>
                <w:color w:val="auto"/>
              </w:rPr>
            </w:pPr>
          </w:p>
        </w:tc>
        <w:tc>
          <w:tcPr>
            <w:tcW w:w="44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c>
          <w:tcPr>
            <w:tcW w:w="1660" w:type="dxa"/>
            <w:vAlign w:val="bottom"/>
          </w:tcPr>
          <w:p>
            <w:pPr>
              <w:spacing w:after="0"/>
              <w:rPr>
                <w:sz w:val="20"/>
                <w:szCs w:val="20"/>
                <w:color w:val="auto"/>
              </w:rPr>
            </w:pPr>
          </w:p>
        </w:tc>
      </w:tr>
    </w:tbl>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1" w:lineRule="exact"/>
        <w:rPr>
          <w:sz w:val="24"/>
          <w:szCs w:val="24"/>
          <w:color w:val="auto"/>
        </w:rPr>
      </w:pPr>
    </w:p>
    <w:p>
      <w:pPr>
        <w:ind w:right="440"/>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0"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7"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7"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7" w:lineRule="exact"/>
        <w:rPr>
          <w:rFonts w:ascii="MS PGothic" w:cs="MS PGothic" w:eastAsia="MS PGothic" w:hAnsi="MS PGothic"/>
          <w:sz w:val="21"/>
          <w:szCs w:val="21"/>
          <w:color w:val="auto"/>
        </w:rPr>
      </w:pPr>
    </w:p>
    <w:p>
      <w:pPr>
        <w:ind w:right="3000" w:firstLine="7"/>
        <w:spacing w:after="0" w:line="403" w:lineRule="auto"/>
        <w:tabs>
          <w:tab w:leader="none" w:pos="233"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2"/>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 on each exchange on which registered</w:t>
            </w:r>
          </w:p>
        </w:tc>
      </w:tr>
      <w:tr>
        <w:trPr>
          <w:trHeight w:val="222"/>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r>
    </w:tbl>
    <w:p>
      <w:pPr>
        <w:spacing w:after="0" w:line="317"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780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7"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5" w:right="339" w:bottom="1440" w:gutter="0" w:footer="0" w:header="0"/>
        </w:sectPr>
      </w:pPr>
    </w:p>
    <w:p>
      <w:pPr>
        <w:spacing w:after="0" w:line="25"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500380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223520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0" w:lineRule="exact"/>
        <w:rPr>
          <w:sz w:val="20"/>
          <w:szCs w:val="20"/>
          <w:color w:val="auto"/>
        </w:rPr>
      </w:pPr>
    </w:p>
    <w:p>
      <w:pPr>
        <w:jc w:val="both"/>
        <w:ind w:firstLine="644"/>
        <w:spacing w:after="0" w:line="243" w:lineRule="auto"/>
        <w:rPr>
          <w:sz w:val="20"/>
          <w:szCs w:val="20"/>
          <w:color w:val="auto"/>
        </w:rPr>
      </w:pPr>
      <w:r>
        <w:rPr>
          <w:rFonts w:ascii="Times New Roman" w:cs="Times New Roman" w:eastAsia="Times New Roman" w:hAnsi="Times New Roman"/>
          <w:sz w:val="18"/>
          <w:szCs w:val="18"/>
          <w:color w:val="auto"/>
        </w:rPr>
        <w:t xml:space="preserve">On February 21, 2024, LivaNova PLC (the “Company”) issued a press release announcing financial results for the quarter and full year ended December 31, 2023. The Company will host a business update conference call and webcast today, February 21, 2024, at 1 p.m. London time (8 a.m. Eastern Time), during which the Company will discuss the financial results. The conference call will be available through the LivaNova website at </w:t>
      </w:r>
      <w:r>
        <w:rPr>
          <w:rFonts w:ascii="Times New Roman" w:cs="Times New Roman" w:eastAsia="Times New Roman" w:hAnsi="Times New Roman"/>
          <w:sz w:val="18"/>
          <w:szCs w:val="18"/>
          <w:color w:val="3051F2"/>
        </w:rPr>
        <w:t>www.livanova.com/events</w:t>
      </w:r>
      <w:r>
        <w:rPr>
          <w:rFonts w:ascii="Times New Roman" w:cs="Times New Roman" w:eastAsia="Times New Roman" w:hAnsi="Times New Roman"/>
          <w:sz w:val="18"/>
          <w:szCs w:val="18"/>
          <w:color w:val="000000"/>
        </w:rPr>
        <w:t>.</w:t>
      </w:r>
    </w:p>
    <w:p>
      <w:pPr>
        <w:spacing w:after="0" w:line="209" w:lineRule="exact"/>
        <w:rPr>
          <w:sz w:val="20"/>
          <w:szCs w:val="20"/>
          <w:color w:val="auto"/>
        </w:rPr>
      </w:pPr>
    </w:p>
    <w:p>
      <w:pPr>
        <w:jc w:val="both"/>
        <w:ind w:firstLine="644"/>
        <w:spacing w:after="0" w:line="238" w:lineRule="auto"/>
        <w:rPr>
          <w:sz w:val="20"/>
          <w:szCs w:val="20"/>
          <w:color w:val="auto"/>
        </w:rPr>
      </w:pPr>
      <w:r>
        <w:rPr>
          <w:rFonts w:ascii="Times New Roman" w:cs="Times New Roman" w:eastAsia="Times New Roman" w:hAnsi="Times New Roman"/>
          <w:sz w:val="18"/>
          <w:szCs w:val="18"/>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56"/>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4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40" w:type="dxa"/>
            <w:vAlign w:val="bottom"/>
          </w:tcPr>
          <w:p>
            <w:pPr>
              <w:spacing w:after="0"/>
              <w:rPr>
                <w:sz w:val="18"/>
                <w:szCs w:val="18"/>
                <w:color w:val="auto"/>
              </w:rPr>
            </w:pPr>
          </w:p>
        </w:tc>
        <w:tc>
          <w:tcPr>
            <w:tcW w:w="4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Press Release of LivaNova PLC dated February 21, 2024</w:t>
            </w:r>
          </w:p>
        </w:tc>
        <w:tc>
          <w:tcPr>
            <w:tcW w:w="5600" w:type="dxa"/>
            <w:vAlign w:val="bottom"/>
          </w:tcPr>
          <w:p>
            <w:pPr>
              <w:spacing w:after="0"/>
              <w:rPr>
                <w:sz w:val="18"/>
                <w:szCs w:val="18"/>
                <w:color w:val="auto"/>
              </w:rPr>
            </w:pPr>
          </w:p>
        </w:tc>
      </w:tr>
      <w:tr>
        <w:trPr>
          <w:trHeight w:val="249"/>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1"/>
                <w:szCs w:val="21"/>
                <w:color w:val="auto"/>
              </w:rPr>
            </w:pPr>
          </w:p>
        </w:tc>
        <w:tc>
          <w:tcPr>
            <w:tcW w:w="9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96"/>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3" w:lineRule="exact"/>
        <w:rPr>
          <w:sz w:val="20"/>
          <w:szCs w:val="20"/>
          <w:color w:val="auto"/>
        </w:rPr>
      </w:pPr>
    </w:p>
    <w:p>
      <w:pPr>
        <w:ind w:firstLine="644"/>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1" w:lineRule="exact"/>
        <w:rPr>
          <w:sz w:val="20"/>
          <w:szCs w:val="20"/>
          <w:color w:val="auto"/>
        </w:rPr>
      </w:pPr>
    </w:p>
    <w:p>
      <w:pPr>
        <w:jc w:val="right"/>
        <w:ind w:right="3280"/>
        <w:spacing w:after="0"/>
        <w:tabs>
          <w:tab w:leader="none" w:pos="5220" w:val="left"/>
        </w:tabs>
        <w:rPr>
          <w:sz w:val="20"/>
          <w:szCs w:val="20"/>
          <w:color w:val="auto"/>
        </w:rPr>
      </w:pPr>
      <w:r>
        <w:rPr>
          <w:rFonts w:ascii="Times New Roman" w:cs="Times New Roman" w:eastAsia="Times New Roman" w:hAnsi="Times New Roman"/>
          <w:sz w:val="18"/>
          <w:szCs w:val="18"/>
          <w:color w:val="auto"/>
        </w:rPr>
        <w:t>Date: February 21,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Michael Hutchinson</w:t>
      </w:r>
    </w:p>
    <w:p>
      <w:pPr>
        <w:spacing w:after="0" w:line="61" w:lineRule="exact"/>
        <w:rPr>
          <w:sz w:val="20"/>
          <w:szCs w:val="20"/>
          <w:color w:val="auto"/>
        </w:rPr>
      </w:pPr>
    </w:p>
    <w:p>
      <w:pPr>
        <w:jc w:val="right"/>
        <w:ind w:right="326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p>
      <w:pPr>
        <w:sectPr>
          <w:pgSz w:w="11900" w:h="16838" w:orient="portrait"/>
          <w:cols w:equalWidth="0" w:num="1">
            <w:col w:w="10920"/>
          </w:cols>
          <w:pgMar w:left="320" w:top="1003"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670050" cy="477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0050" cy="47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0"/>
          <w:szCs w:val="20"/>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9"/>
          <w:szCs w:val="29"/>
          <w:color w:val="6D2077"/>
        </w:rPr>
        <w:t>LivaNova Reports Fourth-Quarter and Full-Year 2023 Results</w:t>
      </w:r>
    </w:p>
    <w:p>
      <w:pPr>
        <w:spacing w:after="0" w:line="200" w:lineRule="exact"/>
        <w:rPr>
          <w:sz w:val="20"/>
          <w:szCs w:val="20"/>
          <w:color w:val="auto"/>
        </w:rPr>
      </w:pPr>
    </w:p>
    <w:p>
      <w:pPr>
        <w:spacing w:after="0" w:line="213" w:lineRule="exact"/>
        <w:rPr>
          <w:sz w:val="20"/>
          <w:szCs w:val="20"/>
          <w:color w:val="auto"/>
        </w:rPr>
      </w:pPr>
    </w:p>
    <w:p>
      <w:pPr>
        <w:spacing w:after="0" w:line="395" w:lineRule="auto"/>
        <w:rPr>
          <w:sz w:val="20"/>
          <w:szCs w:val="20"/>
          <w:color w:val="auto"/>
        </w:rPr>
      </w:pPr>
      <w:r>
        <w:rPr>
          <w:rFonts w:ascii="Arial" w:cs="Arial" w:eastAsia="Arial" w:hAnsi="Arial"/>
          <w:sz w:val="20"/>
          <w:szCs w:val="20"/>
          <w:color w:val="auto"/>
        </w:rPr>
        <w:t xml:space="preserve">London, February 21, 2024 </w:t>
      </w:r>
      <w:r>
        <w:rPr>
          <w:rFonts w:ascii="Arial" w:cs="Arial" w:eastAsia="Arial" w:hAnsi="Arial"/>
          <w:sz w:val="20"/>
          <w:szCs w:val="20"/>
          <w:b w:val="1"/>
          <w:bCs w:val="1"/>
          <w:color w:val="auto"/>
        </w:rPr>
        <w:t>–</w:t>
      </w:r>
      <w:r>
        <w:rPr>
          <w:rFonts w:ascii="Arial" w:cs="Arial" w:eastAsia="Arial" w:hAnsi="Arial"/>
          <w:sz w:val="20"/>
          <w:szCs w:val="20"/>
          <w:color w:val="auto"/>
        </w:rPr>
        <w:t xml:space="preserve"> LivaNova PLC (Nasdaq: LIVN), a market-leading medical technology company, today reported results for the quarter and full year ended December 31, 2023 and issued guidance for 2024.</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Summary and Highlights</w:t>
      </w:r>
      <w:r>
        <w:rPr>
          <w:rFonts w:ascii="Arial" w:cs="Arial" w:eastAsia="Arial" w:hAnsi="Arial"/>
          <w:sz w:val="25"/>
          <w:szCs w:val="25"/>
          <w:color w:val="auto"/>
          <w:vertAlign w:val="superscript"/>
        </w:rPr>
        <w:t>1</w:t>
      </w:r>
    </w:p>
    <w:p>
      <w:pPr>
        <w:spacing w:after="0" w:line="131" w:lineRule="exact"/>
        <w:rPr>
          <w:sz w:val="20"/>
          <w:szCs w:val="20"/>
          <w:color w:val="auto"/>
        </w:rPr>
      </w:pPr>
    </w:p>
    <w:p>
      <w:pPr>
        <w:ind w:left="660" w:hanging="331"/>
        <w:spacing w:after="0" w:line="295" w:lineRule="auto"/>
        <w:tabs>
          <w:tab w:leader="none" w:pos="60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Fourth-quarter revenue of $310.1 million increased 12.8 percent on a reported basis and 11.9 percent on a constant-currency basis, as compared to the prior-year period</w:t>
      </w:r>
    </w:p>
    <w:p>
      <w:pPr>
        <w:spacing w:after="0" w:line="51" w:lineRule="exact"/>
        <w:rPr>
          <w:rFonts w:ascii="Arial" w:cs="Arial" w:eastAsia="Arial" w:hAnsi="Arial"/>
          <w:sz w:val="20"/>
          <w:szCs w:val="20"/>
          <w:b w:val="1"/>
          <w:bCs w:val="1"/>
          <w:color w:val="auto"/>
        </w:rPr>
      </w:pPr>
    </w:p>
    <w:p>
      <w:pPr>
        <w:ind w:left="600" w:hanging="271"/>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Fourth-quarter U.S. GAAP diluted earnings per share was $0.30 and adjusted diluted earnings per share was $0.87</w:t>
      </w:r>
    </w:p>
    <w:p>
      <w:pPr>
        <w:spacing w:after="0" w:line="132" w:lineRule="exact"/>
        <w:rPr>
          <w:rFonts w:ascii="Arial" w:cs="Arial" w:eastAsia="Arial" w:hAnsi="Arial"/>
          <w:sz w:val="20"/>
          <w:szCs w:val="20"/>
          <w:color w:val="auto"/>
        </w:rPr>
      </w:pPr>
    </w:p>
    <w:p>
      <w:pPr>
        <w:ind w:left="660" w:hanging="331"/>
        <w:spacing w:after="0" w:line="295" w:lineRule="auto"/>
        <w:tabs>
          <w:tab w:leader="none" w:pos="608" w:val="left"/>
        </w:tabs>
        <w:numPr>
          <w:ilvl w:val="0"/>
          <w:numId w:val="2"/>
        </w:numPr>
        <w:rPr>
          <w:rFonts w:ascii="Arial" w:cs="Arial" w:eastAsia="Arial" w:hAnsi="Arial"/>
          <w:sz w:val="20"/>
          <w:szCs w:val="20"/>
          <w:color w:val="auto"/>
        </w:rPr>
      </w:pPr>
      <w:r>
        <w:rPr>
          <w:rFonts w:ascii="Arial" w:cs="Arial" w:eastAsia="Arial" w:hAnsi="Arial"/>
          <w:sz w:val="20"/>
          <w:szCs w:val="20"/>
          <w:color w:val="auto"/>
        </w:rPr>
        <w:t>Full-year 2023 revenue of $1.15 billion increased 12.9 percent on a reported basis and increased 13.3 percent on a constant-currency basis, as compared to the prior-year period</w:t>
      </w:r>
    </w:p>
    <w:p>
      <w:pPr>
        <w:spacing w:after="0" w:line="51" w:lineRule="exact"/>
        <w:rPr>
          <w:rFonts w:ascii="Arial" w:cs="Arial" w:eastAsia="Arial" w:hAnsi="Arial"/>
          <w:sz w:val="20"/>
          <w:szCs w:val="20"/>
          <w:color w:val="auto"/>
        </w:rPr>
      </w:pPr>
    </w:p>
    <w:p>
      <w:pPr>
        <w:ind w:left="600" w:hanging="271"/>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Full-year 2023 U.S. GAAP diluted earnings per share was $0.32 and adjusted diluted earnings per share was $2.80</w:t>
      </w:r>
    </w:p>
    <w:p>
      <w:pPr>
        <w:spacing w:after="0" w:line="132" w:lineRule="exact"/>
        <w:rPr>
          <w:rFonts w:ascii="Arial" w:cs="Arial" w:eastAsia="Arial" w:hAnsi="Arial"/>
          <w:sz w:val="20"/>
          <w:szCs w:val="20"/>
          <w:color w:val="auto"/>
        </w:rPr>
      </w:pPr>
    </w:p>
    <w:p>
      <w:pPr>
        <w:ind w:left="600" w:hanging="271"/>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January 2024, LivaNova initiated a wind down of the Advanced Circulatory Support segment</w:t>
      </w:r>
    </w:p>
    <w:p>
      <w:pPr>
        <w:spacing w:after="0" w:line="132" w:lineRule="exact"/>
        <w:rPr>
          <w:rFonts w:ascii="Arial" w:cs="Arial" w:eastAsia="Arial" w:hAnsi="Arial"/>
          <w:sz w:val="20"/>
          <w:szCs w:val="20"/>
          <w:color w:val="auto"/>
        </w:rPr>
      </w:pPr>
    </w:p>
    <w:p>
      <w:pPr>
        <w:ind w:left="660" w:right="20" w:hanging="331"/>
        <w:spacing w:after="0" w:line="295" w:lineRule="auto"/>
        <w:tabs>
          <w:tab w:leader="none" w:pos="608"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February 2024, LivaNova's Board of Directors named Vladimir A. Makatsaria the Company's Chief Executive Officer (CEO) and member of the Board of Directors, effective March 1, 2024</w:t>
      </w:r>
    </w:p>
    <w:p>
      <w:pPr>
        <w:spacing w:after="0" w:line="200" w:lineRule="exact"/>
        <w:rPr>
          <w:sz w:val="20"/>
          <w:szCs w:val="20"/>
          <w:color w:val="auto"/>
        </w:rPr>
      </w:pPr>
    </w:p>
    <w:p>
      <w:pPr>
        <w:spacing w:after="0" w:line="362"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auto"/>
        </w:rPr>
        <w:t>"We delivered strong revenue growth in both the fourth quarter and full year," said Bill Kozy, Interim Chief Executive Officer and Board Chair of LivaNova. "Our 2023 performance reflects double-digit revenue growth across all regions, an improvement in adjusted operating margin and a 17% increase in adjusted diluted earnings per share. We are pleased with these financial outcomes as well as the progress made in refining the business strategy and portfolio. As we enter 2024 with this strategic focus, we are excited to welcome Vlad Makatsaria as LivaNova's next CEO. Under his leadership, I have great confidence that LivaNova will build on these results and achieve our commitments to serving patients while creating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681355</wp:posOffset>
            </wp:positionV>
            <wp:extent cx="1704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4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7"/>
        <w:spacing w:after="0" w:line="202" w:lineRule="auto"/>
        <w:tabs>
          <w:tab w:leader="none" w:pos="80" w:val="left"/>
        </w:tabs>
        <w:numPr>
          <w:ilvl w:val="0"/>
          <w:numId w:val="3"/>
        </w:numPr>
        <w:rPr>
          <w:rFonts w:ascii="Arial" w:cs="Arial" w:eastAsia="Arial" w:hAnsi="Arial"/>
          <w:sz w:val="16"/>
          <w:szCs w:val="16"/>
          <w:color w:val="auto"/>
          <w:vertAlign w:val="superscript"/>
        </w:rPr>
      </w:pPr>
      <w:r>
        <w:rPr>
          <w:rFonts w:ascii="Arial" w:cs="Arial" w:eastAsia="Arial" w:hAnsi="Arial"/>
          <w:sz w:val="11"/>
          <w:szCs w:val="11"/>
          <w:color w:val="auto"/>
        </w:rPr>
        <w:t>Constant-currency percent change and adjusted diluted earnings per share are non-GAAP measures. For an explanation of these and other non-GAAP measures used in this news release, see the section entitled "Use of Non-GAAP Financial Measures." For reconciliations of certain non-GAAP measures, see the tables that accompany this news release.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04" w:right="339" w:bottom="1440" w:gutter="0" w:footer="0" w:header="0"/>
        </w:sectPr>
      </w:pPr>
    </w:p>
    <w:bookmarkStart w:id="4" w:name="page5"/>
    <w:bookmarkEnd w:id="4"/>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Fourth-Quarter 2023 Results</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revenue for the fourth quarter of 2023 by segment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0" w:type="dxa"/>
            <w:vAlign w:val="bottom"/>
            <w:gridSpan w:val="4"/>
          </w:tcPr>
          <w:p>
            <w:pPr>
              <w:jc w:val="center"/>
              <w:ind w:left="511"/>
              <w:spacing w:after="0"/>
              <w:rPr>
                <w:sz w:val="20"/>
                <w:szCs w:val="20"/>
                <w:color w:val="auto"/>
              </w:rPr>
            </w:pPr>
            <w:r>
              <w:rPr>
                <w:rFonts w:ascii="Arial" w:cs="Arial" w:eastAsia="Arial" w:hAnsi="Arial"/>
                <w:sz w:val="18"/>
                <w:szCs w:val="18"/>
                <w:b w:val="1"/>
                <w:bCs w:val="1"/>
                <w:color w:val="auto"/>
                <w:w w:val="98"/>
              </w:rPr>
              <w:t>Three Months Ended</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20"/>
                <w:szCs w:val="20"/>
                <w:b w:val="1"/>
                <w:bCs w:val="1"/>
                <w:color w:val="auto"/>
                <w:w w:val="98"/>
              </w:rPr>
              <w:t>Constant-</w:t>
            </w:r>
          </w:p>
        </w:tc>
      </w:tr>
      <w:tr>
        <w:trPr>
          <w:trHeight w:val="188"/>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ind w:right="580"/>
              <w:spacing w:after="0" w:line="168" w:lineRule="exact"/>
              <w:rPr>
                <w:sz w:val="20"/>
                <w:szCs w:val="20"/>
                <w:color w:val="auto"/>
              </w:rPr>
            </w:pPr>
            <w:r>
              <w:rPr>
                <w:rFonts w:ascii="Arial" w:cs="Arial" w:eastAsia="Arial" w:hAnsi="Arial"/>
                <w:sz w:val="18"/>
                <w:szCs w:val="18"/>
                <w:b w:val="1"/>
                <w:bCs w:val="1"/>
                <w:color w:val="auto"/>
                <w:w w:val="99"/>
              </w:rPr>
              <w:t>December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center"/>
              <w:spacing w:after="0" w:line="168" w:lineRule="exact"/>
              <w:rPr>
                <w:sz w:val="20"/>
                <w:szCs w:val="20"/>
                <w:color w:val="auto"/>
              </w:rPr>
            </w:pPr>
            <w:r>
              <w:rPr>
                <w:rFonts w:ascii="Arial" w:cs="Arial" w:eastAsia="Arial" w:hAnsi="Arial"/>
                <w:sz w:val="19"/>
                <w:szCs w:val="19"/>
                <w:b w:val="1"/>
                <w:bCs w:val="1"/>
                <w:color w:val="auto"/>
              </w:rPr>
              <w:t>Currency</w:t>
            </w:r>
          </w:p>
        </w:tc>
      </w:tr>
      <w:tr>
        <w:trPr>
          <w:trHeight w:val="248"/>
        </w:trPr>
        <w:tc>
          <w:tcPr>
            <w:tcW w:w="4940" w:type="dxa"/>
            <w:vAlign w:val="bottom"/>
            <w:gridSpan w:val="3"/>
          </w:tcPr>
          <w:p>
            <w:pPr>
              <w:ind w:left="4460"/>
              <w:spacing w:after="0"/>
              <w:rPr>
                <w:sz w:val="20"/>
                <w:szCs w:val="20"/>
                <w:color w:val="auto"/>
              </w:rPr>
            </w:pPr>
            <w:r>
              <w:rPr>
                <w:rFonts w:ascii="Arial" w:cs="Arial" w:eastAsia="Arial" w:hAnsi="Arial"/>
                <w:sz w:val="18"/>
                <w:szCs w:val="18"/>
                <w:b w:val="1"/>
                <w:bCs w:val="1"/>
                <w:color w:val="auto"/>
              </w:rPr>
              <w:t>2023</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gridSpan w:val="2"/>
          </w:tcPr>
          <w:p>
            <w:pPr>
              <w:ind w:left="400"/>
              <w:spacing w:after="0"/>
              <w:rPr>
                <w:sz w:val="20"/>
                <w:szCs w:val="20"/>
                <w:color w:val="auto"/>
              </w:rPr>
            </w:pPr>
            <w:r>
              <w:rPr>
                <w:rFonts w:ascii="Arial" w:cs="Arial" w:eastAsia="Arial" w:hAnsi="Arial"/>
                <w:sz w:val="20"/>
                <w:szCs w:val="20"/>
                <w:b w:val="1"/>
                <w:bCs w:val="1"/>
                <w:color w:val="auto"/>
              </w:rPr>
              <w:t>% Change</w:t>
            </w:r>
          </w:p>
        </w:tc>
        <w:tc>
          <w:tcPr>
            <w:tcW w:w="1760" w:type="dxa"/>
            <w:vAlign w:val="bottom"/>
          </w:tcPr>
          <w:p>
            <w:pPr>
              <w:jc w:val="center"/>
              <w:spacing w:after="0" w:line="248" w:lineRule="exact"/>
              <w:rPr>
                <w:sz w:val="20"/>
                <w:szCs w:val="20"/>
                <w:color w:val="auto"/>
              </w:rPr>
            </w:pPr>
            <w:r>
              <w:rPr>
                <w:rFonts w:ascii="Arial" w:cs="Arial" w:eastAsia="Arial" w:hAnsi="Arial"/>
                <w:sz w:val="20"/>
                <w:szCs w:val="20"/>
                <w:b w:val="1"/>
                <w:bCs w:val="1"/>
                <w:color w:val="auto"/>
                <w:w w:val="96"/>
              </w:rPr>
              <w:t>% Change</w:t>
            </w:r>
            <w:r>
              <w:rPr>
                <w:rFonts w:ascii="Arial" w:cs="Arial" w:eastAsia="Arial" w:hAnsi="Arial"/>
                <w:sz w:val="25"/>
                <w:szCs w:val="25"/>
                <w:b w:val="1"/>
                <w:bCs w:val="1"/>
                <w:color w:val="auto"/>
                <w:w w:val="96"/>
                <w:vertAlign w:val="superscript"/>
              </w:rPr>
              <w:t>2</w:t>
            </w:r>
          </w:p>
        </w:tc>
      </w:tr>
      <w:tr>
        <w:trPr>
          <w:trHeight w:val="216"/>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Cardiopulmonary</w:t>
            </w:r>
          </w:p>
        </w:tc>
        <w:tc>
          <w:tcPr>
            <w:tcW w:w="1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8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18.3 %</w:t>
            </w:r>
          </w:p>
        </w:tc>
        <w:tc>
          <w:tcPr>
            <w:tcW w:w="80" w:type="dxa"/>
            <w:vAlign w:val="bottom"/>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17.0 %</w:t>
            </w:r>
          </w:p>
        </w:tc>
      </w:tr>
      <w:tr>
        <w:trPr>
          <w:trHeight w:val="228"/>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Neuromodulation</w:t>
            </w:r>
          </w:p>
        </w:tc>
        <w:tc>
          <w:tcPr>
            <w:tcW w:w="660" w:type="dxa"/>
            <w:vAlign w:val="bottom"/>
          </w:tcPr>
          <w:p>
            <w:pPr>
              <w:jc w:val="right"/>
              <w:spacing w:after="0"/>
              <w:rPr>
                <w:sz w:val="20"/>
                <w:szCs w:val="20"/>
                <w:color w:val="auto"/>
              </w:rPr>
            </w:pPr>
            <w:r>
              <w:rPr>
                <w:rFonts w:ascii="Arial" w:cs="Arial" w:eastAsia="Arial" w:hAnsi="Arial"/>
                <w:sz w:val="18"/>
                <w:szCs w:val="18"/>
                <w:color w:val="auto"/>
              </w:rPr>
              <w:t>136.9</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7.7 %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28"/>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Advanced Circulatory Support</w:t>
            </w: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4"/>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3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80" w:type="dxa"/>
            <w:vAlign w:val="bottom"/>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8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12.8 %</w:t>
            </w:r>
          </w:p>
        </w:tc>
        <w:tc>
          <w:tcPr>
            <w:tcW w:w="8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11.9 %</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tab/>
        <w:t>Numbers may not add precisely due to rounding.</w:t>
      </w:r>
    </w:p>
    <w:p>
      <w:pPr>
        <w:spacing w:after="0" w:line="200" w:lineRule="exact"/>
        <w:rPr>
          <w:sz w:val="20"/>
          <w:szCs w:val="20"/>
          <w:color w:val="auto"/>
        </w:rPr>
      </w:pPr>
    </w:p>
    <w:p>
      <w:pPr>
        <w:spacing w:after="0" w:line="280" w:lineRule="exact"/>
        <w:rPr>
          <w:sz w:val="20"/>
          <w:szCs w:val="20"/>
          <w:color w:val="auto"/>
        </w:rPr>
      </w:pPr>
    </w:p>
    <w:p>
      <w:pPr>
        <w:jc w:val="both"/>
        <w:spacing w:after="0" w:line="337" w:lineRule="auto"/>
        <w:rPr>
          <w:sz w:val="20"/>
          <w:szCs w:val="20"/>
          <w:color w:val="auto"/>
        </w:rPr>
      </w:pPr>
      <w:r>
        <w:rPr>
          <w:rFonts w:ascii="Arial" w:cs="Arial" w:eastAsia="Arial" w:hAnsi="Arial"/>
          <w:sz w:val="20"/>
          <w:szCs w:val="20"/>
          <w:color w:val="auto"/>
        </w:rPr>
        <w:t>Cardiopulmonary revenue increased 18.3 percent on a reported basis and increased 17.0 percent</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on a constant-currency basis versus the fourth quarter 2022 driven primarily by Essenz</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Perfusion System sales in the Europe and U.S. regions.</w:t>
      </w:r>
    </w:p>
    <w:p>
      <w:pPr>
        <w:spacing w:after="0" w:line="93" w:lineRule="exact"/>
        <w:rPr>
          <w:sz w:val="20"/>
          <w:szCs w:val="20"/>
          <w:color w:val="auto"/>
        </w:rPr>
      </w:pPr>
    </w:p>
    <w:p>
      <w:pPr>
        <w:jc w:val="both"/>
        <w:ind w:right="20"/>
        <w:spacing w:after="0" w:line="332" w:lineRule="auto"/>
        <w:rPr>
          <w:sz w:val="20"/>
          <w:szCs w:val="20"/>
          <w:color w:val="auto"/>
        </w:rPr>
      </w:pPr>
      <w:r>
        <w:rPr>
          <w:rFonts w:ascii="Arial" w:cs="Arial" w:eastAsia="Arial" w:hAnsi="Arial"/>
          <w:sz w:val="20"/>
          <w:szCs w:val="20"/>
          <w:color w:val="auto"/>
        </w:rPr>
        <w:t>Neuromodulation revenue increased 7.7 percent on a reported basis and increased 7.1 percent</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on a constant-currency basis versus the fourth quarter 2022 with strength in the Europe and U.S. regions.</w:t>
      </w:r>
    </w:p>
    <w:p>
      <w:pPr>
        <w:spacing w:after="0" w:line="183" w:lineRule="exact"/>
        <w:rPr>
          <w:sz w:val="20"/>
          <w:szCs w:val="20"/>
          <w:color w:val="auto"/>
        </w:rPr>
      </w:pPr>
    </w:p>
    <w:p>
      <w:pPr>
        <w:jc w:val="both"/>
        <w:spacing w:after="0" w:line="332" w:lineRule="auto"/>
        <w:rPr>
          <w:sz w:val="20"/>
          <w:szCs w:val="20"/>
          <w:color w:val="auto"/>
        </w:rPr>
      </w:pPr>
      <w:r>
        <w:rPr>
          <w:rFonts w:ascii="Arial" w:cs="Arial" w:eastAsia="Arial" w:hAnsi="Arial"/>
          <w:sz w:val="20"/>
          <w:szCs w:val="20"/>
          <w:color w:val="auto"/>
        </w:rPr>
        <w:t>Advanced Circulatory Support (ACS) revenue increased 5.0 percent on a reported basis and increased 4.9 percent</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on a constant-currency basis versus the fourth quarter 2022 driven by an increase in case volumes.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Analysis</w:t>
      </w:r>
    </w:p>
    <w:p>
      <w:pPr>
        <w:spacing w:after="0" w:line="320" w:lineRule="exact"/>
        <w:rPr>
          <w:sz w:val="20"/>
          <w:szCs w:val="20"/>
          <w:color w:val="auto"/>
        </w:rPr>
      </w:pPr>
    </w:p>
    <w:p>
      <w:pPr>
        <w:jc w:val="both"/>
        <w:spacing w:after="0" w:line="371" w:lineRule="auto"/>
        <w:rPr>
          <w:sz w:val="20"/>
          <w:szCs w:val="20"/>
          <w:color w:val="auto"/>
        </w:rPr>
      </w:pPr>
      <w:r>
        <w:rPr>
          <w:rFonts w:ascii="Arial" w:cs="Arial" w:eastAsia="Arial" w:hAnsi="Arial"/>
          <w:sz w:val="20"/>
          <w:szCs w:val="20"/>
          <w:color w:val="auto"/>
        </w:rPr>
        <w:t>On a U.S. GAAP basis, fourth-quarter 2023 operating loss was $88.0 million, as compared to operating income of $14.0 million for the fourth quarter 2022. Adjusted operating income for the fourth quarter 2023 was $48.0 million, as compared to adjusted operating income of $46.8 million for the fourth quarter 2022.</w:t>
      </w:r>
    </w:p>
    <w:p>
      <w:pPr>
        <w:spacing w:after="0" w:line="182" w:lineRule="exact"/>
        <w:rPr>
          <w:sz w:val="20"/>
          <w:szCs w:val="20"/>
          <w:color w:val="auto"/>
        </w:rPr>
      </w:pPr>
    </w:p>
    <w:p>
      <w:pPr>
        <w:jc w:val="both"/>
        <w:spacing w:after="0" w:line="371" w:lineRule="auto"/>
        <w:rPr>
          <w:sz w:val="20"/>
          <w:szCs w:val="20"/>
          <w:color w:val="auto"/>
        </w:rPr>
      </w:pPr>
      <w:r>
        <w:rPr>
          <w:rFonts w:ascii="Arial" w:cs="Arial" w:eastAsia="Arial" w:hAnsi="Arial"/>
          <w:sz w:val="20"/>
          <w:szCs w:val="20"/>
          <w:color w:val="auto"/>
        </w:rPr>
        <w:t>On a U.S. GAAP basis, fourth-quarter 2023 diluted earnings per share was $0.30, as compared to diluted earnings per share of $0.03 in the fourth quarter 2022. Fourth-quarter 2023 adjusted diluted earnings per share was $0.87, as compared to adjusted diluted earnings per share of $0.81 in the fourth quarter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666115</wp:posOffset>
            </wp:positionV>
            <wp:extent cx="1704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04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firstLine="7"/>
        <w:spacing w:after="0" w:line="229" w:lineRule="auto"/>
        <w:tabs>
          <w:tab w:leader="none" w:pos="68"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Constant-currency percent change excludes the impact from fluctuations in the various currencies in which the Company operates as compared to reported percent change. Constant-currency percent change is a non-GAAP metric. For an explanation of this and other non-GAAP metrics used in this news release, see the section entitled "Use of Non-GAAP Financial Measures."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2023 Results</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revenue for full year 2023 by segment (in millions):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gridSpan w:val="3"/>
          </w:tcPr>
          <w:p>
            <w:pPr>
              <w:jc w:val="center"/>
              <w:ind w:left="1111"/>
              <w:spacing w:after="0"/>
              <w:rPr>
                <w:sz w:val="20"/>
                <w:szCs w:val="20"/>
                <w:color w:val="auto"/>
              </w:rPr>
            </w:pPr>
            <w:r>
              <w:rPr>
                <w:rFonts w:ascii="Arial" w:cs="Arial" w:eastAsia="Arial" w:hAnsi="Arial"/>
                <w:sz w:val="18"/>
                <w:szCs w:val="18"/>
                <w:b w:val="1"/>
                <w:bCs w:val="1"/>
                <w:color w:val="auto"/>
                <w:w w:val="98"/>
              </w:rPr>
              <w:t>Year Ended</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20"/>
                <w:szCs w:val="20"/>
                <w:b w:val="1"/>
                <w:bCs w:val="1"/>
                <w:color w:val="auto"/>
                <w:w w:val="98"/>
              </w:rPr>
              <w:t>Constant-</w:t>
            </w:r>
          </w:p>
        </w:tc>
        <w:tc>
          <w:tcPr>
            <w:tcW w:w="0" w:type="dxa"/>
            <w:vAlign w:val="bottom"/>
          </w:tcPr>
          <w:p>
            <w:pPr>
              <w:spacing w:after="0"/>
              <w:rPr>
                <w:sz w:val="1"/>
                <w:szCs w:val="1"/>
                <w:color w:val="auto"/>
              </w:rPr>
            </w:pPr>
          </w:p>
        </w:tc>
      </w:tr>
      <w:tr>
        <w:trPr>
          <w:trHeight w:val="188"/>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tcBorders>
              <w:bottom w:val="single" w:sz="8" w:color="auto"/>
            </w:tcBorders>
            <w:gridSpan w:val="3"/>
          </w:tcPr>
          <w:p>
            <w:pPr>
              <w:jc w:val="center"/>
              <w:ind w:left="1151"/>
              <w:spacing w:after="0" w:line="188" w:lineRule="exact"/>
              <w:rPr>
                <w:sz w:val="20"/>
                <w:szCs w:val="20"/>
                <w:color w:val="auto"/>
              </w:rPr>
            </w:pPr>
            <w:r>
              <w:rPr>
                <w:rFonts w:ascii="Arial" w:cs="Arial" w:eastAsia="Arial" w:hAnsi="Arial"/>
                <w:sz w:val="18"/>
                <w:szCs w:val="18"/>
                <w:b w:val="1"/>
                <w:bCs w:val="1"/>
                <w:color w:val="auto"/>
              </w:rPr>
              <w:t>December 31,</w:t>
            </w: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center"/>
              <w:spacing w:after="0" w:line="182" w:lineRule="exact"/>
              <w:rPr>
                <w:sz w:val="20"/>
                <w:szCs w:val="20"/>
                <w:color w:val="auto"/>
              </w:rPr>
            </w:pPr>
            <w:r>
              <w:rPr>
                <w:rFonts w:ascii="Arial" w:cs="Arial" w:eastAsia="Arial" w:hAnsi="Arial"/>
                <w:sz w:val="20"/>
                <w:szCs w:val="20"/>
                <w:b w:val="1"/>
                <w:bCs w:val="1"/>
                <w:color w:val="auto"/>
              </w:rPr>
              <w:t>Currency</w:t>
            </w:r>
          </w:p>
        </w:tc>
        <w:tc>
          <w:tcPr>
            <w:tcW w:w="0" w:type="dxa"/>
            <w:vAlign w:val="bottom"/>
          </w:tcPr>
          <w:p>
            <w:pPr>
              <w:spacing w:after="0"/>
              <w:rPr>
                <w:sz w:val="1"/>
                <w:szCs w:val="1"/>
                <w:color w:val="auto"/>
              </w:rPr>
            </w:pPr>
          </w:p>
        </w:tc>
      </w:tr>
      <w:tr>
        <w:trPr>
          <w:trHeight w:val="248"/>
        </w:trPr>
        <w:tc>
          <w:tcPr>
            <w:tcW w:w="3720" w:type="dxa"/>
            <w:vAlign w:val="bottom"/>
            <w:gridSpan w:val="2"/>
            <w:vMerge w:val="restart"/>
          </w:tcPr>
          <w:p>
            <w:pPr>
              <w:ind w:left="20"/>
              <w:spacing w:after="0"/>
              <w:rPr>
                <w:sz w:val="20"/>
                <w:szCs w:val="20"/>
                <w:color w:val="auto"/>
              </w:rPr>
            </w:pPr>
            <w:r>
              <w:rPr>
                <w:rFonts w:ascii="Arial" w:cs="Arial" w:eastAsia="Arial" w:hAnsi="Arial"/>
                <w:sz w:val="18"/>
                <w:szCs w:val="18"/>
                <w:color w:val="auto"/>
              </w:rPr>
              <w:t>Cardiopulmonary</w:t>
            </w:r>
          </w:p>
        </w:tc>
        <w:tc>
          <w:tcPr>
            <w:tcW w:w="1880" w:type="dxa"/>
            <w:vAlign w:val="bottom"/>
          </w:tcPr>
          <w:p>
            <w:pPr>
              <w:jc w:val="right"/>
              <w:ind w:right="651"/>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jc w:val="right"/>
              <w:ind w:right="67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1800" w:type="dxa"/>
            <w:vAlign w:val="bottom"/>
            <w:gridSpan w:val="2"/>
          </w:tcPr>
          <w:p>
            <w:pPr>
              <w:ind w:left="380"/>
              <w:spacing w:after="0"/>
              <w:rPr>
                <w:sz w:val="20"/>
                <w:szCs w:val="20"/>
                <w:color w:val="auto"/>
              </w:rPr>
            </w:pPr>
            <w:r>
              <w:rPr>
                <w:rFonts w:ascii="Arial" w:cs="Arial" w:eastAsia="Arial" w:hAnsi="Arial"/>
                <w:sz w:val="20"/>
                <w:szCs w:val="20"/>
                <w:b w:val="1"/>
                <w:bCs w:val="1"/>
                <w:color w:val="auto"/>
              </w:rPr>
              <w:t>% Change</w:t>
            </w:r>
          </w:p>
        </w:tc>
        <w:tc>
          <w:tcPr>
            <w:tcW w:w="1760" w:type="dxa"/>
            <w:vAlign w:val="bottom"/>
          </w:tcPr>
          <w:p>
            <w:pPr>
              <w:jc w:val="center"/>
              <w:spacing w:after="0" w:line="248" w:lineRule="exact"/>
              <w:rPr>
                <w:sz w:val="20"/>
                <w:szCs w:val="20"/>
                <w:color w:val="auto"/>
              </w:rPr>
            </w:pPr>
            <w:r>
              <w:rPr>
                <w:rFonts w:ascii="Arial" w:cs="Arial" w:eastAsia="Arial" w:hAnsi="Arial"/>
                <w:sz w:val="20"/>
                <w:szCs w:val="20"/>
                <w:b w:val="1"/>
                <w:bCs w:val="1"/>
                <w:color w:val="auto"/>
                <w:w w:val="96"/>
              </w:rPr>
              <w:t>% Change</w:t>
            </w:r>
            <w:r>
              <w:rPr>
                <w:rFonts w:ascii="Arial" w:cs="Arial" w:eastAsia="Arial" w:hAnsi="Arial"/>
                <w:sz w:val="25"/>
                <w:szCs w:val="25"/>
                <w:b w:val="1"/>
                <w:bCs w:val="1"/>
                <w:color w:val="auto"/>
                <w:w w:val="96"/>
                <w:vertAlign w:val="superscript"/>
              </w:rPr>
              <w:t>2</w:t>
            </w:r>
          </w:p>
        </w:tc>
        <w:tc>
          <w:tcPr>
            <w:tcW w:w="0" w:type="dxa"/>
            <w:vAlign w:val="bottom"/>
          </w:tcPr>
          <w:p>
            <w:pPr>
              <w:spacing w:after="0"/>
              <w:rPr>
                <w:sz w:val="1"/>
                <w:szCs w:val="1"/>
                <w:color w:val="auto"/>
              </w:rPr>
            </w:pPr>
          </w:p>
        </w:tc>
      </w:tr>
      <w:tr>
        <w:trPr>
          <w:trHeight w:val="216"/>
        </w:trPr>
        <w:tc>
          <w:tcPr>
            <w:tcW w:w="3720" w:type="dxa"/>
            <w:vAlign w:val="bottom"/>
            <w:gridSpan w:val="2"/>
            <w:vMerge w:val="continue"/>
          </w:tcPr>
          <w:p>
            <w:pPr>
              <w:spacing w:after="0"/>
              <w:rPr>
                <w:sz w:val="18"/>
                <w:szCs w:val="18"/>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$589.0</w:t>
            </w: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8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17.7 %</w:t>
            </w:r>
          </w:p>
        </w:tc>
        <w:tc>
          <w:tcPr>
            <w:tcW w:w="80" w:type="dxa"/>
            <w:vAlign w:val="bottom"/>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28"/>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Neuromodulation</w:t>
            </w:r>
          </w:p>
        </w:tc>
        <w:tc>
          <w:tcPr>
            <w:tcW w:w="1880" w:type="dxa"/>
            <w:vAlign w:val="bottom"/>
          </w:tcPr>
          <w:p>
            <w:pPr>
              <w:jc w:val="right"/>
              <w:spacing w:after="0"/>
              <w:rPr>
                <w:sz w:val="20"/>
                <w:szCs w:val="20"/>
                <w:color w:val="auto"/>
              </w:rPr>
            </w:pPr>
            <w:r>
              <w:rPr>
                <w:rFonts w:ascii="Arial" w:cs="Arial" w:eastAsia="Arial" w:hAnsi="Arial"/>
                <w:sz w:val="18"/>
                <w:szCs w:val="18"/>
                <w:color w:val="auto"/>
              </w:rPr>
              <w:t>519.7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28"/>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Advanced Circulatory Support</w:t>
            </w:r>
          </w:p>
        </w:tc>
        <w:tc>
          <w:tcPr>
            <w:tcW w:w="1880" w:type="dxa"/>
            <w:vAlign w:val="bottom"/>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4"/>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2"/>
        </w:trPr>
        <w:tc>
          <w:tcPr>
            <w:tcW w:w="3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8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$1,153.5</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$1,021.8</w:t>
            </w:r>
          </w:p>
        </w:tc>
        <w:tc>
          <w:tcPr>
            <w:tcW w:w="80" w:type="dxa"/>
            <w:vAlign w:val="bottom"/>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12.9 %</w:t>
            </w:r>
          </w:p>
        </w:tc>
        <w:tc>
          <w:tcPr>
            <w:tcW w:w="8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tab/>
        <w:t>Numbers may not add precisely due to rounding.</w:t>
      </w:r>
    </w:p>
    <w:p>
      <w:pPr>
        <w:spacing w:after="0" w:line="200" w:lineRule="exact"/>
        <w:rPr>
          <w:sz w:val="20"/>
          <w:szCs w:val="20"/>
          <w:color w:val="auto"/>
        </w:rPr>
      </w:pPr>
    </w:p>
    <w:p>
      <w:pPr>
        <w:spacing w:after="0" w:line="253"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Cardiopulmonary revenue increased 17.7 percent on a reported basis and increased 18.4 percent</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on a constant-currency basis versus 2022 with growth across all regions, driven by increased heart-lung machine sales, including Essenz</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Perfusion System installations, and strong oxygenator demand.</w:t>
      </w:r>
    </w:p>
    <w:p>
      <w:pPr>
        <w:spacing w:after="0" w:line="215" w:lineRule="exact"/>
        <w:rPr>
          <w:sz w:val="20"/>
          <w:szCs w:val="20"/>
          <w:color w:val="auto"/>
        </w:rPr>
      </w:pPr>
    </w:p>
    <w:p>
      <w:pPr>
        <w:jc w:val="both"/>
        <w:spacing w:after="0" w:line="333" w:lineRule="auto"/>
        <w:rPr>
          <w:sz w:val="20"/>
          <w:szCs w:val="20"/>
          <w:color w:val="auto"/>
        </w:rPr>
      </w:pPr>
      <w:r>
        <w:rPr>
          <w:rFonts w:ascii="Arial" w:cs="Arial" w:eastAsia="Arial" w:hAnsi="Arial"/>
          <w:sz w:val="20"/>
          <w:szCs w:val="20"/>
          <w:color w:val="auto"/>
        </w:rPr>
        <w:t>Neuromodulation revenue increased 9.0 percent on a reported basis and increased 9.1 percent</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on a constant-currency basis versus 2022 with growth across all regions, including new and replacement implants in the U.S. region.</w:t>
      </w:r>
    </w:p>
    <w:p>
      <w:pPr>
        <w:spacing w:after="0" w:line="208" w:lineRule="exact"/>
        <w:rPr>
          <w:sz w:val="20"/>
          <w:szCs w:val="20"/>
          <w:color w:val="auto"/>
        </w:rPr>
      </w:pPr>
    </w:p>
    <w:p>
      <w:pPr>
        <w:jc w:val="both"/>
        <w:spacing w:after="0" w:line="333" w:lineRule="auto"/>
        <w:rPr>
          <w:sz w:val="20"/>
          <w:szCs w:val="20"/>
          <w:color w:val="auto"/>
        </w:rPr>
      </w:pPr>
      <w:r>
        <w:rPr>
          <w:rFonts w:ascii="Arial" w:cs="Arial" w:eastAsia="Arial" w:hAnsi="Arial"/>
          <w:sz w:val="20"/>
          <w:szCs w:val="20"/>
          <w:color w:val="auto"/>
        </w:rPr>
        <w:t>ACS revenue increased 2.6 percent on a reported basis and increased 2.5 percent</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on a constant-currency basis versus 2022 driven by an increase in case volumes.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Analysis</w:t>
      </w:r>
    </w:p>
    <w:p>
      <w:pPr>
        <w:spacing w:after="0" w:line="334" w:lineRule="exact"/>
        <w:rPr>
          <w:sz w:val="20"/>
          <w:szCs w:val="20"/>
          <w:color w:val="auto"/>
        </w:rPr>
      </w:pPr>
    </w:p>
    <w:p>
      <w:pPr>
        <w:jc w:val="both"/>
        <w:spacing w:after="0" w:line="371" w:lineRule="auto"/>
        <w:rPr>
          <w:sz w:val="20"/>
          <w:szCs w:val="20"/>
          <w:color w:val="auto"/>
        </w:rPr>
      </w:pPr>
      <w:r>
        <w:rPr>
          <w:rFonts w:ascii="Arial" w:cs="Arial" w:eastAsia="Arial" w:hAnsi="Arial"/>
          <w:sz w:val="20"/>
          <w:szCs w:val="20"/>
          <w:color w:val="auto"/>
        </w:rPr>
        <w:t>On a U.S. GAAP basis, full-year 2023 operating loss was $68.5 million, as compared to operating loss of $76.8 million for full-year 2022. Adjusted operating income for full-year 2023 was $169.3 million, as compared to adjusted operating income of $145.1 million for full-year 2022.</w:t>
      </w:r>
    </w:p>
    <w:p>
      <w:pPr>
        <w:spacing w:after="0" w:line="168" w:lineRule="exact"/>
        <w:rPr>
          <w:sz w:val="20"/>
          <w:szCs w:val="20"/>
          <w:color w:val="auto"/>
        </w:rPr>
      </w:pPr>
    </w:p>
    <w:p>
      <w:pPr>
        <w:jc w:val="both"/>
        <w:spacing w:after="0" w:line="371" w:lineRule="auto"/>
        <w:rPr>
          <w:sz w:val="20"/>
          <w:szCs w:val="20"/>
          <w:color w:val="auto"/>
        </w:rPr>
      </w:pPr>
      <w:r>
        <w:rPr>
          <w:rFonts w:ascii="Arial" w:cs="Arial" w:eastAsia="Arial" w:hAnsi="Arial"/>
          <w:sz w:val="20"/>
          <w:szCs w:val="20"/>
          <w:color w:val="auto"/>
        </w:rPr>
        <w:t>On a U.S. GAAP basis, full-year 2023 diluted earnings per share was $0.32, as compared to diluted loss per share of $1.61 for full-year 2022. Full-year 2023 adjusted diluted earnings per share was $2.80, as compared to adjusted diluted earnings per share of $2.39 for full-year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Subsequent Events</w:t>
      </w:r>
    </w:p>
    <w:p>
      <w:pPr>
        <w:spacing w:after="0" w:line="336"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On January 8, 2024, LivaNova announced its plan to wind down the ACS segment to increase the Company's strategic focus on its core Cardiopulmonary and Neuromodulation segments. The wind down is anticipated to be substantially complete by the end of 2024. During the first quarter of 2024, the Company intends to transition all ACS standalone cannulae products and related accessories into the Cardiopulmonary segment. The Company expects the wind down to result in a positive contribution to adjusted operating income in 2024 as compared to 2023.</w:t>
      </w:r>
    </w:p>
    <w:p>
      <w:pPr>
        <w:spacing w:after="0" w:line="175" w:lineRule="exact"/>
        <w:rPr>
          <w:sz w:val="20"/>
          <w:szCs w:val="20"/>
          <w:color w:val="auto"/>
        </w:rPr>
      </w:pPr>
    </w:p>
    <w:p>
      <w:pPr>
        <w:jc w:val="both"/>
        <w:spacing w:after="0" w:line="369" w:lineRule="auto"/>
        <w:rPr>
          <w:sz w:val="20"/>
          <w:szCs w:val="20"/>
          <w:color w:val="auto"/>
        </w:rPr>
      </w:pPr>
      <w:r>
        <w:rPr>
          <w:rFonts w:ascii="Arial" w:cs="Arial" w:eastAsia="Arial" w:hAnsi="Arial"/>
          <w:sz w:val="20"/>
          <w:szCs w:val="20"/>
          <w:color w:val="auto"/>
        </w:rPr>
        <w:t>On February 5, 2024, LivaNova announced its Board of Directors named Vladimir A. Makatsaria as the Company's CEO and a member of the Board of Directors, effective March 1, 2024. Makatsaria most recently served as Company Group Chairman at Johnson &amp; Johnson MedTech, leading its global Ethicon surgery business. Makatsaria will succeed Kozy, who has served as Interim CEO since April 2023. Kozy will continue in his role as LivaNova Board Chair.</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2024 Guidance</w:t>
      </w:r>
    </w:p>
    <w:p>
      <w:pPr>
        <w:spacing w:after="0" w:line="336" w:lineRule="exact"/>
        <w:rPr>
          <w:sz w:val="20"/>
          <w:szCs w:val="20"/>
          <w:color w:val="auto"/>
        </w:rPr>
      </w:pPr>
    </w:p>
    <w:p>
      <w:pPr>
        <w:jc w:val="both"/>
        <w:spacing w:after="0" w:line="371" w:lineRule="auto"/>
        <w:rPr>
          <w:sz w:val="20"/>
          <w:szCs w:val="20"/>
          <w:color w:val="auto"/>
        </w:rPr>
      </w:pPr>
      <w:r>
        <w:rPr>
          <w:rFonts w:ascii="Arial" w:cs="Arial" w:eastAsia="Arial" w:hAnsi="Arial"/>
          <w:sz w:val="20"/>
          <w:szCs w:val="20"/>
          <w:color w:val="auto"/>
        </w:rPr>
        <w:t>LivaNova expects revenue for full-year 2024 to grow between 4 and 5 percent on a constant-currency basis. When excluding the impact of the ACS segment wind down, the Company expects revenue for full-year 2024 to grow between 6 and 7 percent on a constant-currency basis. Foreign currency is expected to be negligible based on current exchange rates.</w:t>
      </w:r>
    </w:p>
    <w:p>
      <w:pPr>
        <w:spacing w:after="0" w:line="168" w:lineRule="exact"/>
        <w:rPr>
          <w:sz w:val="20"/>
          <w:szCs w:val="20"/>
          <w:color w:val="auto"/>
        </w:rPr>
      </w:pPr>
    </w:p>
    <w:p>
      <w:pPr>
        <w:jc w:val="both"/>
        <w:spacing w:after="0" w:line="371" w:lineRule="auto"/>
        <w:rPr>
          <w:sz w:val="20"/>
          <w:szCs w:val="20"/>
          <w:color w:val="auto"/>
        </w:rPr>
      </w:pPr>
      <w:r>
        <w:rPr>
          <w:rFonts w:ascii="Arial" w:cs="Arial" w:eastAsia="Arial" w:hAnsi="Arial"/>
          <w:sz w:val="20"/>
          <w:szCs w:val="20"/>
          <w:color w:val="auto"/>
        </w:rPr>
        <w:t>Adjusted diluted earnings per share for 2024 are expected to be in the range of $2.95 to $3.05, assuming a share count of approximately 55 million for full-year 2024. In 2024, the Company estimates that adjusted free cash flow will be in the range of $95 to $115 million.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161"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 xml:space="preserve">The Company will host a live audiocast for interested parties commencing at 1 p.m. London time (8 a.m. Eastern Time) on Wednesday, February 21, 2024 that will be accessible at </w:t>
      </w:r>
      <w:r>
        <w:rPr>
          <w:rFonts w:ascii="Arial" w:cs="Arial" w:eastAsia="Arial" w:hAnsi="Arial"/>
          <w:sz w:val="20"/>
          <w:szCs w:val="20"/>
          <w:u w:val="single" w:color="auto"/>
          <w:color w:val="0E32E1"/>
        </w:rPr>
        <w:t>www.livanova.com/events</w:t>
      </w:r>
      <w:r>
        <w:rPr>
          <w:rFonts w:ascii="Arial" w:cs="Arial" w:eastAsia="Arial" w:hAnsi="Arial"/>
          <w:sz w:val="20"/>
          <w:szCs w:val="20"/>
          <w:color w:val="auto"/>
        </w:rPr>
        <w:t xml:space="preserve">. Listeners should register in advance and log on approximately 10 minutes early to ensure proper setup. To listen to the conference call by telephone, dial +1 833 470 1428 (if dialing from within the U.S.) or +1 929 526 1599 (if dialing from outside the U.S.). The conference call access code is 206069. Within 24 hours of the audiocast, a replay will be available at </w:t>
      </w:r>
      <w:r>
        <w:rPr>
          <w:rFonts w:ascii="Arial" w:cs="Arial" w:eastAsia="Arial" w:hAnsi="Arial"/>
          <w:sz w:val="20"/>
          <w:szCs w:val="20"/>
          <w:u w:val="single" w:color="auto"/>
          <w:color w:val="0E32E1"/>
        </w:rPr>
        <w:t>www.livanova.com/events</w:t>
      </w:r>
      <w:r>
        <w:rPr>
          <w:rFonts w:ascii="Arial" w:cs="Arial" w:eastAsia="Arial" w:hAnsi="Arial"/>
          <w:sz w:val="20"/>
          <w:szCs w:val="20"/>
          <w:color w:val="auto"/>
        </w:rPr>
        <w:t>, where it will be archived and accessible for approximately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6D2077"/>
        </w:rPr>
        <w:t>About LivaNova</w:t>
      </w:r>
    </w:p>
    <w:p>
      <w:pPr>
        <w:spacing w:after="0" w:line="334"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 xml:space="preserve">LivaNova PLC is a global medical technology company built on nearly five decades of experience and a relentless commitment to provide hope for patients and their families through medical technologies, delivering life-changing improvements for both the Head and Heart. Headquartered in London, LivaNova employs approximately 2,900 employees and has a presence in more than 100 countries for the benefit of patients, healthcare professionals and healthcare systems worldwide. For more information, please visit </w:t>
      </w:r>
      <w:r>
        <w:rPr>
          <w:rFonts w:ascii="Arial" w:cs="Arial" w:eastAsia="Arial" w:hAnsi="Arial"/>
          <w:sz w:val="20"/>
          <w:szCs w:val="20"/>
          <w:u w:val="single" w:color="auto"/>
          <w:color w:val="0E32E1"/>
        </w:rPr>
        <w:t>www.livanova.com</w:t>
      </w:r>
      <w:r>
        <w:rPr>
          <w:rFonts w:ascii="Arial" w:cs="Arial" w:eastAsia="Arial" w:hAnsi="Arial"/>
          <w:sz w:val="20"/>
          <w:szCs w:val="2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6D2077"/>
        </w:rPr>
        <w:t>Use of Non-GAAP Financial Measures</w:t>
      </w:r>
    </w:p>
    <w:p>
      <w:pPr>
        <w:spacing w:after="0" w:line="334"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auto"/>
        </w:rPr>
        <w:t>In this news release, management has disclosed financial measurements that present financial information not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operating performance measures as prescribed by GAAP.</w:t>
      </w:r>
    </w:p>
    <w:p>
      <w:pPr>
        <w:spacing w:after="0" w:line="193"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In this news release, the Company refers to comparable, constant-currency percent change in revenue. Management believes that referring to comparable, constant-currency percent change is the most useful way to evaluate the revenue performance of LivaNova and to compare the revenue performance of current periods to prior periods on a consistent basis. Constant-currency percent change, a non-GAAP financial measure, measures the change in revenue between current and prior-year periods using average exchange rates in effect during the applicable prior-year period.</w:t>
      </w:r>
    </w:p>
    <w:p>
      <w:pPr>
        <w:spacing w:after="0" w:line="175"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 other items such as, but not limited to, changes in fair value of derivatives and contingent consideration arrangements and asset impairment charges that would be included in comparable GAAP financial measures. The most directly comparable GAAP measure for constant-currency net revenue, non-GAAP adjusted tax rate and adjusted diluted earnings per share are net revenue, the effective tax rate and earnings per share, respectively. The most directly comparable GAAP measure for adjusted free cash flow is net cash provided by operating activities. Adjusted free cash flow is defined as net cash provided by operating activities less cash used for the purchase of property, plant and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28"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auto"/>
        </w:rPr>
        <w:t>equipment excluding the impact of 3T litigation settlement payments, CARES Act tax stimulus benefits and gains related to dividends received from investments and further adjusted as needed for other one-time, nonrecurring, unusual or infrequent charges, expenses or gains, including associated expenses, that may not be indicative of the Company's core business.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forward-looking non-GAAP financial measures and reconciliations to the most directly comparable forward-looking GAAP financial measures are not available without unreasonable effort.</w:t>
      </w:r>
    </w:p>
    <w:p>
      <w:pPr>
        <w:spacing w:after="0" w:line="178"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The Company also believes adjusted financial measures such as adjusted gross profit percentage, adjusted selling, general and administrative expense, adjusted research and development expense, adjusted other operating expenses, adjusted operating income, adjusted income tax expense, adjusted net income and adjusted diluted earnings per share, are measures by which LivaNova generally uses to facilitate management review of the operational performance of the company, to serve as a basis for strategic planning and to assist in the design of compensation incentive plans. Additionally, the Company also uses the non-GAAP liquidity measure adjusted free cash flow.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6D2077"/>
        </w:rPr>
        <w:t>Safe Harbor Statement</w:t>
      </w:r>
    </w:p>
    <w:p>
      <w:pPr>
        <w:spacing w:after="0" w:line="320"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Certain statements in this news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28" w:lineRule="exact"/>
        <w:rPr>
          <w:sz w:val="20"/>
          <w:szCs w:val="20"/>
          <w:color w:val="auto"/>
        </w:rPr>
      </w:pPr>
    </w:p>
    <w:p>
      <w:pPr>
        <w:jc w:val="both"/>
        <w:spacing w:after="0" w:line="358" w:lineRule="auto"/>
        <w:rPr>
          <w:sz w:val="20"/>
          <w:szCs w:val="20"/>
          <w:color w:val="auto"/>
        </w:rPr>
      </w:pPr>
      <w:r>
        <w:rPr>
          <w:rFonts w:ascii="Arial" w:cs="Arial" w:eastAsia="Arial" w:hAnsi="Arial"/>
          <w:sz w:val="20"/>
          <w:szCs w:val="20"/>
          <w:color w:val="auto"/>
        </w:rPr>
        <w:t>“foresee”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changes to existing trade agreements and relationships between the US and other countries including the implementation of sanctions; cyber-attacks or other disruptions to the Company’s information technology systems or those of third parties with which the Company interacts; costs of complying with privacy and security of personal information requirements and laws; risks related to reductions and interruptions in the Company’s supply chain; changes in technology, including the development of superior or 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risks relating to recalls, enforcement actions or product liability claims; changes or reduction in reimbursement for the Company’s products or failure to comply with rules relating to reimbursement of healthcare goods and services; failure to comply with anti-bribery laws; losses or costs from pending or future lawsuits and governmental investigations, including in the case of the Company’s 3T Heater-Cooler and SNIA litigations; risks associated with environmental laws and regulations as well as environmental liabilities, violations, protest voting and litigation;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risks relating to the impact of climate change and ESG pressures from internal and external stakeholders; the risk of quality concerns and the impacts thereof; failure to protect the Company’s proprietary intellectual property; failure of new acquisitions to further the Company’s strategic objectives or strengthen the Company’s existing businesses; the potential for impairments of intangible assets, goodwill and other long-lived assets; risks relating to the Company’s indebtedness including under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28"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exchangeable senior notes, the Company’s revolving credit facility and the Company’s 2022 Term Facilities, as defined herein;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spacing w:after="0" w:line="189"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188"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auto"/>
        </w:rPr>
        <w:t>Readers are cautioned not to place undue reliance on the Company's forward-looking statements, which speak only as of the date of this news release. The Company undertakes no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LivaNova updates one or more forward-looking statements, no inference should be drawn that the Company will make additional updates with respect to those or other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Essenz is a trademark of LivaNova USA, Inc.</w:t>
      </w: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color w:val="auto"/>
        </w:rPr>
        <w:t>Briana Gotlin</w:t>
      </w:r>
    </w:p>
    <w:p>
      <w:pPr>
        <w:spacing w:after="0" w:line="287" w:lineRule="exact"/>
        <w:rPr>
          <w:sz w:val="20"/>
          <w:szCs w:val="20"/>
          <w:color w:val="auto"/>
        </w:rPr>
      </w:pPr>
    </w:p>
    <w:p>
      <w:pPr>
        <w:ind w:left="80"/>
        <w:spacing w:after="0"/>
        <w:rPr>
          <w:sz w:val="20"/>
          <w:szCs w:val="20"/>
          <w:color w:val="auto"/>
        </w:rPr>
      </w:pPr>
      <w:r>
        <w:rPr>
          <w:rFonts w:ascii="Arial" w:cs="Arial" w:eastAsia="Arial" w:hAnsi="Arial"/>
          <w:sz w:val="20"/>
          <w:szCs w:val="20"/>
          <w:color w:val="auto"/>
        </w:rPr>
        <w:t>Director, Investor Relations</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20"/>
          <w:szCs w:val="20"/>
          <w:color w:val="auto"/>
        </w:rPr>
        <w:t>Phone: +1 281 895 2382</w:t>
      </w:r>
    </w:p>
    <w:p>
      <w:pPr>
        <w:ind w:left="80"/>
        <w:spacing w:after="0"/>
        <w:rPr>
          <w:sz w:val="20"/>
          <w:szCs w:val="20"/>
          <w:color w:val="auto"/>
        </w:rPr>
      </w:pPr>
      <w:r>
        <w:rPr>
          <w:rFonts w:ascii="Arial" w:cs="Arial" w:eastAsia="Arial" w:hAnsi="Arial"/>
          <w:sz w:val="20"/>
          <w:szCs w:val="20"/>
          <w:color w:val="auto"/>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0" w:lineRule="exact"/>
        <w:rPr>
          <w:sz w:val="20"/>
          <w:szCs w:val="20"/>
          <w:color w:val="auto"/>
        </w:rPr>
      </w:pPr>
    </w:p>
    <w:tbl>
      <w:tblPr>
        <w:tblLayout w:type="fixed"/>
        <w:tblInd w:w="8" w:type="dxa"/>
        <w:tblCellMar>
          <w:top w:w="0" w:type="dxa"/>
          <w:left w:w="0" w:type="dxa"/>
          <w:bottom w:w="0" w:type="dxa"/>
          <w:right w:w="0" w:type="dxa"/>
        </w:tblCellMar>
      </w:tblPr>
      <w:tr>
        <w:trPr>
          <w:trHeight w:val="228"/>
        </w:trPr>
        <w:tc>
          <w:tcPr>
            <w:tcW w:w="450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50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40" w:type="dxa"/>
            <w:vAlign w:val="bottom"/>
            <w:gridSpan w:val="5"/>
            <w:vMerge w:val="restart"/>
          </w:tcPr>
          <w:p>
            <w:pPr>
              <w:jc w:val="right"/>
              <w:ind w:right="1751"/>
              <w:spacing w:after="0"/>
              <w:rPr>
                <w:sz w:val="20"/>
                <w:szCs w:val="20"/>
                <w:color w:val="auto"/>
              </w:rPr>
            </w:pPr>
            <w:r>
              <w:rPr>
                <w:rFonts w:ascii="Arial" w:cs="Arial" w:eastAsia="Arial" w:hAnsi="Arial"/>
                <w:sz w:val="18"/>
                <w:szCs w:val="18"/>
                <w:b w:val="1"/>
                <w:bCs w:val="1"/>
                <w:color w:val="auto"/>
              </w:rPr>
              <w:t>Three Months Ended December 31,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500" w:type="dxa"/>
            <w:vAlign w:val="bottom"/>
          </w:tcPr>
          <w:p>
            <w:pPr>
              <w:spacing w:after="0"/>
              <w:rPr>
                <w:sz w:val="14"/>
                <w:szCs w:val="14"/>
                <w:color w:val="auto"/>
              </w:rPr>
            </w:pPr>
          </w:p>
        </w:tc>
        <w:tc>
          <w:tcPr>
            <w:tcW w:w="132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4"/>
                <w:szCs w:val="14"/>
                <w:color w:val="auto"/>
              </w:rPr>
            </w:pPr>
          </w:p>
        </w:tc>
        <w:tc>
          <w:tcPr>
            <w:tcW w:w="132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194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 Change</w:t>
            </w:r>
          </w:p>
        </w:tc>
        <w:tc>
          <w:tcPr>
            <w:tcW w:w="1880" w:type="dxa"/>
            <w:vAlign w:val="bottom"/>
          </w:tcPr>
          <w:p>
            <w:pPr>
              <w:jc w:val="right"/>
              <w:spacing w:after="0" w:line="168" w:lineRule="exact"/>
              <w:rPr>
                <w:sz w:val="20"/>
                <w:szCs w:val="20"/>
                <w:color w:val="auto"/>
              </w:rPr>
            </w:pPr>
            <w:r>
              <w:rPr>
                <w:rFonts w:ascii="Arial" w:cs="Arial" w:eastAsia="Arial" w:hAnsi="Arial"/>
                <w:sz w:val="18"/>
                <w:szCs w:val="18"/>
                <w:b w:val="1"/>
                <w:bCs w:val="1"/>
                <w:color w:val="auto"/>
                <w:w w:val="99"/>
              </w:rPr>
              <w:t>Constant-Currency %</w:t>
            </w:r>
          </w:p>
        </w:tc>
        <w:tc>
          <w:tcPr>
            <w:tcW w:w="0" w:type="dxa"/>
            <w:vAlign w:val="bottom"/>
          </w:tcPr>
          <w:p>
            <w:pPr>
              <w:spacing w:after="0"/>
              <w:rPr>
                <w:sz w:val="1"/>
                <w:szCs w:val="1"/>
                <w:color w:val="auto"/>
              </w:rPr>
            </w:pPr>
          </w:p>
        </w:tc>
      </w:tr>
      <w:tr>
        <w:trPr>
          <w:trHeight w:val="242"/>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vMerge w:val="continue"/>
          </w:tcPr>
          <w:p>
            <w:pPr>
              <w:spacing w:after="0"/>
              <w:rPr>
                <w:sz w:val="21"/>
                <w:szCs w:val="21"/>
                <w:color w:val="auto"/>
              </w:rPr>
            </w:pPr>
          </w:p>
        </w:tc>
        <w:tc>
          <w:tcPr>
            <w:tcW w:w="1880" w:type="dxa"/>
            <w:vAlign w:val="bottom"/>
          </w:tcPr>
          <w:p>
            <w:pPr>
              <w:jc w:val="right"/>
              <w:ind w:right="431"/>
              <w:spacing w:after="0" w:line="242" w:lineRule="exact"/>
              <w:rPr>
                <w:sz w:val="20"/>
                <w:szCs w:val="20"/>
                <w:color w:val="auto"/>
              </w:rPr>
            </w:pPr>
            <w:r>
              <w:rPr>
                <w:rFonts w:ascii="Arial" w:cs="Arial" w:eastAsia="Arial" w:hAnsi="Arial"/>
                <w:sz w:val="18"/>
                <w:szCs w:val="18"/>
                <w:b w:val="1"/>
                <w:bCs w:val="1"/>
                <w:color w:val="auto"/>
              </w:rPr>
              <w:t xml:space="preserve">Change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0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26.4 %</w:t>
            </w:r>
          </w:p>
        </w:tc>
        <w:tc>
          <w:tcPr>
            <w:tcW w:w="0" w:type="dxa"/>
            <w:vAlign w:val="bottom"/>
          </w:tcPr>
          <w:p>
            <w:pPr>
              <w:spacing w:after="0"/>
              <w:rPr>
                <w:sz w:val="1"/>
                <w:szCs w:val="1"/>
                <w:color w:val="auto"/>
              </w:rPr>
            </w:pPr>
          </w:p>
        </w:tc>
      </w:tr>
      <w:tr>
        <w:trPr>
          <w:trHeight w:val="231"/>
        </w:trPr>
        <w:tc>
          <w:tcPr>
            <w:tcW w:w="4500" w:type="dxa"/>
            <w:vAlign w:val="bottom"/>
          </w:tcPr>
          <w:p>
            <w:pPr>
              <w:ind w:left="100"/>
              <w:spacing w:after="0" w:line="231"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38.9 %</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34"/>
        </w:trPr>
        <w:tc>
          <w:tcPr>
            <w:tcW w:w="450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2"/>
        </w:trPr>
        <w:tc>
          <w:tcPr>
            <w:tcW w:w="4500" w:type="dxa"/>
            <w:vAlign w:val="bottom"/>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03"/>
        </w:trPr>
        <w:tc>
          <w:tcPr>
            <w:tcW w:w="4500" w:type="dxa"/>
            <w:vAlign w:val="bottom"/>
          </w:tcPr>
          <w:p>
            <w:pPr>
              <w:spacing w:after="0" w:line="203" w:lineRule="exact"/>
              <w:rPr>
                <w:sz w:val="20"/>
                <w:szCs w:val="20"/>
                <w:color w:val="auto"/>
              </w:rPr>
            </w:pPr>
            <w:r>
              <w:rPr>
                <w:rFonts w:ascii="Arial" w:cs="Arial" w:eastAsia="Arial" w:hAnsi="Arial"/>
                <w:sz w:val="18"/>
                <w:szCs w:val="18"/>
                <w:b w:val="1"/>
                <w:bCs w:val="1"/>
                <w:color w:val="auto"/>
              </w:rPr>
              <w:t>Neuromodulation</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0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1"/>
        </w:trPr>
        <w:tc>
          <w:tcPr>
            <w:tcW w:w="4500" w:type="dxa"/>
            <w:vAlign w:val="bottom"/>
          </w:tcPr>
          <w:p>
            <w:pPr>
              <w:ind w:left="100"/>
              <w:spacing w:after="0" w:line="231"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34"/>
        </w:trPr>
        <w:tc>
          <w:tcPr>
            <w:tcW w:w="450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4500" w:type="dxa"/>
            <w:vAlign w:val="bottom"/>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3"/>
        </w:trPr>
        <w:tc>
          <w:tcPr>
            <w:tcW w:w="4500" w:type="dxa"/>
            <w:vAlign w:val="bottom"/>
          </w:tcPr>
          <w:p>
            <w:pPr>
              <w:spacing w:after="0" w:line="203" w:lineRule="exact"/>
              <w:rPr>
                <w:sz w:val="20"/>
                <w:szCs w:val="20"/>
                <w:color w:val="auto"/>
              </w:rPr>
            </w:pPr>
            <w:r>
              <w:rPr>
                <w:rFonts w:ascii="Arial" w:cs="Arial" w:eastAsia="Arial" w:hAnsi="Arial"/>
                <w:sz w:val="18"/>
                <w:szCs w:val="18"/>
                <w:b w:val="1"/>
                <w:bCs w:val="1"/>
                <w:color w:val="auto"/>
              </w:rPr>
              <w:t>Advanced Circulatory Support</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0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1"/>
        </w:trPr>
        <w:tc>
          <w:tcPr>
            <w:tcW w:w="4500" w:type="dxa"/>
            <w:vAlign w:val="bottom"/>
          </w:tcPr>
          <w:p>
            <w:pPr>
              <w:ind w:left="100"/>
              <w:spacing w:after="0" w:line="231"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NM</w:t>
            </w:r>
          </w:p>
        </w:tc>
        <w:tc>
          <w:tcPr>
            <w:tcW w:w="18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4"/>
        </w:trPr>
        <w:tc>
          <w:tcPr>
            <w:tcW w:w="450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NM</w:t>
            </w:r>
          </w:p>
        </w:tc>
        <w:tc>
          <w:tcPr>
            <w:tcW w:w="18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4500" w:type="dxa"/>
            <w:vAlign w:val="bottom"/>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2"/>
        </w:trPr>
        <w:tc>
          <w:tcPr>
            <w:tcW w:w="4500" w:type="dxa"/>
            <w:vAlign w:val="bottom"/>
          </w:tcPr>
          <w:p>
            <w:pPr>
              <w:spacing w:after="0" w:line="222" w:lineRule="exact"/>
              <w:rPr>
                <w:sz w:val="20"/>
                <w:szCs w:val="20"/>
                <w:color w:val="auto"/>
              </w:rPr>
            </w:pPr>
            <w:r>
              <w:rPr>
                <w:rFonts w:ascii="Arial" w:cs="Arial" w:eastAsia="Arial" w:hAnsi="Arial"/>
                <w:sz w:val="18"/>
                <w:szCs w:val="18"/>
                <w:b w:val="1"/>
                <w:bCs w:val="1"/>
                <w:color w:val="auto"/>
              </w:rPr>
              <w:t xml:space="preserve">Other Revenue </w:t>
            </w:r>
            <w:r>
              <w:rPr>
                <w:rFonts w:ascii="Arial" w:cs="Arial" w:eastAsia="Arial" w:hAnsi="Arial"/>
                <w:sz w:val="23"/>
                <w:szCs w:val="23"/>
                <w:b w:val="1"/>
                <w:bCs w:val="1"/>
                <w:color w:val="auto"/>
                <w:vertAlign w:val="superscript"/>
              </w:rPr>
              <w:t>(3)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4500" w:type="dxa"/>
            <w:vAlign w:val="bottom"/>
          </w:tcPr>
          <w:p>
            <w:pPr>
              <w:spacing w:after="0" w:line="203" w:lineRule="exact"/>
              <w:rPr>
                <w:sz w:val="20"/>
                <w:szCs w:val="20"/>
                <w:color w:val="auto"/>
              </w:rPr>
            </w:pPr>
            <w:r>
              <w:rPr>
                <w:rFonts w:ascii="Arial" w:cs="Arial" w:eastAsia="Arial" w:hAnsi="Arial"/>
                <w:sz w:val="18"/>
                <w:szCs w:val="18"/>
                <w:b w:val="1"/>
                <w:bCs w:val="1"/>
                <w:color w:val="auto"/>
              </w:rPr>
              <w:t>Totals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0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31"/>
        </w:trPr>
        <w:tc>
          <w:tcPr>
            <w:tcW w:w="4500" w:type="dxa"/>
            <w:vAlign w:val="bottom"/>
          </w:tcPr>
          <w:p>
            <w:pPr>
              <w:ind w:left="100"/>
              <w:spacing w:after="0" w:line="231"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35.1 %</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34"/>
        </w:trPr>
        <w:tc>
          <w:tcPr>
            <w:tcW w:w="450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2"/>
        </w:trPr>
        <w:tc>
          <w:tcPr>
            <w:tcW w:w="4500" w:type="dxa"/>
            <w:vAlign w:val="bottom"/>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8" w:right="300" w:hanging="408"/>
        <w:spacing w:after="0" w:line="245" w:lineRule="auto"/>
        <w:tabs>
          <w:tab w:leader="none" w:pos="408"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Constant-currency percent change, a non-GAAP financial measure, measures the change in revenue between current and prior-year periods using average exchange rates in effect during the applicable prior-year period.</w:t>
      </w:r>
    </w:p>
    <w:p>
      <w:pPr>
        <w:ind w:left="408" w:right="300" w:hanging="408"/>
        <w:spacing w:after="0" w:line="245" w:lineRule="auto"/>
        <w:tabs>
          <w:tab w:leader="none" w:pos="40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countries in Europe where the Company has a direct sales presence. Countries where sales are made through distributors are included in “Rest of World.”</w:t>
      </w:r>
    </w:p>
    <w:p>
      <w:pPr>
        <w:ind w:left="408" w:hanging="408"/>
        <w:spacing w:after="0"/>
        <w:tabs>
          <w:tab w:leader="none" w:pos="408"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revenue primarily includes rental income not allocated to segments.</w:t>
      </w:r>
    </w:p>
    <w:p>
      <w:pPr>
        <w:spacing w:after="0" w:line="31"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6"/>
          <w:szCs w:val="16"/>
          <w:color w:val="auto"/>
        </w:rPr>
        <w:t>NM</w:t>
        <w:tab/>
        <w:t>Indicates that variance as a percentage is not meaningful.</w:t>
      </w:r>
    </w:p>
    <w:p>
      <w:pPr>
        <w:spacing w:after="0" w:line="31" w:lineRule="exact"/>
        <w:rPr>
          <w:sz w:val="20"/>
          <w:szCs w:val="20"/>
          <w:color w:val="auto"/>
        </w:rPr>
      </w:pPr>
    </w:p>
    <w:p>
      <w:pPr>
        <w:ind w:left="408" w:hanging="408"/>
        <w:spacing w:after="0"/>
        <w:tabs>
          <w:tab w:leader="none" w:pos="40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revenue results presented are unaudited. Numbers may not add precisely due to rounding.</w:t>
      </w:r>
    </w:p>
    <w:p>
      <w:pPr>
        <w:spacing w:after="0" w:line="200" w:lineRule="exact"/>
        <w:rPr>
          <w:sz w:val="20"/>
          <w:szCs w:val="20"/>
          <w:color w:val="auto"/>
        </w:rPr>
      </w:pPr>
    </w:p>
    <w:p>
      <w:pPr>
        <w:spacing w:after="0" w:line="208"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168"/>
          </w:cols>
          <w:pgMar w:left="372" w:top="1440" w:right="359" w:bottom="1440" w:gutter="0" w:footer="0" w:header="0"/>
        </w:sectPr>
      </w:pPr>
    </w:p>
    <w:bookmarkStart w:id="12" w:name="page13"/>
    <w:bookmarkEnd w:id="12"/>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4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54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gridSpan w:val="4"/>
            <w:vMerge w:val="restart"/>
          </w:tcPr>
          <w:p>
            <w:pPr>
              <w:ind w:left="800"/>
              <w:spacing w:after="0"/>
              <w:rPr>
                <w:sz w:val="20"/>
                <w:szCs w:val="20"/>
                <w:color w:val="auto"/>
              </w:rPr>
            </w:pPr>
            <w:r>
              <w:rPr>
                <w:rFonts w:ascii="Arial" w:cs="Arial" w:eastAsia="Arial" w:hAnsi="Arial"/>
                <w:sz w:val="18"/>
                <w:szCs w:val="18"/>
                <w:b w:val="1"/>
                <w:bCs w:val="1"/>
                <w:color w:val="auto"/>
              </w:rPr>
              <w:t>Year Ended December 31,</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vMerge w:val="continue"/>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540" w:type="dxa"/>
            <w:vAlign w:val="bottom"/>
          </w:tcPr>
          <w:p>
            <w:pPr>
              <w:spacing w:after="0"/>
              <w:rPr>
                <w:sz w:val="14"/>
                <w:szCs w:val="14"/>
                <w:color w:val="auto"/>
              </w:rPr>
            </w:pPr>
          </w:p>
        </w:tc>
        <w:tc>
          <w:tcPr>
            <w:tcW w:w="130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4"/>
                <w:szCs w:val="14"/>
                <w:color w:val="auto"/>
              </w:rPr>
            </w:pPr>
          </w:p>
        </w:tc>
        <w:tc>
          <w:tcPr>
            <w:tcW w:w="1320" w:type="dxa"/>
            <w:vAlign w:val="bottom"/>
            <w:vMerge w:val="restart"/>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196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 Change</w:t>
            </w:r>
          </w:p>
        </w:tc>
        <w:tc>
          <w:tcPr>
            <w:tcW w:w="1840" w:type="dxa"/>
            <w:vAlign w:val="bottom"/>
          </w:tcPr>
          <w:p>
            <w:pPr>
              <w:jc w:val="right"/>
              <w:ind w:right="31"/>
              <w:spacing w:after="0" w:line="168" w:lineRule="exact"/>
              <w:rPr>
                <w:sz w:val="20"/>
                <w:szCs w:val="20"/>
                <w:color w:val="auto"/>
              </w:rPr>
            </w:pPr>
            <w:r>
              <w:rPr>
                <w:rFonts w:ascii="Arial" w:cs="Arial" w:eastAsia="Arial" w:hAnsi="Arial"/>
                <w:sz w:val="18"/>
                <w:szCs w:val="18"/>
                <w:b w:val="1"/>
                <w:bCs w:val="1"/>
                <w:color w:val="auto"/>
              </w:rPr>
              <w:t>Constant-Currency</w:t>
            </w:r>
          </w:p>
        </w:tc>
        <w:tc>
          <w:tcPr>
            <w:tcW w:w="0" w:type="dxa"/>
            <w:vAlign w:val="bottom"/>
          </w:tcPr>
          <w:p>
            <w:pPr>
              <w:spacing w:after="0"/>
              <w:rPr>
                <w:sz w:val="1"/>
                <w:szCs w:val="1"/>
                <w:color w:val="auto"/>
              </w:rPr>
            </w:pPr>
          </w:p>
        </w:tc>
      </w:tr>
      <w:tr>
        <w:trPr>
          <w:trHeight w:val="242"/>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3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vMerge w:val="continue"/>
          </w:tcPr>
          <w:p>
            <w:pPr>
              <w:spacing w:after="0"/>
              <w:rPr>
                <w:sz w:val="21"/>
                <w:szCs w:val="21"/>
                <w:color w:val="auto"/>
              </w:rPr>
            </w:pPr>
          </w:p>
        </w:tc>
        <w:tc>
          <w:tcPr>
            <w:tcW w:w="1840" w:type="dxa"/>
            <w:vAlign w:val="bottom"/>
          </w:tcPr>
          <w:p>
            <w:pPr>
              <w:jc w:val="right"/>
              <w:ind w:right="311"/>
              <w:spacing w:after="0" w:line="242" w:lineRule="exact"/>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40" w:type="dxa"/>
            <w:vAlign w:val="bottom"/>
          </w:tcPr>
          <w:p>
            <w:pPr>
              <w:ind w:left="120"/>
              <w:spacing w:after="0"/>
              <w:rPr>
                <w:sz w:val="20"/>
                <w:szCs w:val="20"/>
                <w:color w:val="auto"/>
              </w:rPr>
            </w:pPr>
            <w:r>
              <w:rPr>
                <w:rFonts w:ascii="Arial" w:cs="Arial" w:eastAsia="Arial" w:hAnsi="Arial"/>
                <w:sz w:val="18"/>
                <w:szCs w:val="18"/>
                <w:color w:val="auto"/>
              </w:rPr>
              <w:t>US</w:t>
            </w:r>
          </w:p>
        </w:tc>
        <w:tc>
          <w:tcPr>
            <w:tcW w:w="1300" w:type="dxa"/>
            <w:vAlign w:val="bottom"/>
          </w:tcPr>
          <w:p>
            <w:pPr>
              <w:jc w:val="right"/>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31"/>
        </w:trPr>
        <w:tc>
          <w:tcPr>
            <w:tcW w:w="4540" w:type="dxa"/>
            <w:vAlign w:val="bottom"/>
          </w:tcPr>
          <w:p>
            <w:pPr>
              <w:ind w:left="120"/>
              <w:spacing w:after="0" w:line="231"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23.2 %</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34"/>
        </w:trPr>
        <w:tc>
          <w:tcPr>
            <w:tcW w:w="454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22"/>
        </w:trPr>
        <w:tc>
          <w:tcPr>
            <w:tcW w:w="4540" w:type="dxa"/>
            <w:vAlign w:val="bottom"/>
          </w:tcPr>
          <w:p>
            <w:pPr>
              <w:ind w:left="2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17.7 %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03"/>
        </w:trPr>
        <w:tc>
          <w:tcPr>
            <w:tcW w:w="4540" w:type="dxa"/>
            <w:vAlign w:val="bottom"/>
          </w:tcPr>
          <w:p>
            <w:pPr>
              <w:spacing w:after="0" w:line="203" w:lineRule="exact"/>
              <w:rPr>
                <w:sz w:val="20"/>
                <w:szCs w:val="20"/>
                <w:color w:val="auto"/>
              </w:rPr>
            </w:pPr>
            <w:r>
              <w:rPr>
                <w:rFonts w:ascii="Arial" w:cs="Arial" w:eastAsia="Arial" w:hAnsi="Arial"/>
                <w:sz w:val="18"/>
                <w:szCs w:val="18"/>
                <w:b w:val="1"/>
                <w:bCs w:val="1"/>
                <w:color w:val="auto"/>
              </w:rPr>
              <w:t>Neuromodulation</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40" w:type="dxa"/>
            <w:vAlign w:val="bottom"/>
          </w:tcPr>
          <w:p>
            <w:pPr>
              <w:ind w:left="120"/>
              <w:spacing w:after="0"/>
              <w:rPr>
                <w:sz w:val="20"/>
                <w:szCs w:val="20"/>
                <w:color w:val="auto"/>
              </w:rPr>
            </w:pPr>
            <w:r>
              <w:rPr>
                <w:rFonts w:ascii="Arial" w:cs="Arial" w:eastAsia="Arial" w:hAnsi="Arial"/>
                <w:sz w:val="18"/>
                <w:szCs w:val="18"/>
                <w:color w:val="auto"/>
              </w:rPr>
              <w:t>US</w:t>
            </w:r>
          </w:p>
        </w:tc>
        <w:tc>
          <w:tcPr>
            <w:tcW w:w="1300" w:type="dxa"/>
            <w:vAlign w:val="bottom"/>
          </w:tcPr>
          <w:p>
            <w:pPr>
              <w:jc w:val="right"/>
              <w:spacing w:after="0"/>
              <w:rPr>
                <w:sz w:val="20"/>
                <w:szCs w:val="20"/>
                <w:color w:val="auto"/>
              </w:rPr>
            </w:pPr>
            <w:r>
              <w:rPr>
                <w:rFonts w:ascii="Arial" w:cs="Arial" w:eastAsia="Arial" w:hAnsi="Arial"/>
                <w:sz w:val="18"/>
                <w:szCs w:val="18"/>
                <w:color w:val="auto"/>
              </w:rPr>
              <w:t>407.5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31"/>
        </w:trPr>
        <w:tc>
          <w:tcPr>
            <w:tcW w:w="4540" w:type="dxa"/>
            <w:vAlign w:val="bottom"/>
          </w:tcPr>
          <w:p>
            <w:pPr>
              <w:ind w:left="120"/>
              <w:spacing w:after="0" w:line="231"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34"/>
        </w:trPr>
        <w:tc>
          <w:tcPr>
            <w:tcW w:w="454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22"/>
        </w:trPr>
        <w:tc>
          <w:tcPr>
            <w:tcW w:w="4540" w:type="dxa"/>
            <w:vAlign w:val="bottom"/>
          </w:tcPr>
          <w:p>
            <w:pPr>
              <w:ind w:left="2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3"/>
        </w:trPr>
        <w:tc>
          <w:tcPr>
            <w:tcW w:w="4540" w:type="dxa"/>
            <w:vAlign w:val="bottom"/>
          </w:tcPr>
          <w:p>
            <w:pPr>
              <w:spacing w:after="0" w:line="203" w:lineRule="exact"/>
              <w:rPr>
                <w:sz w:val="20"/>
                <w:szCs w:val="20"/>
                <w:color w:val="auto"/>
              </w:rPr>
            </w:pPr>
            <w:r>
              <w:rPr>
                <w:rFonts w:ascii="Arial" w:cs="Arial" w:eastAsia="Arial" w:hAnsi="Arial"/>
                <w:sz w:val="18"/>
                <w:szCs w:val="18"/>
                <w:b w:val="1"/>
                <w:bCs w:val="1"/>
                <w:color w:val="auto"/>
              </w:rPr>
              <w:t>Advanced Circulatory Support</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40" w:type="dxa"/>
            <w:vAlign w:val="bottom"/>
          </w:tcPr>
          <w:p>
            <w:pPr>
              <w:ind w:left="120"/>
              <w:spacing w:after="0"/>
              <w:rPr>
                <w:sz w:val="20"/>
                <w:szCs w:val="20"/>
                <w:color w:val="auto"/>
              </w:rPr>
            </w:pPr>
            <w:r>
              <w:rPr>
                <w:rFonts w:ascii="Arial" w:cs="Arial" w:eastAsia="Arial" w:hAnsi="Arial"/>
                <w:sz w:val="18"/>
                <w:szCs w:val="18"/>
                <w:color w:val="auto"/>
              </w:rPr>
              <w:t>US</w:t>
            </w:r>
          </w:p>
        </w:tc>
        <w:tc>
          <w:tcPr>
            <w:tcW w:w="130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1"/>
        </w:trPr>
        <w:tc>
          <w:tcPr>
            <w:tcW w:w="4540" w:type="dxa"/>
            <w:vAlign w:val="bottom"/>
          </w:tcPr>
          <w:p>
            <w:pPr>
              <w:ind w:left="120"/>
              <w:spacing w:after="0" w:line="231"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960" w:type="dxa"/>
            <w:vAlign w:val="bottom"/>
            <w:gridSpan w:val="2"/>
          </w:tcPr>
          <w:p>
            <w:pPr>
              <w:ind w:left="1540"/>
              <w:spacing w:after="0"/>
              <w:rPr>
                <w:sz w:val="20"/>
                <w:szCs w:val="20"/>
                <w:color w:val="auto"/>
              </w:rPr>
            </w:pPr>
            <w:r>
              <w:rPr>
                <w:rFonts w:ascii="Arial" w:cs="Arial" w:eastAsia="Arial" w:hAnsi="Arial"/>
                <w:sz w:val="18"/>
                <w:szCs w:val="18"/>
                <w:color w:val="auto"/>
              </w:rPr>
              <w:t>NM</w:t>
            </w:r>
          </w:p>
        </w:tc>
        <w:tc>
          <w:tcPr>
            <w:tcW w:w="18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4"/>
        </w:trPr>
        <w:tc>
          <w:tcPr>
            <w:tcW w:w="454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960" w:type="dxa"/>
            <w:vAlign w:val="bottom"/>
            <w:gridSpan w:val="2"/>
          </w:tcPr>
          <w:p>
            <w:pPr>
              <w:ind w:left="1540"/>
              <w:spacing w:after="0"/>
              <w:rPr>
                <w:sz w:val="20"/>
                <w:szCs w:val="20"/>
                <w:color w:val="auto"/>
              </w:rPr>
            </w:pPr>
            <w:r>
              <w:rPr>
                <w:rFonts w:ascii="Arial" w:cs="Arial" w:eastAsia="Arial" w:hAnsi="Arial"/>
                <w:sz w:val="18"/>
                <w:szCs w:val="18"/>
                <w:color w:val="auto"/>
              </w:rPr>
              <w:t>NM</w:t>
            </w:r>
          </w:p>
        </w:tc>
        <w:tc>
          <w:tcPr>
            <w:tcW w:w="18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4540" w:type="dxa"/>
            <w:vAlign w:val="bottom"/>
          </w:tcPr>
          <w:p>
            <w:pPr>
              <w:ind w:left="2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2"/>
        </w:trPr>
        <w:tc>
          <w:tcPr>
            <w:tcW w:w="4540" w:type="dxa"/>
            <w:vAlign w:val="bottom"/>
          </w:tcPr>
          <w:p>
            <w:pPr>
              <w:spacing w:after="0" w:line="222" w:lineRule="exact"/>
              <w:rPr>
                <w:sz w:val="20"/>
                <w:szCs w:val="20"/>
                <w:color w:val="auto"/>
              </w:rPr>
            </w:pPr>
            <w:r>
              <w:rPr>
                <w:rFonts w:ascii="Arial" w:cs="Arial" w:eastAsia="Arial" w:hAnsi="Arial"/>
                <w:sz w:val="18"/>
                <w:szCs w:val="18"/>
                <w:b w:val="1"/>
                <w:bCs w:val="1"/>
                <w:color w:val="auto"/>
              </w:rPr>
              <w:t xml:space="preserve">Other Revenue </w:t>
            </w:r>
            <w:r>
              <w:rPr>
                <w:rFonts w:ascii="Arial" w:cs="Arial" w:eastAsia="Arial" w:hAnsi="Arial"/>
                <w:sz w:val="23"/>
                <w:szCs w:val="23"/>
                <w:b w:val="1"/>
                <w:bCs w:val="1"/>
                <w:color w:val="auto"/>
                <w:vertAlign w:val="superscript"/>
              </w:rPr>
              <w:t>(3)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3"/>
        </w:trPr>
        <w:tc>
          <w:tcPr>
            <w:tcW w:w="4540" w:type="dxa"/>
            <w:vAlign w:val="bottom"/>
          </w:tcPr>
          <w:p>
            <w:pPr>
              <w:spacing w:after="0" w:line="203" w:lineRule="exact"/>
              <w:rPr>
                <w:sz w:val="20"/>
                <w:szCs w:val="20"/>
                <w:color w:val="auto"/>
              </w:rPr>
            </w:pPr>
            <w:r>
              <w:rPr>
                <w:rFonts w:ascii="Arial" w:cs="Arial" w:eastAsia="Arial" w:hAnsi="Arial"/>
                <w:sz w:val="18"/>
                <w:szCs w:val="18"/>
                <w:b w:val="1"/>
                <w:bCs w:val="1"/>
                <w:color w:val="auto"/>
              </w:rPr>
              <w:t>Totals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40" w:type="dxa"/>
            <w:vAlign w:val="bottom"/>
          </w:tcPr>
          <w:p>
            <w:pPr>
              <w:ind w:left="120"/>
              <w:spacing w:after="0"/>
              <w:rPr>
                <w:sz w:val="20"/>
                <w:szCs w:val="20"/>
                <w:color w:val="auto"/>
              </w:rPr>
            </w:pPr>
            <w:r>
              <w:rPr>
                <w:rFonts w:ascii="Arial" w:cs="Arial" w:eastAsia="Arial" w:hAnsi="Arial"/>
                <w:sz w:val="18"/>
                <w:szCs w:val="18"/>
                <w:color w:val="auto"/>
              </w:rPr>
              <w:t>US</w:t>
            </w:r>
          </w:p>
        </w:tc>
        <w:tc>
          <w:tcPr>
            <w:tcW w:w="1300" w:type="dxa"/>
            <w:vAlign w:val="bottom"/>
          </w:tcPr>
          <w:p>
            <w:pPr>
              <w:jc w:val="right"/>
              <w:spacing w:after="0"/>
              <w:rPr>
                <w:sz w:val="20"/>
                <w:szCs w:val="20"/>
                <w:color w:val="auto"/>
              </w:rPr>
            </w:pPr>
            <w:r>
              <w:rPr>
                <w:rFonts w:ascii="Arial" w:cs="Arial" w:eastAsia="Arial" w:hAnsi="Arial"/>
                <w:sz w:val="18"/>
                <w:szCs w:val="18"/>
                <w:color w:val="auto"/>
              </w:rPr>
              <w:t>635.0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571.6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31"/>
        </w:trPr>
        <w:tc>
          <w:tcPr>
            <w:tcW w:w="4540" w:type="dxa"/>
            <w:vAlign w:val="bottom"/>
          </w:tcPr>
          <w:p>
            <w:pPr>
              <w:ind w:left="120"/>
              <w:spacing w:after="0" w:line="231"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214.8</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20.1 %</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34"/>
        </w:trPr>
        <w:tc>
          <w:tcPr>
            <w:tcW w:w="454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11.9 %</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22"/>
        </w:trPr>
        <w:tc>
          <w:tcPr>
            <w:tcW w:w="4540" w:type="dxa"/>
            <w:vAlign w:val="bottom"/>
          </w:tcPr>
          <w:p>
            <w:pPr>
              <w:ind w:left="2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12.9 %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20" w:right="300" w:hanging="415"/>
        <w:spacing w:after="0" w:line="245"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Constant-currency percent change, a non-GAAP financial measure, measures the change in revenue between current and prior-year periods using average exchange rates in effect during the applicable prior-year period.</w:t>
      </w:r>
    </w:p>
    <w:p>
      <w:pPr>
        <w:ind w:left="420" w:right="320" w:hanging="415"/>
        <w:spacing w:after="0" w:line="245"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countries in Europe where the Company has a direct sales presence. Countries where sales are made through distributors are included in “Rest of World.”</w:t>
      </w:r>
    </w:p>
    <w:p>
      <w:pPr>
        <w:ind w:left="420" w:hanging="415"/>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revenue primarily includes rental income not allocated to segments.</w:t>
      </w:r>
    </w:p>
    <w:p>
      <w:pPr>
        <w:spacing w:after="0" w:line="31"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NM</w:t>
        <w:tab/>
        <w:t>Indicates that variance as a percentage is not meaningful.</w:t>
      </w:r>
    </w:p>
    <w:p>
      <w:pPr>
        <w:spacing w:after="0" w:line="31" w:lineRule="exact"/>
        <w:rPr>
          <w:sz w:val="20"/>
          <w:szCs w:val="20"/>
          <w:color w:val="auto"/>
        </w:rPr>
      </w:pPr>
    </w:p>
    <w:p>
      <w:pPr>
        <w:ind w:left="420" w:hanging="415"/>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revenue results presented are unaudited. Numbers may not add precisely due to rounding.</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180"/>
          </w:cols>
          <w:pgMar w:left="360" w:top="1440" w:right="359" w:bottom="1440" w:gutter="0" w:footer="0" w:header="0"/>
        </w:sectPr>
      </w:pPr>
    </w:p>
    <w:bookmarkStart w:id="13" w:name="page14"/>
    <w:bookmarkEnd w:id="13"/>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39" w:lineRule="exact"/>
        <w:rPr>
          <w:sz w:val="20"/>
          <w:szCs w:val="20"/>
          <w:color w:val="auto"/>
        </w:rPr>
      </w:pPr>
    </w:p>
    <w:p>
      <w:pPr>
        <w:ind w:right="5100"/>
        <w:spacing w:after="0" w:line="289"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390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 December 31,</w:t>
            </w:r>
          </w:p>
        </w:tc>
        <w:tc>
          <w:tcPr>
            <w:tcW w:w="1880" w:type="dxa"/>
            <w:vAlign w:val="bottom"/>
            <w:vMerge w:val="restart"/>
          </w:tcPr>
          <w:p>
            <w:pPr>
              <w:jc w:val="right"/>
              <w:ind w:right="411"/>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2"/>
        </w:trPr>
        <w:tc>
          <w:tcPr>
            <w:tcW w:w="544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9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revenue</w:t>
            </w:r>
          </w:p>
        </w:tc>
        <w:tc>
          <w:tcPr>
            <w:tcW w:w="1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66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62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2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20" w:type="dxa"/>
            <w:vAlign w:val="bottom"/>
            <w:gridSpan w:val="2"/>
          </w:tcPr>
          <w:p>
            <w:pPr>
              <w:ind w:left="120"/>
              <w:spacing w:after="0"/>
              <w:rPr>
                <w:sz w:val="20"/>
                <w:szCs w:val="20"/>
                <w:color w:val="auto"/>
              </w:rPr>
            </w:pPr>
            <w:r>
              <w:rPr>
                <w:rFonts w:ascii="Arial" w:cs="Arial" w:eastAsia="Arial" w:hAnsi="Arial"/>
                <w:sz w:val="18"/>
                <w:szCs w:val="18"/>
                <w:color w:val="auto"/>
              </w:rPr>
              <w:t>Impairment of long-lived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20" w:type="dxa"/>
            <w:vAlign w:val="bottom"/>
            <w:gridSpan w:val="2"/>
          </w:tcPr>
          <w:p>
            <w:pPr>
              <w:ind w:left="120"/>
              <w:spacing w:after="0"/>
              <w:rPr>
                <w:sz w:val="20"/>
                <w:szCs w:val="20"/>
                <w:color w:val="auto"/>
              </w:rPr>
            </w:pPr>
            <w:r>
              <w:rPr>
                <w:rFonts w:ascii="Arial" w:cs="Arial" w:eastAsia="Arial" w:hAnsi="Arial"/>
                <w:sz w:val="18"/>
                <w:szCs w:val="18"/>
                <w:color w:val="auto"/>
              </w:rPr>
              <w:t>Other operating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Operating (loss) income</w:t>
            </w:r>
          </w:p>
        </w:tc>
        <w:tc>
          <w:tcPr>
            <w:tcW w:w="1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gridSpan w:val="2"/>
          </w:tcPr>
          <w:p>
            <w:pPr>
              <w:ind w:left="120"/>
              <w:spacing w:after="0"/>
              <w:rPr>
                <w:sz w:val="20"/>
                <w:szCs w:val="20"/>
                <w:color w:val="auto"/>
              </w:rPr>
            </w:pPr>
            <w:r>
              <w:rPr>
                <w:rFonts w:ascii="Arial" w:cs="Arial" w:eastAsia="Arial" w:hAnsi="Arial"/>
                <w:sz w:val="18"/>
                <w:szCs w:val="18"/>
                <w:color w:val="auto"/>
              </w:rPr>
              <w:t>Foreign exchange and other income/(expense)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(Loss) income before tax</w:t>
            </w:r>
          </w:p>
        </w:tc>
        <w:tc>
          <w:tcPr>
            <w:tcW w:w="1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5440" w:type="dxa"/>
            <w:vAlign w:val="bottom"/>
          </w:tcPr>
          <w:p>
            <w:pPr>
              <w:ind w:left="120"/>
              <w:spacing w:after="0"/>
              <w:rPr>
                <w:sz w:val="20"/>
                <w:szCs w:val="20"/>
                <w:color w:val="auto"/>
              </w:rPr>
            </w:pPr>
            <w:r>
              <w:rPr>
                <w:rFonts w:ascii="Arial" w:cs="Arial" w:eastAsia="Arial" w:hAnsi="Arial"/>
                <w:sz w:val="18"/>
                <w:szCs w:val="18"/>
                <w:color w:val="auto"/>
              </w:rPr>
              <w:t>Income tax (benefit) expense</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883.7 %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62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66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2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66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66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62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6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2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66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NM Indicates that variance is not meaningful.</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20"/>
          </w:cols>
          <w:pgMar w:left="340" w:top="1440" w:right="339" w:bottom="1440" w:gutter="0" w:footer="0" w:header="0"/>
        </w:sectPr>
      </w:pPr>
    </w:p>
    <w:bookmarkStart w:id="14" w:name="page15"/>
    <w:bookmarkEnd w:id="14"/>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390"/>
        </w:trPr>
        <w:tc>
          <w:tcPr>
            <w:tcW w:w="6000" w:type="dxa"/>
            <w:vAlign w:val="bottom"/>
          </w:tcPr>
          <w:p>
            <w:pPr>
              <w:spacing w:after="0"/>
              <w:rPr>
                <w:sz w:val="24"/>
                <w:szCs w:val="24"/>
                <w:color w:val="auto"/>
              </w:rPr>
            </w:pPr>
          </w:p>
        </w:tc>
        <w:tc>
          <w:tcPr>
            <w:tcW w:w="3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7"/>
              </w:rPr>
              <w:t xml:space="preserve">Adjusted </w:t>
            </w:r>
            <w:r>
              <w:rPr>
                <w:rFonts w:ascii="Arial" w:cs="Arial" w:eastAsia="Arial" w:hAnsi="Arial"/>
                <w:sz w:val="23"/>
                <w:szCs w:val="23"/>
                <w:b w:val="1"/>
                <w:bCs w:val="1"/>
                <w:color w:val="auto"/>
                <w:w w:val="97"/>
                <w:vertAlign w:val="superscript"/>
              </w:rPr>
              <w:t>(1)</w:t>
            </w:r>
            <w:r>
              <w:rPr>
                <w:rFonts w:ascii="Arial" w:cs="Arial" w:eastAsia="Arial" w:hAnsi="Arial"/>
                <w:sz w:val="18"/>
                <w:szCs w:val="18"/>
                <w:b w:val="1"/>
                <w:bCs w:val="1"/>
                <w:color w:val="auto"/>
                <w:w w:val="97"/>
              </w:rPr>
              <w:t xml:space="preserve"> Three Months Ended</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2"/>
        </w:trPr>
        <w:tc>
          <w:tcPr>
            <w:tcW w:w="60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35"/>
        </w:trPr>
        <w:tc>
          <w:tcPr>
            <w:tcW w:w="7080" w:type="dxa"/>
            <w:vAlign w:val="bottom"/>
            <w:gridSpan w:val="2"/>
          </w:tcPr>
          <w:p>
            <w:pPr>
              <w:ind w:left="6660"/>
              <w:spacing w:after="0"/>
              <w:rPr>
                <w:sz w:val="20"/>
                <w:szCs w:val="20"/>
                <w:color w:val="auto"/>
              </w:rPr>
            </w:pPr>
            <w:r>
              <w:rPr>
                <w:rFonts w:ascii="Arial" w:cs="Arial" w:eastAsia="Arial" w:hAnsi="Arial"/>
                <w:sz w:val="18"/>
                <w:szCs w:val="18"/>
                <w:b w:val="1"/>
                <w:bCs w:val="1"/>
                <w:color w:val="auto"/>
                <w:w w:val="99"/>
              </w:rPr>
              <w:t>2023</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00" w:type="dxa"/>
            <w:vAlign w:val="bottom"/>
          </w:tcPr>
          <w:p>
            <w:pPr>
              <w:jc w:val="right"/>
              <w:ind w:right="271"/>
              <w:spacing w:after="0"/>
              <w:rPr>
                <w:sz w:val="20"/>
                <w:szCs w:val="20"/>
                <w:color w:val="auto"/>
              </w:rPr>
            </w:pPr>
            <w:r>
              <w:rPr>
                <w:rFonts w:ascii="Arial" w:cs="Arial" w:eastAsia="Arial" w:hAnsi="Arial"/>
                <w:sz w:val="18"/>
                <w:szCs w:val="18"/>
                <w:b w:val="1"/>
                <w:bCs w:val="1"/>
                <w:color w:val="auto"/>
              </w:rPr>
              <w:t>% Change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Adjusted SG&amp;A</w:t>
            </w:r>
          </w:p>
        </w:tc>
        <w:tc>
          <w:tcPr>
            <w:tcW w:w="10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$119.9</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20.1 %</w:t>
            </w:r>
          </w:p>
        </w:tc>
      </w:tr>
      <w:tr>
        <w:trPr>
          <w:trHeight w:val="228"/>
        </w:trPr>
        <w:tc>
          <w:tcPr>
            <w:tcW w:w="7080" w:type="dxa"/>
            <w:vAlign w:val="bottom"/>
            <w:gridSpan w:val="2"/>
          </w:tcPr>
          <w:p>
            <w:pPr>
              <w:spacing w:after="0"/>
              <w:rPr>
                <w:sz w:val="20"/>
                <w:szCs w:val="20"/>
                <w:color w:val="auto"/>
              </w:rPr>
            </w:pPr>
            <w:r>
              <w:rPr>
                <w:rFonts w:ascii="Arial" w:cs="Arial" w:eastAsia="Arial" w:hAnsi="Arial"/>
                <w:sz w:val="18"/>
                <w:szCs w:val="18"/>
                <w:color w:val="auto"/>
              </w:rPr>
              <w:t>Adjusted R&amp;D</w:t>
            </w:r>
          </w:p>
        </w:tc>
        <w:tc>
          <w:tcPr>
            <w:tcW w:w="6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7080" w:type="dxa"/>
            <w:vAlign w:val="bottom"/>
            <w:gridSpan w:val="2"/>
          </w:tcPr>
          <w:p>
            <w:pPr>
              <w:spacing w:after="0"/>
              <w:rPr>
                <w:sz w:val="20"/>
                <w:szCs w:val="20"/>
                <w:color w:val="auto"/>
              </w:rPr>
            </w:pPr>
            <w:r>
              <w:rPr>
                <w:rFonts w:ascii="Arial" w:cs="Arial" w:eastAsia="Arial" w:hAnsi="Arial"/>
                <w:sz w:val="18"/>
                <w:szCs w:val="18"/>
                <w:color w:val="auto"/>
              </w:rPr>
              <w:t>Adjusted operating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228"/>
        </w:trPr>
        <w:tc>
          <w:tcPr>
            <w:tcW w:w="708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8.3 %</w:t>
            </w:r>
          </w:p>
        </w:tc>
      </w:tr>
      <w:tr>
        <w:trPr>
          <w:trHeight w:val="236"/>
        </w:trPr>
        <w:tc>
          <w:tcPr>
            <w:tcW w:w="7080" w:type="dxa"/>
            <w:vAlign w:val="bottom"/>
            <w:gridSpan w:val="2"/>
          </w:tcPr>
          <w:p>
            <w:pPr>
              <w:spacing w:after="0"/>
              <w:rPr>
                <w:sz w:val="20"/>
                <w:szCs w:val="20"/>
                <w:color w:val="auto"/>
              </w:rPr>
            </w:pPr>
            <w:r>
              <w:rPr>
                <w:rFonts w:ascii="Arial" w:cs="Arial" w:eastAsia="Arial" w:hAnsi="Arial"/>
                <w:sz w:val="18"/>
                <w:szCs w:val="18"/>
                <w:color w:val="auto"/>
              </w:rPr>
              <w:t>Adjusted diluted earnings per share</w:t>
            </w:r>
          </w:p>
        </w:tc>
        <w:tc>
          <w:tcPr>
            <w:tcW w:w="62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7.4 %</w:t>
            </w:r>
          </w:p>
        </w:tc>
      </w:tr>
    </w:tbl>
    <w:p>
      <w:pPr>
        <w:spacing w:after="0" w:line="104" w:lineRule="exact"/>
        <w:rPr>
          <w:sz w:val="20"/>
          <w:szCs w:val="20"/>
          <w:color w:val="auto"/>
        </w:rPr>
      </w:pPr>
    </w:p>
    <w:p>
      <w:pPr>
        <w:ind w:left="480" w:right="20" w:hanging="356"/>
        <w:spacing w:after="0" w:line="248"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news release.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revenue, except for income tax rate)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00" w:type="dxa"/>
            <w:vAlign w:val="bottom"/>
          </w:tcPr>
          <w:p>
            <w:pPr>
              <w:spacing w:after="0"/>
              <w:rPr>
                <w:sz w:val="22"/>
                <w:szCs w:val="22"/>
                <w:color w:val="auto"/>
              </w:rPr>
            </w:pPr>
          </w:p>
        </w:tc>
        <w:tc>
          <w:tcPr>
            <w:tcW w:w="4360" w:type="dxa"/>
            <w:vAlign w:val="bottom"/>
            <w:gridSpan w:val="5"/>
          </w:tcPr>
          <w:p>
            <w:pPr>
              <w:ind w:left="340"/>
              <w:spacing w:after="0"/>
              <w:rPr>
                <w:sz w:val="20"/>
                <w:szCs w:val="20"/>
                <w:color w:val="auto"/>
              </w:rPr>
            </w:pPr>
            <w:r>
              <w:rPr>
                <w:rFonts w:ascii="Arial" w:cs="Arial" w:eastAsia="Arial" w:hAnsi="Arial"/>
                <w:sz w:val="18"/>
                <w:szCs w:val="18"/>
                <w:b w:val="1"/>
                <w:bCs w:val="1"/>
                <w:color w:val="auto"/>
              </w:rPr>
              <w:t>GAAP Three Months Ended December 31,</w:t>
            </w:r>
          </w:p>
        </w:tc>
        <w:tc>
          <w:tcPr>
            <w:tcW w:w="4660" w:type="dxa"/>
            <w:vAlign w:val="bottom"/>
            <w:gridSpan w:val="3"/>
          </w:tcPr>
          <w:p>
            <w:pPr>
              <w:jc w:val="right"/>
              <w:ind w:right="251"/>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Three Months Ended December 31,</w:t>
            </w:r>
          </w:p>
        </w:tc>
        <w:tc>
          <w:tcPr>
            <w:tcW w:w="0" w:type="dxa"/>
            <w:vAlign w:val="bottom"/>
          </w:tcPr>
          <w:p>
            <w:pPr>
              <w:spacing w:after="0"/>
              <w:rPr>
                <w:sz w:val="1"/>
                <w:szCs w:val="1"/>
                <w:color w:val="auto"/>
              </w:rPr>
            </w:pPr>
          </w:p>
        </w:tc>
      </w:tr>
      <w:tr>
        <w:trPr>
          <w:trHeight w:val="222"/>
        </w:trPr>
        <w:tc>
          <w:tcPr>
            <w:tcW w:w="220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280" w:type="dxa"/>
            <w:vAlign w:val="bottom"/>
            <w:tcBorders>
              <w:top w:val="single" w:sz="8" w:color="auto"/>
              <w:bottom w:val="single" w:sz="8" w:color="auto"/>
            </w:tcBorders>
          </w:tcPr>
          <w:p>
            <w:pPr>
              <w:jc w:val="right"/>
              <w:ind w:right="87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jc w:val="right"/>
              <w:ind w:right="85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61.3 %</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66.8 %</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67.7 %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68.9 %</w:t>
            </w:r>
          </w:p>
        </w:tc>
        <w:tc>
          <w:tcPr>
            <w:tcW w:w="0" w:type="dxa"/>
            <w:vAlign w:val="bottom"/>
          </w:tcPr>
          <w:p>
            <w:pPr>
              <w:spacing w:after="0"/>
              <w:rPr>
                <w:sz w:val="1"/>
                <w:szCs w:val="1"/>
                <w:color w:val="auto"/>
              </w:rPr>
            </w:pPr>
          </w:p>
        </w:tc>
      </w:tr>
      <w:tr>
        <w:trPr>
          <w:trHeight w:val="228"/>
        </w:trPr>
        <w:tc>
          <w:tcPr>
            <w:tcW w:w="352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40" w:type="dxa"/>
            <w:vAlign w:val="bottom"/>
          </w:tcPr>
          <w:p>
            <w:pPr>
              <w:jc w:val="right"/>
              <w:spacing w:after="0"/>
              <w:rPr>
                <w:sz w:val="20"/>
                <w:szCs w:val="20"/>
                <w:color w:val="auto"/>
              </w:rPr>
            </w:pPr>
            <w:r>
              <w:rPr>
                <w:rFonts w:ascii="Arial" w:cs="Arial" w:eastAsia="Arial" w:hAnsi="Arial"/>
                <w:sz w:val="18"/>
                <w:szCs w:val="18"/>
                <w:color w:val="auto"/>
              </w:rPr>
              <w:t>43.0 %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43.5 %</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38.7 %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36.3 %</w:t>
            </w:r>
          </w:p>
        </w:tc>
        <w:tc>
          <w:tcPr>
            <w:tcW w:w="0" w:type="dxa"/>
            <w:vAlign w:val="bottom"/>
          </w:tcPr>
          <w:p>
            <w:pPr>
              <w:spacing w:after="0"/>
              <w:rPr>
                <w:sz w:val="1"/>
                <w:szCs w:val="1"/>
                <w:color w:val="auto"/>
              </w:rPr>
            </w:pPr>
          </w:p>
        </w:tc>
      </w:tr>
      <w:tr>
        <w:trPr>
          <w:trHeight w:val="228"/>
        </w:trPr>
        <w:tc>
          <w:tcPr>
            <w:tcW w:w="3520" w:type="dxa"/>
            <w:vAlign w:val="bottom"/>
            <w:gridSpan w:val="2"/>
          </w:tcPr>
          <w:p>
            <w:pPr>
              <w:spacing w:after="0"/>
              <w:rPr>
                <w:sz w:val="20"/>
                <w:szCs w:val="20"/>
                <w:color w:val="auto"/>
              </w:rPr>
            </w:pPr>
            <w:r>
              <w:rPr>
                <w:rFonts w:ascii="Arial" w:cs="Arial" w:eastAsia="Arial" w:hAnsi="Arial"/>
                <w:sz w:val="18"/>
                <w:szCs w:val="18"/>
                <w:color w:val="auto"/>
              </w:rPr>
              <w:t>R&amp;D</w:t>
            </w:r>
          </w:p>
        </w:tc>
        <w:tc>
          <w:tcPr>
            <w:tcW w:w="740" w:type="dxa"/>
            <w:vAlign w:val="bottom"/>
          </w:tcPr>
          <w:p>
            <w:pPr>
              <w:jc w:val="right"/>
              <w:spacing w:after="0"/>
              <w:rPr>
                <w:sz w:val="20"/>
                <w:szCs w:val="20"/>
                <w:color w:val="auto"/>
              </w:rPr>
            </w:pPr>
            <w:r>
              <w:rPr>
                <w:rFonts w:ascii="Arial" w:cs="Arial" w:eastAsia="Arial" w:hAnsi="Arial"/>
                <w:sz w:val="18"/>
                <w:szCs w:val="18"/>
                <w:color w:val="auto"/>
              </w:rPr>
              <w:t>14.9 %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16.3 %</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28"/>
        </w:trPr>
        <w:tc>
          <w:tcPr>
            <w:tcW w:w="352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28"/>
        </w:trPr>
        <w:tc>
          <w:tcPr>
            <w:tcW w:w="3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36"/>
        </w:trPr>
        <w:tc>
          <w:tcPr>
            <w:tcW w:w="352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740" w:type="dxa"/>
            <w:vAlign w:val="bottom"/>
          </w:tcPr>
          <w:p>
            <w:pPr>
              <w:jc w:val="right"/>
              <w:spacing w:after="0"/>
              <w:rPr>
                <w:sz w:val="20"/>
                <w:szCs w:val="20"/>
                <w:color w:val="auto"/>
              </w:rPr>
            </w:pPr>
            <w:r>
              <w:rPr>
                <w:rFonts w:ascii="Arial" w:cs="Arial" w:eastAsia="Arial" w:hAnsi="Arial"/>
                <w:sz w:val="18"/>
                <w:szCs w:val="18"/>
                <w:color w:val="auto"/>
              </w:rPr>
              <w:t>117.3 %</w:t>
            </w:r>
          </w:p>
        </w:tc>
        <w:tc>
          <w:tcPr>
            <w:tcW w:w="1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73.6 %</w:t>
            </w: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40" w:right="20" w:hanging="330"/>
        <w:spacing w:after="0" w:line="248"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news release.</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20"/>
          </w:cols>
          <w:pgMar w:left="340" w:top="1440" w:right="339" w:bottom="1440" w:gutter="0" w:footer="0" w:header="0"/>
        </w:sectPr>
      </w:pPr>
    </w:p>
    <w:bookmarkStart w:id="15" w:name="page16"/>
    <w:bookmarkEnd w:id="15"/>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39" w:lineRule="exact"/>
        <w:rPr>
          <w:sz w:val="20"/>
          <w:szCs w:val="20"/>
          <w:color w:val="auto"/>
        </w:rPr>
      </w:pPr>
    </w:p>
    <w:p>
      <w:pPr>
        <w:ind w:right="5100"/>
        <w:spacing w:after="0" w:line="289"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920" w:type="dxa"/>
            <w:vAlign w:val="bottom"/>
            <w:gridSpan w:val="4"/>
          </w:tcPr>
          <w:p>
            <w:pPr>
              <w:ind w:left="820"/>
              <w:spacing w:after="0"/>
              <w:rPr>
                <w:sz w:val="20"/>
                <w:szCs w:val="20"/>
                <w:color w:val="auto"/>
              </w:rPr>
            </w:pPr>
            <w:r>
              <w:rPr>
                <w:rFonts w:ascii="Arial" w:cs="Arial" w:eastAsia="Arial" w:hAnsi="Arial"/>
                <w:sz w:val="18"/>
                <w:szCs w:val="18"/>
                <w:b w:val="1"/>
                <w:bCs w:val="1"/>
                <w:color w:val="auto"/>
              </w:rPr>
              <w:t>Year Ended December 31,</w:t>
            </w:r>
          </w:p>
        </w:tc>
        <w:tc>
          <w:tcPr>
            <w:tcW w:w="1900" w:type="dxa"/>
            <w:vAlign w:val="bottom"/>
            <w:vMerge w:val="restart"/>
          </w:tcPr>
          <w:p>
            <w:pPr>
              <w:jc w:val="right"/>
              <w:ind w:right="431"/>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2"/>
        </w:trPr>
        <w:tc>
          <w:tcPr>
            <w:tcW w:w="5400" w:type="dxa"/>
            <w:vAlign w:val="bottom"/>
            <w:vMerge w:val="restart"/>
          </w:tcPr>
          <w:p>
            <w:pPr>
              <w:spacing w:after="0"/>
              <w:rPr>
                <w:sz w:val="20"/>
                <w:szCs w:val="20"/>
                <w:color w:val="auto"/>
              </w:rPr>
            </w:pPr>
            <w:r>
              <w:rPr>
                <w:rFonts w:ascii="Arial" w:cs="Arial" w:eastAsia="Arial" w:hAnsi="Arial"/>
                <w:sz w:val="18"/>
                <w:szCs w:val="18"/>
                <w:color w:val="auto"/>
              </w:rPr>
              <w:t>Net revenue</w:t>
            </w:r>
          </w:p>
        </w:tc>
        <w:tc>
          <w:tcPr>
            <w:tcW w:w="186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vMerge w:val="continue"/>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$1,153.5</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$1,021.8</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color w:val="auto"/>
              </w:rPr>
              <w:t>Cost of sales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771.3</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3"/>
        </w:trPr>
        <w:tc>
          <w:tcPr>
            <w:tcW w:w="540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tcPr>
          <w:p>
            <w:pPr>
              <w:jc w:val="right"/>
              <w:spacing w:after="0"/>
              <w:rPr>
                <w:sz w:val="20"/>
                <w:szCs w:val="20"/>
                <w:color w:val="auto"/>
              </w:rPr>
            </w:pPr>
            <w:r>
              <w:rPr>
                <w:rFonts w:ascii="Arial" w:cs="Arial" w:eastAsia="Arial" w:hAnsi="Arial"/>
                <w:sz w:val="18"/>
                <w:szCs w:val="18"/>
                <w:color w:val="auto"/>
              </w:rPr>
              <w:t>518.1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86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120"/>
              <w:spacing w:after="0"/>
              <w:rPr>
                <w:sz w:val="20"/>
                <w:szCs w:val="20"/>
                <w:color w:val="auto"/>
              </w:rPr>
            </w:pPr>
            <w:r>
              <w:rPr>
                <w:rFonts w:ascii="Arial" w:cs="Arial" w:eastAsia="Arial" w:hAnsi="Arial"/>
                <w:sz w:val="18"/>
                <w:szCs w:val="18"/>
                <w:color w:val="auto"/>
              </w:rPr>
              <w:t>Impairment of goodwill</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120"/>
              <w:spacing w:after="0"/>
              <w:rPr>
                <w:sz w:val="20"/>
                <w:szCs w:val="20"/>
                <w:color w:val="auto"/>
              </w:rPr>
            </w:pPr>
            <w:r>
              <w:rPr>
                <w:rFonts w:ascii="Arial" w:cs="Arial" w:eastAsia="Arial" w:hAnsi="Arial"/>
                <w:sz w:val="18"/>
                <w:szCs w:val="18"/>
                <w:color w:val="auto"/>
              </w:rPr>
              <w:t>Impairment of long-lived assets</w:t>
            </w:r>
          </w:p>
        </w:tc>
        <w:tc>
          <w:tcPr>
            <w:tcW w:w="186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Operating loss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86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20"/>
              <w:spacing w:after="0"/>
              <w:rPr>
                <w:sz w:val="20"/>
                <w:szCs w:val="20"/>
                <w:color w:val="auto"/>
              </w:rPr>
            </w:pPr>
            <w:r>
              <w:rPr>
                <w:rFonts w:ascii="Arial" w:cs="Arial" w:eastAsia="Arial" w:hAnsi="Arial"/>
                <w:sz w:val="18"/>
                <w:szCs w:val="18"/>
                <w:color w:val="auto"/>
              </w:rPr>
              <w:t>Foreign exchange and other income/(expense)</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Loss before tax</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Income tax (benefit) expense</w:t>
            </w:r>
          </w:p>
        </w:tc>
        <w:tc>
          <w:tcPr>
            <w:tcW w:w="186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20"/>
              <w:spacing w:after="0"/>
              <w:rPr>
                <w:sz w:val="20"/>
                <w:szCs w:val="20"/>
                <w:color w:val="auto"/>
              </w:rPr>
            </w:pPr>
            <w:r>
              <w:rPr>
                <w:rFonts w:ascii="Arial" w:cs="Arial" w:eastAsia="Arial" w:hAnsi="Arial"/>
                <w:sz w:val="18"/>
                <w:szCs w:val="18"/>
                <w:color w:val="auto"/>
              </w:rPr>
              <w:t>Losses from equity method investments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Net income (loss)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400" w:type="dxa"/>
            <w:vAlign w:val="bottom"/>
          </w:tcPr>
          <w:p>
            <w:pPr>
              <w:spacing w:after="0"/>
              <w:rPr>
                <w:sz w:val="20"/>
                <w:szCs w:val="20"/>
                <w:color w:val="auto"/>
              </w:rPr>
            </w:pPr>
            <w:r>
              <w:rPr>
                <w:rFonts w:ascii="Arial" w:cs="Arial" w:eastAsia="Arial" w:hAnsi="Arial"/>
                <w:sz w:val="18"/>
                <w:szCs w:val="18"/>
                <w:color w:val="auto"/>
              </w:rPr>
              <w:t>Basic income (loss) per share</w:t>
            </w:r>
          </w:p>
        </w:tc>
        <w:tc>
          <w:tcPr>
            <w:tcW w:w="186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18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54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120"/>
              <w:spacing w:after="0"/>
              <w:rPr>
                <w:sz w:val="20"/>
                <w:szCs w:val="20"/>
                <w:color w:val="auto"/>
              </w:rPr>
            </w:pPr>
            <w:r>
              <w:rPr>
                <w:rFonts w:ascii="Arial" w:cs="Arial" w:eastAsia="Arial" w:hAnsi="Arial"/>
                <w:sz w:val="18"/>
                <w:szCs w:val="18"/>
                <w:color w:val="auto"/>
              </w:rPr>
              <w:t>Basic</w:t>
            </w:r>
          </w:p>
        </w:tc>
        <w:tc>
          <w:tcPr>
            <w:tcW w:w="186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86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NM Indicates that variance is not meaningful.</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Numbers may not add precisely due to rounding.</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20"/>
          </w:cols>
          <w:pgMar w:left="340" w:top="1440" w:right="339" w:bottom="1440" w:gutter="0" w:footer="0" w:header="0"/>
        </w:sectPr>
      </w:pPr>
    </w:p>
    <w:bookmarkStart w:id="16" w:name="page17"/>
    <w:bookmarkEnd w:id="16"/>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6020" w:type="dxa"/>
            <w:vAlign w:val="bottom"/>
          </w:tcPr>
          <w:p>
            <w:pPr>
              <w:spacing w:after="0"/>
              <w:rPr>
                <w:sz w:val="24"/>
                <w:szCs w:val="24"/>
                <w:color w:val="auto"/>
              </w:rPr>
            </w:pPr>
          </w:p>
        </w:tc>
        <w:tc>
          <w:tcPr>
            <w:tcW w:w="2880" w:type="dxa"/>
            <w:vAlign w:val="bottom"/>
            <w:gridSpan w:val="4"/>
          </w:tcPr>
          <w:p>
            <w:pPr>
              <w:jc w:val="center"/>
              <w:ind w:left="571"/>
              <w:spacing w:after="0"/>
              <w:rPr>
                <w:sz w:val="20"/>
                <w:szCs w:val="20"/>
                <w:color w:val="auto"/>
              </w:rPr>
            </w:pPr>
            <w:r>
              <w:rPr>
                <w:rFonts w:ascii="Arial" w:cs="Arial" w:eastAsia="Arial" w:hAnsi="Arial"/>
                <w:sz w:val="18"/>
                <w:szCs w:val="18"/>
                <w:b w:val="1"/>
                <w:bCs w:val="1"/>
                <w:color w:val="auto"/>
                <w:w w:val="96"/>
              </w:rPr>
              <w:t xml:space="preserve">Adjusted </w:t>
            </w:r>
            <w:r>
              <w:rPr>
                <w:rFonts w:ascii="Arial" w:cs="Arial" w:eastAsia="Arial" w:hAnsi="Arial"/>
                <w:sz w:val="23"/>
                <w:szCs w:val="23"/>
                <w:b w:val="1"/>
                <w:bCs w:val="1"/>
                <w:color w:val="auto"/>
                <w:w w:val="96"/>
                <w:vertAlign w:val="superscript"/>
              </w:rPr>
              <w:t>(1)</w:t>
            </w:r>
            <w:r>
              <w:rPr>
                <w:rFonts w:ascii="Arial" w:cs="Arial" w:eastAsia="Arial" w:hAnsi="Arial"/>
                <w:sz w:val="18"/>
                <w:szCs w:val="18"/>
                <w:b w:val="1"/>
                <w:bCs w:val="1"/>
                <w:color w:val="auto"/>
                <w:w w:val="96"/>
              </w:rPr>
              <w:t xml:space="preserve"> Year Ended</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99"/>
              </w:rPr>
              <w:t>December 31,</w:t>
            </w:r>
          </w:p>
        </w:tc>
        <w:tc>
          <w:tcPr>
            <w:tcW w:w="6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020" w:type="dxa"/>
            <w:vAlign w:val="bottom"/>
            <w:vMerge w:val="restart"/>
          </w:tcPr>
          <w:p>
            <w:pPr>
              <w:spacing w:after="0"/>
              <w:rPr>
                <w:sz w:val="20"/>
                <w:szCs w:val="20"/>
                <w:color w:val="auto"/>
              </w:rPr>
            </w:pPr>
            <w:r>
              <w:rPr>
                <w:rFonts w:ascii="Arial" w:cs="Arial" w:eastAsia="Arial" w:hAnsi="Arial"/>
                <w:sz w:val="18"/>
                <w:szCs w:val="18"/>
                <w:color w:val="auto"/>
              </w:rPr>
              <w:t>Adjusted SG&amp;A</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271"/>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6020" w:type="dxa"/>
            <w:vAlign w:val="bottom"/>
            <w:vMerge w:val="continue"/>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$456.0</w:t>
            </w: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$401.4</w:t>
            </w:r>
          </w:p>
        </w:tc>
        <w:tc>
          <w:tcPr>
            <w:tcW w:w="12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8"/>
        </w:trPr>
        <w:tc>
          <w:tcPr>
            <w:tcW w:w="7100" w:type="dxa"/>
            <w:vAlign w:val="bottom"/>
            <w:gridSpan w:val="2"/>
          </w:tcPr>
          <w:p>
            <w:pPr>
              <w:spacing w:after="0"/>
              <w:rPr>
                <w:sz w:val="20"/>
                <w:szCs w:val="20"/>
                <w:color w:val="auto"/>
              </w:rPr>
            </w:pPr>
            <w:r>
              <w:rPr>
                <w:rFonts w:ascii="Arial" w:cs="Arial" w:eastAsia="Arial" w:hAnsi="Arial"/>
                <w:sz w:val="18"/>
                <w:szCs w:val="18"/>
                <w:color w:val="auto"/>
              </w:rPr>
              <w:t>Adjusted R&amp;D</w:t>
            </w:r>
          </w:p>
        </w:tc>
        <w:tc>
          <w:tcPr>
            <w:tcW w:w="64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8"/>
        </w:trPr>
        <w:tc>
          <w:tcPr>
            <w:tcW w:w="7100" w:type="dxa"/>
            <w:vAlign w:val="bottom"/>
            <w:gridSpan w:val="2"/>
          </w:tcPr>
          <w:p>
            <w:pPr>
              <w:spacing w:after="0"/>
              <w:rPr>
                <w:sz w:val="20"/>
                <w:szCs w:val="20"/>
                <w:color w:val="auto"/>
              </w:rPr>
            </w:pPr>
            <w:r>
              <w:rPr>
                <w:rFonts w:ascii="Arial" w:cs="Arial" w:eastAsia="Arial" w:hAnsi="Arial"/>
                <w:sz w:val="18"/>
                <w:szCs w:val="18"/>
                <w:color w:val="auto"/>
              </w:rPr>
              <w:t>Adjusted operating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28"/>
        </w:trPr>
        <w:tc>
          <w:tcPr>
            <w:tcW w:w="710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36"/>
        </w:trPr>
        <w:tc>
          <w:tcPr>
            <w:tcW w:w="7100" w:type="dxa"/>
            <w:vAlign w:val="bottom"/>
            <w:gridSpan w:val="2"/>
          </w:tcPr>
          <w:p>
            <w:pPr>
              <w:spacing w:after="0"/>
              <w:rPr>
                <w:sz w:val="20"/>
                <w:szCs w:val="20"/>
                <w:color w:val="auto"/>
              </w:rPr>
            </w:pPr>
            <w:r>
              <w:rPr>
                <w:rFonts w:ascii="Arial" w:cs="Arial" w:eastAsia="Arial" w:hAnsi="Arial"/>
                <w:sz w:val="18"/>
                <w:szCs w:val="18"/>
                <w:color w:val="auto"/>
              </w:rPr>
              <w:t>Adjusted diluted earnings per share</w:t>
            </w:r>
          </w:p>
        </w:tc>
        <w:tc>
          <w:tcPr>
            <w:tcW w:w="6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80" w:right="20" w:hanging="356"/>
        <w:spacing w:after="0" w:line="248"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news release.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revenue, except for income tax rate)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80" w:type="dxa"/>
            <w:vAlign w:val="bottom"/>
          </w:tcPr>
          <w:p>
            <w:pPr>
              <w:spacing w:after="0"/>
              <w:rPr>
                <w:sz w:val="22"/>
                <w:szCs w:val="22"/>
                <w:color w:val="auto"/>
              </w:rPr>
            </w:pPr>
          </w:p>
        </w:tc>
        <w:tc>
          <w:tcPr>
            <w:tcW w:w="3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GAAP Year Ended December 31,</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8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Year Ended December 31,</w:t>
            </w:r>
          </w:p>
        </w:tc>
        <w:tc>
          <w:tcPr>
            <w:tcW w:w="0" w:type="dxa"/>
            <w:vAlign w:val="bottom"/>
          </w:tcPr>
          <w:p>
            <w:pPr>
              <w:spacing w:after="0"/>
              <w:rPr>
                <w:sz w:val="1"/>
                <w:szCs w:val="1"/>
                <w:color w:val="auto"/>
              </w:rPr>
            </w:pPr>
          </w:p>
        </w:tc>
      </w:tr>
      <w:tr>
        <w:trPr>
          <w:trHeight w:val="222"/>
        </w:trPr>
        <w:tc>
          <w:tcPr>
            <w:tcW w:w="218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2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jc w:val="right"/>
              <w:ind w:right="85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300" w:type="dxa"/>
            <w:vAlign w:val="bottom"/>
          </w:tcPr>
          <w:p>
            <w:pPr>
              <w:jc w:val="right"/>
              <w:ind w:right="85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6"/>
        </w:trPr>
        <w:tc>
          <w:tcPr>
            <w:tcW w:w="2180" w:type="dxa"/>
            <w:vAlign w:val="bottom"/>
            <w:vMerge w:val="continue"/>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66.9 %</w:t>
            </w: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69.2 %</w:t>
            </w:r>
          </w:p>
        </w:tc>
        <w:tc>
          <w:tcPr>
            <w:tcW w:w="120" w:type="dxa"/>
            <w:vAlign w:val="bottom"/>
          </w:tcPr>
          <w:p>
            <w:pPr>
              <w:spacing w:after="0"/>
              <w:rPr>
                <w:sz w:val="18"/>
                <w:szCs w:val="18"/>
                <w:color w:val="auto"/>
              </w:rPr>
            </w:pP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69.6 %</w:t>
            </w:r>
          </w:p>
        </w:tc>
        <w:tc>
          <w:tcPr>
            <w:tcW w:w="100" w:type="dxa"/>
            <w:vAlign w:val="bottom"/>
          </w:tcPr>
          <w:p>
            <w:pPr>
              <w:spacing w:after="0"/>
              <w:rPr>
                <w:sz w:val="18"/>
                <w:szCs w:val="18"/>
                <w:color w:val="auto"/>
              </w:rPr>
            </w:pP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69.8 %</w:t>
            </w:r>
          </w:p>
        </w:tc>
        <w:tc>
          <w:tcPr>
            <w:tcW w:w="0" w:type="dxa"/>
            <w:vAlign w:val="bottom"/>
          </w:tcPr>
          <w:p>
            <w:pPr>
              <w:spacing w:after="0"/>
              <w:rPr>
                <w:sz w:val="1"/>
                <w:szCs w:val="1"/>
                <w:color w:val="auto"/>
              </w:rPr>
            </w:pPr>
          </w:p>
        </w:tc>
      </w:tr>
      <w:tr>
        <w:trPr>
          <w:trHeight w:val="228"/>
        </w:trPr>
        <w:tc>
          <w:tcPr>
            <w:tcW w:w="350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60" w:type="dxa"/>
            <w:vAlign w:val="bottom"/>
          </w:tcPr>
          <w:p>
            <w:pPr>
              <w:jc w:val="right"/>
              <w:spacing w:after="0"/>
              <w:rPr>
                <w:sz w:val="20"/>
                <w:szCs w:val="20"/>
                <w:color w:val="auto"/>
              </w:rPr>
            </w:pPr>
            <w:r>
              <w:rPr>
                <w:rFonts w:ascii="Arial" w:cs="Arial" w:eastAsia="Arial" w:hAnsi="Arial"/>
                <w:sz w:val="18"/>
                <w:szCs w:val="18"/>
                <w:color w:val="auto"/>
              </w:rPr>
              <w:t>44.9 %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45.9 %</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39.5 %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28"/>
        </w:trPr>
        <w:tc>
          <w:tcPr>
            <w:tcW w:w="3500" w:type="dxa"/>
            <w:vAlign w:val="bottom"/>
            <w:gridSpan w:val="2"/>
          </w:tcPr>
          <w:p>
            <w:pPr>
              <w:spacing w:after="0"/>
              <w:rPr>
                <w:sz w:val="20"/>
                <w:szCs w:val="20"/>
                <w:color w:val="auto"/>
              </w:rPr>
            </w:pPr>
            <w:r>
              <w:rPr>
                <w:rFonts w:ascii="Arial" w:cs="Arial" w:eastAsia="Arial" w:hAnsi="Arial"/>
                <w:sz w:val="18"/>
                <w:szCs w:val="18"/>
                <w:color w:val="auto"/>
              </w:rPr>
              <w:t>R&amp;D</w:t>
            </w:r>
          </w:p>
        </w:tc>
        <w:tc>
          <w:tcPr>
            <w:tcW w:w="760" w:type="dxa"/>
            <w:vAlign w:val="bottom"/>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15.2 %</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28"/>
        </w:trPr>
        <w:tc>
          <w:tcPr>
            <w:tcW w:w="350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28"/>
        </w:trPr>
        <w:tc>
          <w:tcPr>
            <w:tcW w:w="35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7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36"/>
        </w:trPr>
        <w:tc>
          <w:tcPr>
            <w:tcW w:w="350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760" w:type="dxa"/>
            <w:vAlign w:val="bottom"/>
          </w:tcPr>
          <w:p>
            <w:pPr>
              <w:jc w:val="right"/>
              <w:spacing w:after="0"/>
              <w:rPr>
                <w:sz w:val="20"/>
                <w:szCs w:val="20"/>
                <w:color w:val="auto"/>
              </w:rPr>
            </w:pPr>
            <w:r>
              <w:rPr>
                <w:rFonts w:ascii="Arial" w:cs="Arial" w:eastAsia="Arial" w:hAnsi="Arial"/>
                <w:sz w:val="18"/>
                <w:szCs w:val="18"/>
                <w:color w:val="auto"/>
              </w:rPr>
              <w:t>121.7 %</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40" w:right="20" w:hanging="330"/>
        <w:spacing w:after="0" w:line="248"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news release.</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20"/>
          </w:cols>
          <w:pgMar w:left="340" w:top="1440"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132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6"/>
              </w:rPr>
              <w:t>Depreciation</w:t>
            </w:r>
          </w:p>
        </w:tc>
        <w:tc>
          <w:tcPr>
            <w:tcW w:w="8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Certain Legal</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Certain</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Restructuring</w:t>
            </w:r>
          </w:p>
        </w:tc>
        <w:tc>
          <w:tcPr>
            <w:tcW w:w="9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and</w:t>
            </w:r>
          </w:p>
        </w:tc>
        <w:tc>
          <w:tcPr>
            <w:tcW w:w="84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Financing</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9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Certain Tax</w:t>
            </w:r>
          </w:p>
        </w:tc>
        <w:tc>
          <w:tcPr>
            <w:tcW w:w="90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Adjusted</w:t>
            </w:r>
          </w:p>
        </w:tc>
        <w:tc>
          <w:tcPr>
            <w:tcW w:w="0" w:type="dxa"/>
            <w:vAlign w:val="bottom"/>
          </w:tcPr>
          <w:p>
            <w:pPr>
              <w:spacing w:after="0"/>
              <w:rPr>
                <w:sz w:val="1"/>
                <w:szCs w:val="1"/>
                <w:color w:val="auto"/>
              </w:rPr>
            </w:pPr>
          </w:p>
        </w:tc>
      </w:tr>
      <w:tr>
        <w:trPr>
          <w:trHeight w:val="121"/>
        </w:trPr>
        <w:tc>
          <w:tcPr>
            <w:tcW w:w="1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w:t>
            </w: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Amortization</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Impairment</w:t>
            </w: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&amp; Regulatory</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Compensation</w:t>
            </w:r>
          </w:p>
        </w:tc>
        <w:tc>
          <w:tcPr>
            <w:tcW w:w="94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vMerge w:val="continue"/>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Financial</w:t>
            </w: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8"/>
              </w:rPr>
              <w:t>Expenses</w:t>
            </w:r>
          </w:p>
        </w:tc>
        <w:tc>
          <w:tcPr>
            <w:tcW w:w="92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98"/>
              </w:rPr>
              <w:t>Expenses</w:t>
            </w:r>
          </w:p>
        </w:tc>
        <w:tc>
          <w:tcPr>
            <w:tcW w:w="840" w:type="dxa"/>
            <w:vAlign w:val="bottom"/>
            <w:vMerge w:val="continue"/>
          </w:tcPr>
          <w:p>
            <w:pPr>
              <w:spacing w:after="0"/>
              <w:rPr>
                <w:sz w:val="11"/>
                <w:szCs w:val="11"/>
                <w:color w:val="auto"/>
              </w:rPr>
            </w:pPr>
          </w:p>
        </w:tc>
        <w:tc>
          <w:tcPr>
            <w:tcW w:w="9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Transactions</w:t>
            </w:r>
          </w:p>
        </w:tc>
        <w:tc>
          <w:tcPr>
            <w:tcW w:w="9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Consideration</w:t>
            </w: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Costs</w:t>
            </w:r>
          </w:p>
        </w:tc>
        <w:tc>
          <w:tcPr>
            <w:tcW w:w="102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94"/>
              </w:rPr>
              <w:t>Costs</w:t>
            </w:r>
          </w:p>
        </w:tc>
        <w:tc>
          <w:tcPr>
            <w:tcW w:w="94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93"/>
              </w:rPr>
              <w:t>Adjustments</w:t>
            </w: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Financial</w:t>
            </w:r>
          </w:p>
        </w:tc>
        <w:tc>
          <w:tcPr>
            <w:tcW w:w="0" w:type="dxa"/>
            <w:vAlign w:val="bottom"/>
          </w:tcPr>
          <w:p>
            <w:pPr>
              <w:spacing w:after="0"/>
              <w:rPr>
                <w:sz w:val="1"/>
                <w:szCs w:val="1"/>
                <w:color w:val="auto"/>
              </w:rPr>
            </w:pPr>
          </w:p>
        </w:tc>
      </w:tr>
      <w:tr>
        <w:trPr>
          <w:trHeight w:val="173"/>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2023</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(B)</w:t>
            </w: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(C)</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(D)</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60"/>
        </w:trPr>
        <w:tc>
          <w:tcPr>
            <w:tcW w:w="140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$120.0</w:t>
            </w:r>
          </w:p>
        </w:tc>
        <w:tc>
          <w:tcPr>
            <w:tcW w:w="980" w:type="dxa"/>
            <w:vAlign w:val="bottom"/>
          </w:tcPr>
          <w:p>
            <w:pPr>
              <w:jc w:val="center"/>
              <w:ind w:left="357"/>
              <w:spacing w:after="0"/>
              <w:rPr>
                <w:sz w:val="20"/>
                <w:szCs w:val="20"/>
                <w:color w:val="auto"/>
              </w:rPr>
            </w:pPr>
            <w:r>
              <w:rPr>
                <w:rFonts w:ascii="Arial" w:cs="Arial" w:eastAsia="Arial" w:hAnsi="Arial"/>
                <w:sz w:val="13"/>
                <w:szCs w:val="13"/>
                <w:color w:val="auto"/>
                <w:w w:val="98"/>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($3.6)</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($12.6)</w:t>
            </w:r>
          </w:p>
        </w:tc>
        <w:tc>
          <w:tcPr>
            <w:tcW w:w="940" w:type="dxa"/>
            <w:vAlign w:val="bottom"/>
          </w:tcPr>
          <w:p>
            <w:pPr>
              <w:ind w:left="54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($3.4)</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($0.2)</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$100.2</w:t>
            </w:r>
          </w:p>
        </w:tc>
        <w:tc>
          <w:tcPr>
            <w:tcW w:w="0" w:type="dxa"/>
            <w:vAlign w:val="bottom"/>
          </w:tcPr>
          <w:p>
            <w:pPr>
              <w:spacing w:after="0"/>
              <w:rPr>
                <w:sz w:val="1"/>
                <w:szCs w:val="1"/>
                <w:color w:val="auto"/>
              </w:rPr>
            </w:pPr>
          </w:p>
        </w:tc>
      </w:tr>
      <w:tr>
        <w:trPr>
          <w:trHeight w:val="170"/>
        </w:trPr>
        <w:tc>
          <w:tcPr>
            <w:tcW w:w="1400" w:type="dxa"/>
            <w:vAlign w:val="bottom"/>
          </w:tcPr>
          <w:p>
            <w:pPr>
              <w:ind w:left="20"/>
              <w:spacing w:after="0"/>
              <w:rPr>
                <w:sz w:val="20"/>
                <w:szCs w:val="20"/>
                <w:color w:val="auto"/>
              </w:rPr>
            </w:pPr>
            <w:r>
              <w:rPr>
                <w:rFonts w:ascii="Arial" w:cs="Arial" w:eastAsia="Arial" w:hAnsi="Arial"/>
                <w:sz w:val="13"/>
                <w:szCs w:val="13"/>
                <w:color w:val="auto"/>
              </w:rPr>
              <w:t>Gross profit percent</w:t>
            </w:r>
          </w:p>
        </w:tc>
        <w:tc>
          <w:tcPr>
            <w:tcW w:w="720" w:type="dxa"/>
            <w:vAlign w:val="bottom"/>
          </w:tcPr>
          <w:p>
            <w:pPr>
              <w:jc w:val="right"/>
              <w:spacing w:after="0"/>
              <w:rPr>
                <w:sz w:val="20"/>
                <w:szCs w:val="20"/>
                <w:color w:val="auto"/>
              </w:rPr>
            </w:pPr>
            <w:r>
              <w:rPr>
                <w:rFonts w:ascii="Arial" w:cs="Arial" w:eastAsia="Arial" w:hAnsi="Arial"/>
                <w:sz w:val="13"/>
                <w:szCs w:val="13"/>
                <w:color w:val="auto"/>
              </w:rPr>
              <w:t>61.3 %</w:t>
            </w:r>
          </w:p>
        </w:tc>
        <w:tc>
          <w:tcPr>
            <w:tcW w:w="980" w:type="dxa"/>
            <w:vAlign w:val="bottom"/>
          </w:tcPr>
          <w:p>
            <w:pPr>
              <w:ind w:left="660"/>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1.2 %</w:t>
            </w:r>
          </w:p>
        </w:tc>
        <w:tc>
          <w:tcPr>
            <w:tcW w:w="840" w:type="dxa"/>
            <w:vAlign w:val="bottom"/>
          </w:tcPr>
          <w:p>
            <w:pPr>
              <w:jc w:val="right"/>
              <w:spacing w:after="0"/>
              <w:rPr>
                <w:sz w:val="20"/>
                <w:szCs w:val="20"/>
                <w:color w:val="auto"/>
              </w:rPr>
            </w:pPr>
            <w:r>
              <w:rPr>
                <w:rFonts w:ascii="Arial" w:cs="Arial" w:eastAsia="Arial" w:hAnsi="Arial"/>
                <w:sz w:val="13"/>
                <w:szCs w:val="13"/>
                <w:color w:val="auto"/>
              </w:rPr>
              <w:t>4.1 %</w:t>
            </w:r>
          </w:p>
        </w:tc>
        <w:tc>
          <w:tcPr>
            <w:tcW w:w="940" w:type="dxa"/>
            <w:vAlign w:val="bottom"/>
          </w:tcPr>
          <w:p>
            <w:pPr>
              <w:ind w:left="6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1.1 %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1020" w:type="dxa"/>
            <w:vAlign w:val="bottom"/>
          </w:tcPr>
          <w:p>
            <w:pPr>
              <w:jc w:val="right"/>
              <w:spacing w:after="0"/>
              <w:rPr>
                <w:sz w:val="20"/>
                <w:szCs w:val="20"/>
                <w:color w:val="auto"/>
              </w:rPr>
            </w:pPr>
            <w:r>
              <w:rPr>
                <w:rFonts w:ascii="Arial" w:cs="Arial" w:eastAsia="Arial" w:hAnsi="Arial"/>
                <w:sz w:val="13"/>
                <w:szCs w:val="13"/>
                <w:color w:val="auto"/>
              </w:rPr>
              <w:t>0.1 %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67.7 %</w:t>
            </w:r>
          </w:p>
        </w:tc>
        <w:tc>
          <w:tcPr>
            <w:tcW w:w="0" w:type="dxa"/>
            <w:vAlign w:val="bottom"/>
          </w:tcPr>
          <w:p>
            <w:pPr>
              <w:spacing w:after="0"/>
              <w:rPr>
                <w:sz w:val="1"/>
                <w:szCs w:val="1"/>
                <w:color w:val="auto"/>
              </w:rPr>
            </w:pPr>
          </w:p>
        </w:tc>
      </w:tr>
      <w:tr>
        <w:trPr>
          <w:trHeight w:val="134"/>
        </w:trPr>
        <w:tc>
          <w:tcPr>
            <w:tcW w:w="1400" w:type="dxa"/>
            <w:vAlign w:val="bottom"/>
          </w:tcPr>
          <w:p>
            <w:pPr>
              <w:ind w:left="20"/>
              <w:spacing w:after="0" w:line="134" w:lineRule="exact"/>
              <w:rPr>
                <w:sz w:val="20"/>
                <w:szCs w:val="20"/>
                <w:color w:val="auto"/>
              </w:rPr>
            </w:pPr>
            <w:r>
              <w:rPr>
                <w:rFonts w:ascii="Arial" w:cs="Arial" w:eastAsia="Arial" w:hAnsi="Arial"/>
                <w:sz w:val="13"/>
                <w:szCs w:val="13"/>
                <w:color w:val="auto"/>
              </w:rPr>
              <w:t>Selling, general and</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00" w:type="dxa"/>
            <w:vAlign w:val="bottom"/>
          </w:tcPr>
          <w:p>
            <w:pPr>
              <w:ind w:left="20"/>
              <w:spacing w:after="0"/>
              <w:rPr>
                <w:sz w:val="20"/>
                <w:szCs w:val="20"/>
                <w:color w:val="auto"/>
              </w:rPr>
            </w:pPr>
            <w:r>
              <w:rPr>
                <w:rFonts w:ascii="Arial" w:cs="Arial" w:eastAsia="Arial" w:hAnsi="Arial"/>
                <w:sz w:val="13"/>
                <w:szCs w:val="13"/>
                <w:color w:val="auto"/>
              </w:rPr>
              <w:t>administrative</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133.3</w:t>
            </w:r>
          </w:p>
        </w:tc>
        <w:tc>
          <w:tcPr>
            <w:tcW w:w="980" w:type="dxa"/>
            <w:vAlign w:val="bottom"/>
          </w:tcPr>
          <w:p>
            <w:pPr>
              <w:ind w:left="66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(2.8)</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ind w:left="62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(3.6)</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(7.0)</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119.9</w:t>
            </w:r>
          </w:p>
        </w:tc>
        <w:tc>
          <w:tcPr>
            <w:tcW w:w="0" w:type="dxa"/>
            <w:vAlign w:val="bottom"/>
          </w:tcPr>
          <w:p>
            <w:pPr>
              <w:spacing w:after="0"/>
              <w:rPr>
                <w:sz w:val="1"/>
                <w:szCs w:val="1"/>
                <w:color w:val="auto"/>
              </w:rPr>
            </w:pPr>
          </w:p>
        </w:tc>
      </w:tr>
      <w:tr>
        <w:trPr>
          <w:trHeight w:val="134"/>
        </w:trPr>
        <w:tc>
          <w:tcPr>
            <w:tcW w:w="1400" w:type="dxa"/>
            <w:vAlign w:val="bottom"/>
          </w:tcPr>
          <w:p>
            <w:pPr>
              <w:ind w:left="20"/>
              <w:spacing w:after="0" w:line="134" w:lineRule="exact"/>
              <w:rPr>
                <w:sz w:val="20"/>
                <w:szCs w:val="20"/>
                <w:color w:val="auto"/>
              </w:rPr>
            </w:pPr>
            <w:r>
              <w:rPr>
                <w:rFonts w:ascii="Arial" w:cs="Arial" w:eastAsia="Arial" w:hAnsi="Arial"/>
                <w:sz w:val="13"/>
                <w:szCs w:val="13"/>
                <w:color w:val="auto"/>
              </w:rPr>
              <w:t>Selling, general and</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00" w:type="dxa"/>
            <w:vAlign w:val="bottom"/>
          </w:tcPr>
          <w:p>
            <w:pPr>
              <w:ind w:left="20"/>
              <w:spacing w:after="0" w:line="130" w:lineRule="exact"/>
              <w:rPr>
                <w:sz w:val="20"/>
                <w:szCs w:val="20"/>
                <w:color w:val="auto"/>
              </w:rPr>
            </w:pPr>
            <w:r>
              <w:rPr>
                <w:rFonts w:ascii="Arial" w:cs="Arial" w:eastAsia="Arial" w:hAnsi="Arial"/>
                <w:sz w:val="13"/>
                <w:szCs w:val="13"/>
                <w:color w:val="auto"/>
              </w:rPr>
              <w:t>administrative as a</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400" w:type="dxa"/>
            <w:vAlign w:val="bottom"/>
          </w:tcPr>
          <w:p>
            <w:pPr>
              <w:ind w:left="20"/>
              <w:spacing w:after="0"/>
              <w:rPr>
                <w:sz w:val="20"/>
                <w:szCs w:val="20"/>
                <w:color w:val="auto"/>
              </w:rPr>
            </w:pPr>
            <w:r>
              <w:rPr>
                <w:rFonts w:ascii="Arial" w:cs="Arial" w:eastAsia="Arial" w:hAnsi="Arial"/>
                <w:sz w:val="13"/>
                <w:szCs w:val="13"/>
                <w:color w:val="auto"/>
              </w:rPr>
              <w:t>percent of net revenue</w:t>
            </w:r>
          </w:p>
        </w:tc>
        <w:tc>
          <w:tcPr>
            <w:tcW w:w="720" w:type="dxa"/>
            <w:vAlign w:val="bottom"/>
          </w:tcPr>
          <w:p>
            <w:pPr>
              <w:jc w:val="right"/>
              <w:spacing w:after="0"/>
              <w:rPr>
                <w:sz w:val="20"/>
                <w:szCs w:val="20"/>
                <w:color w:val="auto"/>
              </w:rPr>
            </w:pPr>
            <w:r>
              <w:rPr>
                <w:rFonts w:ascii="Arial" w:cs="Arial" w:eastAsia="Arial" w:hAnsi="Arial"/>
                <w:sz w:val="13"/>
                <w:szCs w:val="13"/>
                <w:color w:val="auto"/>
              </w:rPr>
              <w:t>43.0 %</w:t>
            </w:r>
          </w:p>
        </w:tc>
        <w:tc>
          <w:tcPr>
            <w:tcW w:w="980" w:type="dxa"/>
            <w:vAlign w:val="bottom"/>
          </w:tcPr>
          <w:p>
            <w:pPr>
              <w:ind w:left="660"/>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(0.9)%</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ind w:left="6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(1.2)%</w:t>
            </w:r>
          </w:p>
        </w:tc>
        <w:tc>
          <w:tcPr>
            <w:tcW w:w="1020" w:type="dxa"/>
            <w:vAlign w:val="bottom"/>
          </w:tcPr>
          <w:p>
            <w:pPr>
              <w:jc w:val="right"/>
              <w:spacing w:after="0"/>
              <w:rPr>
                <w:sz w:val="20"/>
                <w:szCs w:val="20"/>
                <w:color w:val="auto"/>
              </w:rPr>
            </w:pPr>
            <w:r>
              <w:rPr>
                <w:rFonts w:ascii="Arial" w:cs="Arial" w:eastAsia="Arial" w:hAnsi="Arial"/>
                <w:sz w:val="13"/>
                <w:szCs w:val="13"/>
                <w:color w:val="auto"/>
              </w:rPr>
              <w:t>(2.3)%</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38.7 %</w:t>
            </w:r>
          </w:p>
        </w:tc>
        <w:tc>
          <w:tcPr>
            <w:tcW w:w="0" w:type="dxa"/>
            <w:vAlign w:val="bottom"/>
          </w:tcPr>
          <w:p>
            <w:pPr>
              <w:spacing w:after="0"/>
              <w:rPr>
                <w:sz w:val="1"/>
                <w:szCs w:val="1"/>
                <w:color w:val="auto"/>
              </w:rPr>
            </w:pPr>
          </w:p>
        </w:tc>
      </w:tr>
      <w:tr>
        <w:trPr>
          <w:trHeight w:val="134"/>
        </w:trPr>
        <w:tc>
          <w:tcPr>
            <w:tcW w:w="140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00" w:type="dxa"/>
            <w:vAlign w:val="bottom"/>
          </w:tcPr>
          <w:p>
            <w:pPr>
              <w:ind w:left="20"/>
              <w:spacing w:after="0"/>
              <w:rPr>
                <w:sz w:val="20"/>
                <w:szCs w:val="20"/>
                <w:color w:val="auto"/>
              </w:rPr>
            </w:pPr>
            <w:r>
              <w:rPr>
                <w:rFonts w:ascii="Arial" w:cs="Arial" w:eastAsia="Arial" w:hAnsi="Arial"/>
                <w:sz w:val="13"/>
                <w:szCs w:val="13"/>
                <w:color w:val="auto"/>
              </w:rPr>
              <w:t>development</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46.2</w:t>
            </w:r>
          </w:p>
        </w:tc>
        <w:tc>
          <w:tcPr>
            <w:tcW w:w="980" w:type="dxa"/>
            <w:vAlign w:val="bottom"/>
          </w:tcPr>
          <w:p>
            <w:pPr>
              <w:ind w:left="66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ind w:left="62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(1.6)</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(1.1)</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134"/>
        </w:trPr>
        <w:tc>
          <w:tcPr>
            <w:tcW w:w="140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00" w:type="dxa"/>
            <w:vAlign w:val="bottom"/>
          </w:tcPr>
          <w:p>
            <w:pPr>
              <w:ind w:left="20"/>
              <w:spacing w:after="0" w:line="130" w:lineRule="exact"/>
              <w:rPr>
                <w:sz w:val="20"/>
                <w:szCs w:val="20"/>
                <w:color w:val="auto"/>
              </w:rPr>
            </w:pPr>
            <w:r>
              <w:rPr>
                <w:rFonts w:ascii="Arial" w:cs="Arial" w:eastAsia="Arial" w:hAnsi="Arial"/>
                <w:sz w:val="13"/>
                <w:szCs w:val="13"/>
                <w:color w:val="auto"/>
              </w:rPr>
              <w:t>development as a</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400" w:type="dxa"/>
            <w:vAlign w:val="bottom"/>
          </w:tcPr>
          <w:p>
            <w:pPr>
              <w:ind w:left="20"/>
              <w:spacing w:after="0"/>
              <w:rPr>
                <w:sz w:val="20"/>
                <w:szCs w:val="20"/>
                <w:color w:val="auto"/>
              </w:rPr>
            </w:pPr>
            <w:r>
              <w:rPr>
                <w:rFonts w:ascii="Arial" w:cs="Arial" w:eastAsia="Arial" w:hAnsi="Arial"/>
                <w:sz w:val="13"/>
                <w:szCs w:val="13"/>
                <w:color w:val="auto"/>
              </w:rPr>
              <w:t>percent of net revenue</w:t>
            </w:r>
          </w:p>
        </w:tc>
        <w:tc>
          <w:tcPr>
            <w:tcW w:w="720" w:type="dxa"/>
            <w:vAlign w:val="bottom"/>
          </w:tcPr>
          <w:p>
            <w:pPr>
              <w:jc w:val="right"/>
              <w:spacing w:after="0"/>
              <w:rPr>
                <w:sz w:val="20"/>
                <w:szCs w:val="20"/>
                <w:color w:val="auto"/>
              </w:rPr>
            </w:pPr>
            <w:r>
              <w:rPr>
                <w:rFonts w:ascii="Arial" w:cs="Arial" w:eastAsia="Arial" w:hAnsi="Arial"/>
                <w:sz w:val="13"/>
                <w:szCs w:val="13"/>
                <w:color w:val="auto"/>
              </w:rPr>
              <w:t>14.9 %</w:t>
            </w:r>
          </w:p>
        </w:tc>
        <w:tc>
          <w:tcPr>
            <w:tcW w:w="980" w:type="dxa"/>
            <w:vAlign w:val="bottom"/>
          </w:tcPr>
          <w:p>
            <w:pPr>
              <w:ind w:left="660"/>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ind w:left="6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(0.5)%</w:t>
            </w:r>
          </w:p>
        </w:tc>
        <w:tc>
          <w:tcPr>
            <w:tcW w:w="900" w:type="dxa"/>
            <w:vAlign w:val="bottom"/>
          </w:tcPr>
          <w:p>
            <w:pPr>
              <w:jc w:val="right"/>
              <w:spacing w:after="0"/>
              <w:rPr>
                <w:sz w:val="20"/>
                <w:szCs w:val="20"/>
                <w:color w:val="auto"/>
              </w:rPr>
            </w:pPr>
            <w:r>
              <w:rPr>
                <w:rFonts w:ascii="Arial" w:cs="Arial" w:eastAsia="Arial" w:hAnsi="Arial"/>
                <w:sz w:val="13"/>
                <w:szCs w:val="13"/>
                <w:color w:val="auto"/>
              </w:rPr>
              <w:t>(0.5)%</w:t>
            </w:r>
          </w:p>
        </w:tc>
        <w:tc>
          <w:tcPr>
            <w:tcW w:w="1020" w:type="dxa"/>
            <w:vAlign w:val="bottom"/>
          </w:tcPr>
          <w:p>
            <w:pPr>
              <w:jc w:val="right"/>
              <w:spacing w:after="0"/>
              <w:rPr>
                <w:sz w:val="20"/>
                <w:szCs w:val="20"/>
                <w:color w:val="auto"/>
              </w:rPr>
            </w:pPr>
            <w:r>
              <w:rPr>
                <w:rFonts w:ascii="Arial" w:cs="Arial" w:eastAsia="Arial" w:hAnsi="Arial"/>
                <w:sz w:val="13"/>
                <w:szCs w:val="13"/>
                <w:color w:val="auto"/>
              </w:rPr>
              <w:t>(0.3)%</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13.6 %</w:t>
            </w:r>
          </w:p>
        </w:tc>
        <w:tc>
          <w:tcPr>
            <w:tcW w:w="0" w:type="dxa"/>
            <w:vAlign w:val="bottom"/>
          </w:tcPr>
          <w:p>
            <w:pPr>
              <w:spacing w:after="0"/>
              <w:rPr>
                <w:sz w:val="1"/>
                <w:szCs w:val="1"/>
                <w:color w:val="auto"/>
              </w:rPr>
            </w:pPr>
          </w:p>
        </w:tc>
      </w:tr>
      <w:tr>
        <w:trPr>
          <w:trHeight w:val="134"/>
        </w:trPr>
        <w:tc>
          <w:tcPr>
            <w:tcW w:w="1400" w:type="dxa"/>
            <w:vAlign w:val="bottom"/>
          </w:tcPr>
          <w:p>
            <w:pPr>
              <w:ind w:left="20"/>
              <w:spacing w:after="0" w:line="134" w:lineRule="exact"/>
              <w:rPr>
                <w:sz w:val="20"/>
                <w:szCs w:val="20"/>
                <w:color w:val="auto"/>
              </w:rPr>
            </w:pPr>
            <w:r>
              <w:rPr>
                <w:rFonts w:ascii="Arial" w:cs="Arial" w:eastAsia="Arial" w:hAnsi="Arial"/>
                <w:sz w:val="13"/>
                <w:szCs w:val="13"/>
                <w:color w:val="auto"/>
              </w:rPr>
              <w:t>Other operating</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00" w:type="dxa"/>
            <w:vAlign w:val="bottom"/>
          </w:tcPr>
          <w:p>
            <w:pPr>
              <w:ind w:left="20"/>
              <w:spacing w:after="0"/>
              <w:rPr>
                <w:sz w:val="20"/>
                <w:szCs w:val="20"/>
                <w:color w:val="auto"/>
              </w:rPr>
            </w:pPr>
            <w:r>
              <w:rPr>
                <w:rFonts w:ascii="Arial" w:cs="Arial" w:eastAsia="Arial" w:hAnsi="Arial"/>
                <w:sz w:val="13"/>
                <w:szCs w:val="13"/>
                <w:color w:val="auto"/>
              </w:rPr>
              <w:t>expenses</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8.7</w:t>
            </w:r>
          </w:p>
        </w:tc>
        <w:tc>
          <w:tcPr>
            <w:tcW w:w="980" w:type="dxa"/>
            <w:vAlign w:val="bottom"/>
          </w:tcPr>
          <w:p>
            <w:pPr>
              <w:ind w:left="620"/>
              <w:spacing w:after="0"/>
              <w:rPr>
                <w:sz w:val="20"/>
                <w:szCs w:val="20"/>
                <w:color w:val="auto"/>
              </w:rPr>
            </w:pPr>
            <w:r>
              <w:rPr>
                <w:rFonts w:ascii="Arial" w:cs="Arial" w:eastAsia="Arial" w:hAnsi="Arial"/>
                <w:sz w:val="13"/>
                <w:szCs w:val="13"/>
                <w:color w:val="auto"/>
              </w:rPr>
              <w:t>0.1</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ind w:left="62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(8.8)</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400" w:type="dxa"/>
            <w:vAlign w:val="bottom"/>
          </w:tcPr>
          <w:p>
            <w:pPr>
              <w:ind w:left="20"/>
              <w:spacing w:after="0"/>
              <w:rPr>
                <w:sz w:val="20"/>
                <w:szCs w:val="20"/>
                <w:color w:val="auto"/>
              </w:rPr>
            </w:pPr>
            <w:r>
              <w:rPr>
                <w:rFonts w:ascii="Arial" w:cs="Arial" w:eastAsia="Arial" w:hAnsi="Arial"/>
                <w:sz w:val="13"/>
                <w:szCs w:val="13"/>
                <w:color w:val="auto"/>
                <w:w w:val="98"/>
              </w:rPr>
              <w:t>Operating (loss) income</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(88.0)</w:t>
            </w:r>
          </w:p>
        </w:tc>
        <w:tc>
          <w:tcPr>
            <w:tcW w:w="980" w:type="dxa"/>
            <w:vAlign w:val="bottom"/>
          </w:tcPr>
          <w:p>
            <w:pPr>
              <w:jc w:val="center"/>
              <w:ind w:left="337"/>
              <w:spacing w:after="0"/>
              <w:rPr>
                <w:sz w:val="20"/>
                <w:szCs w:val="20"/>
                <w:color w:val="auto"/>
              </w:rPr>
            </w:pPr>
            <w:r>
              <w:rPr>
                <w:rFonts w:ascii="Arial" w:cs="Arial" w:eastAsia="Arial" w:hAnsi="Arial"/>
                <w:sz w:val="13"/>
                <w:szCs w:val="13"/>
                <w:color w:val="auto"/>
                <w:w w:val="97"/>
              </w:rPr>
              <w:t>(0.1)</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6.4</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102.6</w:t>
            </w:r>
          </w:p>
        </w:tc>
        <w:tc>
          <w:tcPr>
            <w:tcW w:w="940" w:type="dxa"/>
            <w:vAlign w:val="bottom"/>
          </w:tcPr>
          <w:p>
            <w:pPr>
              <w:ind w:left="62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4.8</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14.0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8.3</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34"/>
        </w:trPr>
        <w:tc>
          <w:tcPr>
            <w:tcW w:w="1400" w:type="dxa"/>
            <w:vAlign w:val="bottom"/>
          </w:tcPr>
          <w:p>
            <w:pPr>
              <w:ind w:left="20"/>
              <w:spacing w:after="0" w:line="134" w:lineRule="exact"/>
              <w:rPr>
                <w:sz w:val="20"/>
                <w:szCs w:val="20"/>
                <w:color w:val="auto"/>
              </w:rPr>
            </w:pPr>
            <w:r>
              <w:rPr>
                <w:rFonts w:ascii="Arial" w:cs="Arial" w:eastAsia="Arial" w:hAnsi="Arial"/>
                <w:sz w:val="13"/>
                <w:szCs w:val="13"/>
                <w:color w:val="auto"/>
              </w:rPr>
              <w:t>Operating margin</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00" w:type="dxa"/>
            <w:vAlign w:val="bottom"/>
          </w:tcPr>
          <w:p>
            <w:pPr>
              <w:ind w:left="20"/>
              <w:spacing w:after="0"/>
              <w:rPr>
                <w:sz w:val="20"/>
                <w:szCs w:val="20"/>
                <w:color w:val="auto"/>
              </w:rPr>
            </w:pPr>
            <w:r>
              <w:rPr>
                <w:rFonts w:ascii="Arial" w:cs="Arial" w:eastAsia="Arial" w:hAnsi="Arial"/>
                <w:sz w:val="13"/>
                <w:szCs w:val="13"/>
                <w:color w:val="auto"/>
              </w:rPr>
              <w:t>percent</w:t>
            </w:r>
          </w:p>
        </w:tc>
        <w:tc>
          <w:tcPr>
            <w:tcW w:w="720" w:type="dxa"/>
            <w:vAlign w:val="bottom"/>
          </w:tcPr>
          <w:p>
            <w:pPr>
              <w:jc w:val="right"/>
              <w:spacing w:after="0"/>
              <w:rPr>
                <w:sz w:val="20"/>
                <w:szCs w:val="20"/>
                <w:color w:val="auto"/>
              </w:rPr>
            </w:pPr>
            <w:r>
              <w:rPr>
                <w:rFonts w:ascii="Arial" w:cs="Arial" w:eastAsia="Arial" w:hAnsi="Arial"/>
                <w:sz w:val="13"/>
                <w:szCs w:val="13"/>
                <w:color w:val="auto"/>
              </w:rPr>
              <w:t>(28.4)%</w:t>
            </w:r>
          </w:p>
        </w:tc>
        <w:tc>
          <w:tcPr>
            <w:tcW w:w="980" w:type="dxa"/>
            <w:vAlign w:val="bottom"/>
          </w:tcPr>
          <w:p>
            <w:pPr>
              <w:ind w:left="660"/>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2.1 %</w:t>
            </w:r>
          </w:p>
        </w:tc>
        <w:tc>
          <w:tcPr>
            <w:tcW w:w="840" w:type="dxa"/>
            <w:vAlign w:val="bottom"/>
          </w:tcPr>
          <w:p>
            <w:pPr>
              <w:jc w:val="right"/>
              <w:spacing w:after="0"/>
              <w:rPr>
                <w:sz w:val="20"/>
                <w:szCs w:val="20"/>
                <w:color w:val="auto"/>
              </w:rPr>
            </w:pPr>
            <w:r>
              <w:rPr>
                <w:rFonts w:ascii="Arial" w:cs="Arial" w:eastAsia="Arial" w:hAnsi="Arial"/>
                <w:sz w:val="13"/>
                <w:szCs w:val="13"/>
                <w:color w:val="auto"/>
              </w:rPr>
              <w:t>33.1 %</w:t>
            </w:r>
          </w:p>
        </w:tc>
        <w:tc>
          <w:tcPr>
            <w:tcW w:w="940" w:type="dxa"/>
            <w:vAlign w:val="bottom"/>
          </w:tcPr>
          <w:p>
            <w:pPr>
              <w:ind w:left="6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1.6 %</w:t>
            </w:r>
          </w:p>
        </w:tc>
        <w:tc>
          <w:tcPr>
            <w:tcW w:w="900" w:type="dxa"/>
            <w:vAlign w:val="bottom"/>
          </w:tcPr>
          <w:p>
            <w:pPr>
              <w:jc w:val="right"/>
              <w:spacing w:after="0"/>
              <w:rPr>
                <w:sz w:val="20"/>
                <w:szCs w:val="20"/>
                <w:color w:val="auto"/>
              </w:rPr>
            </w:pPr>
            <w:r>
              <w:rPr>
                <w:rFonts w:ascii="Arial" w:cs="Arial" w:eastAsia="Arial" w:hAnsi="Arial"/>
                <w:sz w:val="13"/>
                <w:szCs w:val="13"/>
                <w:color w:val="auto"/>
              </w:rPr>
              <w:t>4.5 %</w:t>
            </w:r>
          </w:p>
        </w:tc>
        <w:tc>
          <w:tcPr>
            <w:tcW w:w="1020" w:type="dxa"/>
            <w:vAlign w:val="bottom"/>
          </w:tcPr>
          <w:p>
            <w:pPr>
              <w:jc w:val="right"/>
              <w:spacing w:after="0"/>
              <w:rPr>
                <w:sz w:val="20"/>
                <w:szCs w:val="20"/>
                <w:color w:val="auto"/>
              </w:rPr>
            </w:pPr>
            <w:r>
              <w:rPr>
                <w:rFonts w:ascii="Arial" w:cs="Arial" w:eastAsia="Arial" w:hAnsi="Arial"/>
                <w:sz w:val="13"/>
                <w:szCs w:val="13"/>
                <w:color w:val="auto"/>
              </w:rPr>
              <w:t>2.7 %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15.5 %</w:t>
            </w:r>
          </w:p>
        </w:tc>
        <w:tc>
          <w:tcPr>
            <w:tcW w:w="0" w:type="dxa"/>
            <w:vAlign w:val="bottom"/>
          </w:tcPr>
          <w:p>
            <w:pPr>
              <w:spacing w:after="0"/>
              <w:rPr>
                <w:sz w:val="1"/>
                <w:szCs w:val="1"/>
                <w:color w:val="auto"/>
              </w:rPr>
            </w:pPr>
          </w:p>
        </w:tc>
      </w:tr>
      <w:tr>
        <w:trPr>
          <w:trHeight w:val="174"/>
        </w:trPr>
        <w:tc>
          <w:tcPr>
            <w:tcW w:w="14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16.3</w:t>
            </w:r>
          </w:p>
        </w:tc>
        <w:tc>
          <w:tcPr>
            <w:tcW w:w="980" w:type="dxa"/>
            <w:vAlign w:val="bottom"/>
          </w:tcPr>
          <w:p>
            <w:pPr>
              <w:jc w:val="center"/>
              <w:ind w:left="337"/>
              <w:spacing w:after="0"/>
              <w:rPr>
                <w:sz w:val="20"/>
                <w:szCs w:val="20"/>
                <w:color w:val="auto"/>
              </w:rPr>
            </w:pPr>
            <w:r>
              <w:rPr>
                <w:rFonts w:ascii="Arial" w:cs="Arial" w:eastAsia="Arial" w:hAnsi="Arial"/>
                <w:sz w:val="13"/>
                <w:szCs w:val="13"/>
                <w:color w:val="auto"/>
                <w:w w:val="97"/>
              </w:rPr>
              <w:t>(0.1)</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6.4</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102.6</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(2.6)</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4.8</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12.4</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8.3</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(109.3)</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8.3</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47.3</w:t>
            </w:r>
          </w:p>
        </w:tc>
        <w:tc>
          <w:tcPr>
            <w:tcW w:w="0" w:type="dxa"/>
            <w:vAlign w:val="bottom"/>
          </w:tcPr>
          <w:p>
            <w:pPr>
              <w:spacing w:after="0"/>
              <w:rPr>
                <w:sz w:val="1"/>
                <w:szCs w:val="1"/>
                <w:color w:val="auto"/>
              </w:rPr>
            </w:pPr>
          </w:p>
        </w:tc>
      </w:tr>
      <w:tr>
        <w:trPr>
          <w:trHeight w:val="134"/>
        </w:trPr>
        <w:tc>
          <w:tcPr>
            <w:tcW w:w="1400" w:type="dxa"/>
            <w:vAlign w:val="bottom"/>
          </w:tcPr>
          <w:p>
            <w:pPr>
              <w:ind w:left="20"/>
              <w:spacing w:after="0" w:line="134" w:lineRule="exact"/>
              <w:rPr>
                <w:sz w:val="20"/>
                <w:szCs w:val="20"/>
                <w:color w:val="auto"/>
              </w:rPr>
            </w:pPr>
            <w:r>
              <w:rPr>
                <w:rFonts w:ascii="Arial" w:cs="Arial" w:eastAsia="Arial" w:hAnsi="Arial"/>
                <w:sz w:val="13"/>
                <w:szCs w:val="13"/>
                <w:color w:val="auto"/>
              </w:rPr>
              <w:t>Net income as a</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00" w:type="dxa"/>
            <w:vAlign w:val="bottom"/>
          </w:tcPr>
          <w:p>
            <w:pPr>
              <w:ind w:left="20"/>
              <w:spacing w:after="0"/>
              <w:rPr>
                <w:sz w:val="20"/>
                <w:szCs w:val="20"/>
                <w:color w:val="auto"/>
              </w:rPr>
            </w:pPr>
            <w:r>
              <w:rPr>
                <w:rFonts w:ascii="Arial" w:cs="Arial" w:eastAsia="Arial" w:hAnsi="Arial"/>
                <w:sz w:val="13"/>
                <w:szCs w:val="13"/>
                <w:color w:val="auto"/>
              </w:rPr>
              <w:t>percent of net revenue</w:t>
            </w:r>
          </w:p>
        </w:tc>
        <w:tc>
          <w:tcPr>
            <w:tcW w:w="720" w:type="dxa"/>
            <w:vAlign w:val="bottom"/>
          </w:tcPr>
          <w:p>
            <w:pPr>
              <w:jc w:val="right"/>
              <w:spacing w:after="0"/>
              <w:rPr>
                <w:sz w:val="20"/>
                <w:szCs w:val="20"/>
                <w:color w:val="auto"/>
              </w:rPr>
            </w:pPr>
            <w:r>
              <w:rPr>
                <w:rFonts w:ascii="Arial" w:cs="Arial" w:eastAsia="Arial" w:hAnsi="Arial"/>
                <w:sz w:val="13"/>
                <w:szCs w:val="13"/>
                <w:color w:val="auto"/>
              </w:rPr>
              <w:t>5.3 %</w:t>
            </w:r>
          </w:p>
        </w:tc>
        <w:tc>
          <w:tcPr>
            <w:tcW w:w="980" w:type="dxa"/>
            <w:vAlign w:val="bottom"/>
          </w:tcPr>
          <w:p>
            <w:pPr>
              <w:ind w:left="660"/>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2.1 %</w:t>
            </w:r>
          </w:p>
        </w:tc>
        <w:tc>
          <w:tcPr>
            <w:tcW w:w="840" w:type="dxa"/>
            <w:vAlign w:val="bottom"/>
          </w:tcPr>
          <w:p>
            <w:pPr>
              <w:jc w:val="right"/>
              <w:spacing w:after="0"/>
              <w:rPr>
                <w:sz w:val="20"/>
                <w:szCs w:val="20"/>
                <w:color w:val="auto"/>
              </w:rPr>
            </w:pPr>
            <w:r>
              <w:rPr>
                <w:rFonts w:ascii="Arial" w:cs="Arial" w:eastAsia="Arial" w:hAnsi="Arial"/>
                <w:sz w:val="13"/>
                <w:szCs w:val="13"/>
                <w:color w:val="auto"/>
              </w:rPr>
              <w:t>33.1 %</w:t>
            </w:r>
          </w:p>
        </w:tc>
        <w:tc>
          <w:tcPr>
            <w:tcW w:w="940" w:type="dxa"/>
            <w:vAlign w:val="bottom"/>
          </w:tcPr>
          <w:p>
            <w:pPr>
              <w:jc w:val="right"/>
              <w:spacing w:after="0"/>
              <w:rPr>
                <w:sz w:val="20"/>
                <w:szCs w:val="20"/>
                <w:color w:val="auto"/>
              </w:rPr>
            </w:pPr>
            <w:r>
              <w:rPr>
                <w:rFonts w:ascii="Arial" w:cs="Arial" w:eastAsia="Arial" w:hAnsi="Arial"/>
                <w:sz w:val="13"/>
                <w:szCs w:val="13"/>
                <w:color w:val="auto"/>
              </w:rPr>
              <w:t>(0.8)%</w:t>
            </w:r>
          </w:p>
        </w:tc>
        <w:tc>
          <w:tcPr>
            <w:tcW w:w="960" w:type="dxa"/>
            <w:vAlign w:val="bottom"/>
          </w:tcPr>
          <w:p>
            <w:pPr>
              <w:jc w:val="right"/>
              <w:spacing w:after="0"/>
              <w:rPr>
                <w:sz w:val="20"/>
                <w:szCs w:val="20"/>
                <w:color w:val="auto"/>
              </w:rPr>
            </w:pPr>
            <w:r>
              <w:rPr>
                <w:rFonts w:ascii="Arial" w:cs="Arial" w:eastAsia="Arial" w:hAnsi="Arial"/>
                <w:sz w:val="13"/>
                <w:szCs w:val="13"/>
                <w:color w:val="auto"/>
              </w:rPr>
              <w:t>1.6 %</w:t>
            </w:r>
          </w:p>
        </w:tc>
        <w:tc>
          <w:tcPr>
            <w:tcW w:w="900" w:type="dxa"/>
            <w:vAlign w:val="bottom"/>
          </w:tcPr>
          <w:p>
            <w:pPr>
              <w:jc w:val="right"/>
              <w:spacing w:after="0"/>
              <w:rPr>
                <w:sz w:val="20"/>
                <w:szCs w:val="20"/>
                <w:color w:val="auto"/>
              </w:rPr>
            </w:pPr>
            <w:r>
              <w:rPr>
                <w:rFonts w:ascii="Arial" w:cs="Arial" w:eastAsia="Arial" w:hAnsi="Arial"/>
                <w:sz w:val="13"/>
                <w:szCs w:val="13"/>
                <w:color w:val="auto"/>
              </w:rPr>
              <w:t>4.0 %</w:t>
            </w:r>
          </w:p>
        </w:tc>
        <w:tc>
          <w:tcPr>
            <w:tcW w:w="1020" w:type="dxa"/>
            <w:vAlign w:val="bottom"/>
          </w:tcPr>
          <w:p>
            <w:pPr>
              <w:jc w:val="right"/>
              <w:spacing w:after="0"/>
              <w:rPr>
                <w:sz w:val="20"/>
                <w:szCs w:val="20"/>
                <w:color w:val="auto"/>
              </w:rPr>
            </w:pPr>
            <w:r>
              <w:rPr>
                <w:rFonts w:ascii="Arial" w:cs="Arial" w:eastAsia="Arial" w:hAnsi="Arial"/>
                <w:sz w:val="13"/>
                <w:szCs w:val="13"/>
                <w:color w:val="auto"/>
              </w:rPr>
              <w:t>2.7 %</w:t>
            </w:r>
          </w:p>
        </w:tc>
        <w:tc>
          <w:tcPr>
            <w:tcW w:w="940" w:type="dxa"/>
            <w:vAlign w:val="bottom"/>
          </w:tcPr>
          <w:p>
            <w:pPr>
              <w:jc w:val="right"/>
              <w:spacing w:after="0"/>
              <w:rPr>
                <w:sz w:val="20"/>
                <w:szCs w:val="20"/>
                <w:color w:val="auto"/>
              </w:rPr>
            </w:pPr>
            <w:r>
              <w:rPr>
                <w:rFonts w:ascii="Arial" w:cs="Arial" w:eastAsia="Arial" w:hAnsi="Arial"/>
                <w:sz w:val="13"/>
                <w:szCs w:val="13"/>
                <w:color w:val="auto"/>
              </w:rPr>
              <w:t>(35.2)%</w:t>
            </w:r>
          </w:p>
        </w:tc>
        <w:tc>
          <w:tcPr>
            <w:tcW w:w="900" w:type="dxa"/>
            <w:vAlign w:val="bottom"/>
          </w:tcPr>
          <w:p>
            <w:pPr>
              <w:jc w:val="right"/>
              <w:spacing w:after="0"/>
              <w:rPr>
                <w:sz w:val="20"/>
                <w:szCs w:val="20"/>
                <w:color w:val="auto"/>
              </w:rPr>
            </w:pPr>
            <w:r>
              <w:rPr>
                <w:rFonts w:ascii="Arial" w:cs="Arial" w:eastAsia="Arial" w:hAnsi="Arial"/>
                <w:sz w:val="13"/>
                <w:szCs w:val="13"/>
                <w:color w:val="auto"/>
              </w:rPr>
              <w:t>2.7 %</w:t>
            </w:r>
          </w:p>
        </w:tc>
        <w:tc>
          <w:tcPr>
            <w:tcW w:w="720" w:type="dxa"/>
            <w:vAlign w:val="bottom"/>
          </w:tcPr>
          <w:p>
            <w:pPr>
              <w:jc w:val="right"/>
              <w:spacing w:after="0"/>
              <w:rPr>
                <w:sz w:val="20"/>
                <w:szCs w:val="20"/>
                <w:color w:val="auto"/>
              </w:rPr>
            </w:pPr>
            <w:r>
              <w:rPr>
                <w:rFonts w:ascii="Arial" w:cs="Arial" w:eastAsia="Arial" w:hAnsi="Arial"/>
                <w:sz w:val="13"/>
                <w:szCs w:val="13"/>
                <w:color w:val="auto"/>
              </w:rPr>
              <w:t>15.2 %</w:t>
            </w:r>
          </w:p>
        </w:tc>
        <w:tc>
          <w:tcPr>
            <w:tcW w:w="0" w:type="dxa"/>
            <w:vAlign w:val="bottom"/>
          </w:tcPr>
          <w:p>
            <w:pPr>
              <w:spacing w:after="0"/>
              <w:rPr>
                <w:sz w:val="1"/>
                <w:szCs w:val="1"/>
                <w:color w:val="auto"/>
              </w:rPr>
            </w:pPr>
          </w:p>
        </w:tc>
      </w:tr>
      <w:tr>
        <w:trPr>
          <w:trHeight w:val="174"/>
        </w:trPr>
        <w:tc>
          <w:tcPr>
            <w:tcW w:w="1400" w:type="dxa"/>
            <w:vAlign w:val="bottom"/>
          </w:tcPr>
          <w:p>
            <w:pPr>
              <w:ind w:left="20"/>
              <w:spacing w:after="0"/>
              <w:rPr>
                <w:sz w:val="20"/>
                <w:szCs w:val="20"/>
                <w:color w:val="auto"/>
              </w:rPr>
            </w:pPr>
            <w:r>
              <w:rPr>
                <w:rFonts w:ascii="Arial" w:cs="Arial" w:eastAsia="Arial" w:hAnsi="Arial"/>
                <w:sz w:val="13"/>
                <w:szCs w:val="13"/>
                <w:color w:val="auto"/>
              </w:rPr>
              <w:t>Diluted EPS</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$0.30</w:t>
            </w:r>
          </w:p>
        </w:tc>
        <w:tc>
          <w:tcPr>
            <w:tcW w:w="980" w:type="dxa"/>
            <w:vAlign w:val="bottom"/>
          </w:tcPr>
          <w:p>
            <w:pPr>
              <w:jc w:val="center"/>
              <w:ind w:left="357"/>
              <w:spacing w:after="0"/>
              <w:rPr>
                <w:sz w:val="20"/>
                <w:szCs w:val="20"/>
                <w:color w:val="auto"/>
              </w:rPr>
            </w:pPr>
            <w:r>
              <w:rPr>
                <w:rFonts w:ascii="Arial" w:cs="Arial" w:eastAsia="Arial" w:hAnsi="Arial"/>
                <w:sz w:val="13"/>
                <w:szCs w:val="13"/>
                <w:color w:val="auto"/>
                <w:w w:val="98"/>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$0.12</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$1.89</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($0.05)</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$0.09</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$0.23</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$0.15</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($2.01)</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$0.15</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$0.87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three months ended December 31, 2023, include:</w:t>
      </w:r>
    </w:p>
    <w:p>
      <w:pPr>
        <w:spacing w:after="0" w:line="25" w:lineRule="exact"/>
        <w:rPr>
          <w:sz w:val="20"/>
          <w:szCs w:val="20"/>
          <w:color w:val="auto"/>
        </w:rPr>
      </w:pPr>
    </w:p>
    <w:p>
      <w:pPr>
        <w:ind w:left="340" w:hanging="315"/>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24" w:lineRule="exact"/>
        <w:rPr>
          <w:rFonts w:ascii="Arial" w:cs="Arial" w:eastAsia="Arial" w:hAnsi="Arial"/>
          <w:sz w:val="13"/>
          <w:szCs w:val="13"/>
          <w:color w:val="auto"/>
        </w:rPr>
      </w:pPr>
    </w:p>
    <w:p>
      <w:pPr>
        <w:ind w:left="340" w:hanging="315"/>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24" w:lineRule="exact"/>
        <w:rPr>
          <w:rFonts w:ascii="Arial" w:cs="Arial" w:eastAsia="Arial" w:hAnsi="Arial"/>
          <w:sz w:val="13"/>
          <w:szCs w:val="13"/>
          <w:color w:val="auto"/>
        </w:rPr>
      </w:pPr>
    </w:p>
    <w:p>
      <w:pPr>
        <w:ind w:left="340" w:hanging="315"/>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ACS Inventory obsolescence adjustment and impairment of long-lived assets</w:t>
      </w:r>
    </w:p>
    <w:p>
      <w:pPr>
        <w:spacing w:after="0" w:line="24" w:lineRule="exact"/>
        <w:rPr>
          <w:rFonts w:ascii="Arial" w:cs="Arial" w:eastAsia="Arial" w:hAnsi="Arial"/>
          <w:sz w:val="13"/>
          <w:szCs w:val="13"/>
          <w:color w:val="auto"/>
        </w:rPr>
      </w:pPr>
    </w:p>
    <w:p>
      <w:pPr>
        <w:ind w:left="340" w:hanging="315"/>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Mark-to-market adjustments for the exchangeable option feature and capped call derivatives</w:t>
      </w:r>
    </w:p>
    <w:p>
      <w:pPr>
        <w:spacing w:after="0" w:line="24" w:lineRule="exact"/>
        <w:rPr>
          <w:rFonts w:ascii="Arial" w:cs="Arial" w:eastAsia="Arial" w:hAnsi="Arial"/>
          <w:sz w:val="13"/>
          <w:szCs w:val="13"/>
          <w:color w:val="auto"/>
        </w:rPr>
      </w:pPr>
    </w:p>
    <w:p>
      <w:pPr>
        <w:ind w:left="340" w:hanging="315"/>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Remeasurement of contingent consideration related to acquisitions</w:t>
      </w:r>
    </w:p>
    <w:p>
      <w:pPr>
        <w:spacing w:after="0" w:line="24" w:lineRule="exact"/>
        <w:rPr>
          <w:rFonts w:ascii="Arial" w:cs="Arial" w:eastAsia="Arial" w:hAnsi="Arial"/>
          <w:sz w:val="13"/>
          <w:szCs w:val="13"/>
          <w:color w:val="auto"/>
        </w:rPr>
      </w:pPr>
    </w:p>
    <w:p>
      <w:pPr>
        <w:ind w:left="340" w:right="220" w:hanging="315"/>
        <w:spacing w:after="0" w:line="229"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3T Heater-Cooler litigation provision, legal expenses primarily related to 3T Heater-Cooler defense, costs related to the SNIA matter, Medical Device Regulation ("MDR") costs and cybersecurity incident costs</w:t>
      </w:r>
    </w:p>
    <w:p>
      <w:pPr>
        <w:spacing w:after="0" w:line="23" w:lineRule="exact"/>
        <w:rPr>
          <w:rFonts w:ascii="Arial" w:cs="Arial" w:eastAsia="Arial" w:hAnsi="Arial"/>
          <w:sz w:val="13"/>
          <w:szCs w:val="13"/>
          <w:color w:val="auto"/>
        </w:rPr>
      </w:pPr>
    </w:p>
    <w:p>
      <w:pPr>
        <w:ind w:left="340" w:hanging="315"/>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24" w:lineRule="exact"/>
        <w:rPr>
          <w:rFonts w:ascii="Arial" w:cs="Arial" w:eastAsia="Arial" w:hAnsi="Arial"/>
          <w:sz w:val="13"/>
          <w:szCs w:val="13"/>
          <w:color w:val="auto"/>
        </w:rPr>
      </w:pPr>
    </w:p>
    <w:p>
      <w:pPr>
        <w:ind w:left="340" w:hanging="315"/>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impact of valuation allowances, discrete tax items, the tax impact of intercompany transactions and the tax impact on non-GAAP adjustments</w:t>
      </w:r>
    </w:p>
    <w:p>
      <w:pPr>
        <w:spacing w:after="0" w:line="24" w:lineRule="exact"/>
        <w:rPr>
          <w:rFonts w:ascii="Arial" w:cs="Arial" w:eastAsia="Arial" w:hAnsi="Arial"/>
          <w:sz w:val="13"/>
          <w:szCs w:val="13"/>
          <w:color w:val="auto"/>
        </w:rPr>
      </w:pPr>
    </w:p>
    <w:p>
      <w:pPr>
        <w:ind w:left="340" w:right="220" w:hanging="315"/>
        <w:spacing w:after="0" w:line="229"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Non-cash interest expense on the Cash Exchangeable Senior Notes and 2021 Revolving Credit Facility, interest expense on the Term Facilities and interest income on the collateral for the SNIA litigation guarantee and delayed draw on Term Facilities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Numbers may not add precisely due to rounding.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789"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Specified Items</w:t>
            </w:r>
          </w:p>
        </w:tc>
        <w:tc>
          <w:tcPr>
            <w:tcW w:w="8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Merger and</w:t>
            </w:r>
          </w:p>
        </w:tc>
        <w:tc>
          <w:tcPr>
            <w:tcW w:w="1020" w:type="dxa"/>
            <w:vAlign w:val="bottom"/>
          </w:tcPr>
          <w:p>
            <w:pPr>
              <w:spacing w:after="0"/>
              <w:rPr>
                <w:sz w:val="10"/>
                <w:szCs w:val="10"/>
                <w:color w:val="auto"/>
              </w:rPr>
            </w:pPr>
          </w:p>
        </w:tc>
        <w:tc>
          <w:tcPr>
            <w:tcW w:w="860" w:type="dxa"/>
            <w:vAlign w:val="bottom"/>
          </w:tcPr>
          <w:p>
            <w:pPr>
              <w:jc w:val="center"/>
              <w:ind w:right="37"/>
              <w:spacing w:after="0" w:line="116" w:lineRule="exact"/>
              <w:rPr>
                <w:sz w:val="20"/>
                <w:szCs w:val="20"/>
                <w:color w:val="auto"/>
              </w:rPr>
            </w:pPr>
            <w:r>
              <w:rPr>
                <w:rFonts w:ascii="Arial" w:cs="Arial" w:eastAsia="Arial" w:hAnsi="Arial"/>
                <w:sz w:val="13"/>
                <w:szCs w:val="13"/>
                <w:b w:val="1"/>
                <w:bCs w:val="1"/>
                <w:color w:val="auto"/>
                <w:w w:val="96"/>
              </w:rPr>
              <w:t>Depreciation</w:t>
            </w: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Certain Legal</w:t>
            </w: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2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Certain</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2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840" w:type="dxa"/>
            <w:vAlign w:val="bottom"/>
            <w:vMerge w:val="continue"/>
          </w:tcPr>
          <w:p>
            <w:pPr>
              <w:spacing w:after="0"/>
              <w:rPr>
                <w:sz w:val="11"/>
                <w:szCs w:val="11"/>
                <w:color w:val="auto"/>
              </w:rPr>
            </w:pPr>
          </w:p>
        </w:tc>
        <w:tc>
          <w:tcPr>
            <w:tcW w:w="102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6"/>
              </w:rPr>
              <w:t>Restructuring</w:t>
            </w:r>
          </w:p>
        </w:tc>
        <w:tc>
          <w:tcPr>
            <w:tcW w:w="860" w:type="dxa"/>
            <w:vAlign w:val="bottom"/>
          </w:tcPr>
          <w:p>
            <w:pPr>
              <w:jc w:val="center"/>
              <w:ind w:right="57"/>
              <w:spacing w:after="0" w:line="134" w:lineRule="exact"/>
              <w:rPr>
                <w:sz w:val="20"/>
                <w:szCs w:val="20"/>
                <w:color w:val="auto"/>
              </w:rPr>
            </w:pPr>
            <w:r>
              <w:rPr>
                <w:rFonts w:ascii="Arial" w:cs="Arial" w:eastAsia="Arial" w:hAnsi="Arial"/>
                <w:sz w:val="13"/>
                <w:szCs w:val="13"/>
                <w:b w:val="1"/>
                <w:bCs w:val="1"/>
                <w:color w:val="auto"/>
                <w:w w:val="94"/>
              </w:rPr>
              <w:t>and</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Financing</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8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Certain Tax</w:t>
            </w:r>
          </w:p>
        </w:tc>
        <w:tc>
          <w:tcPr>
            <w:tcW w:w="88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21"/>
        </w:trPr>
        <w:tc>
          <w:tcPr>
            <w:tcW w:w="15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w:t>
            </w:r>
          </w:p>
        </w:tc>
        <w:tc>
          <w:tcPr>
            <w:tcW w:w="680" w:type="dxa"/>
            <w:vAlign w:val="bottom"/>
            <w:vMerge w:val="continue"/>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8"/>
              </w:rPr>
              <w:t>Integration</w:t>
            </w:r>
          </w:p>
        </w:tc>
        <w:tc>
          <w:tcPr>
            <w:tcW w:w="1020" w:type="dxa"/>
            <w:vAlign w:val="bottom"/>
            <w:vMerge w:val="continue"/>
          </w:tcPr>
          <w:p>
            <w:pPr>
              <w:spacing w:after="0"/>
              <w:rPr>
                <w:sz w:val="10"/>
                <w:szCs w:val="10"/>
                <w:color w:val="auto"/>
              </w:rPr>
            </w:pPr>
          </w:p>
        </w:tc>
        <w:tc>
          <w:tcPr>
            <w:tcW w:w="86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5"/>
              </w:rPr>
              <w:t>Amortization</w:t>
            </w:r>
          </w:p>
        </w:tc>
        <w:tc>
          <w:tcPr>
            <w:tcW w:w="9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&amp; Regulatory</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Compensation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20" w:type="dxa"/>
            <w:vAlign w:val="bottom"/>
            <w:vMerge w:val="continue"/>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Financial</w:t>
            </w:r>
          </w:p>
        </w:tc>
        <w:tc>
          <w:tcPr>
            <w:tcW w:w="8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Expenses</w:t>
            </w:r>
          </w:p>
        </w:tc>
        <w:tc>
          <w:tcPr>
            <w:tcW w:w="1020" w:type="dxa"/>
            <w:vAlign w:val="bottom"/>
          </w:tcPr>
          <w:p>
            <w:pPr>
              <w:jc w:val="center"/>
              <w:ind w:right="77"/>
              <w:spacing w:after="0" w:line="134" w:lineRule="exact"/>
              <w:rPr>
                <w:sz w:val="20"/>
                <w:szCs w:val="20"/>
                <w:color w:val="auto"/>
              </w:rPr>
            </w:pPr>
            <w:r>
              <w:rPr>
                <w:rFonts w:ascii="Arial" w:cs="Arial" w:eastAsia="Arial" w:hAnsi="Arial"/>
                <w:sz w:val="13"/>
                <w:szCs w:val="13"/>
                <w:b w:val="1"/>
                <w:bCs w:val="1"/>
                <w:color w:val="auto"/>
                <w:w w:val="98"/>
              </w:rPr>
              <w:t>Expenses</w:t>
            </w:r>
          </w:p>
        </w:tc>
        <w:tc>
          <w:tcPr>
            <w:tcW w:w="860" w:type="dxa"/>
            <w:vAlign w:val="bottom"/>
          </w:tcPr>
          <w:p>
            <w:pPr>
              <w:jc w:val="right"/>
              <w:ind w:right="137"/>
              <w:spacing w:after="0" w:line="134" w:lineRule="exact"/>
              <w:rPr>
                <w:sz w:val="20"/>
                <w:szCs w:val="20"/>
                <w:color w:val="auto"/>
              </w:rPr>
            </w:pPr>
            <w:r>
              <w:rPr>
                <w:rFonts w:ascii="Arial" w:cs="Arial" w:eastAsia="Arial" w:hAnsi="Arial"/>
                <w:sz w:val="13"/>
                <w:szCs w:val="13"/>
                <w:b w:val="1"/>
                <w:bCs w:val="1"/>
                <w:color w:val="auto"/>
              </w:rPr>
              <w:t>Expenses</w:t>
            </w:r>
          </w:p>
        </w:tc>
        <w:tc>
          <w:tcPr>
            <w:tcW w:w="9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Transactions</w:t>
            </w: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Consideration</w:t>
            </w:r>
          </w:p>
        </w:tc>
        <w:tc>
          <w:tcPr>
            <w:tcW w:w="8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Costs</w:t>
            </w:r>
          </w:p>
        </w:tc>
        <w:tc>
          <w:tcPr>
            <w:tcW w:w="102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94"/>
              </w:rPr>
              <w:t>Costs</w:t>
            </w:r>
          </w:p>
        </w:tc>
        <w:tc>
          <w:tcPr>
            <w:tcW w:w="92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96"/>
              </w:rPr>
              <w:t>Adjustments</w:t>
            </w:r>
          </w:p>
        </w:tc>
        <w:tc>
          <w:tcPr>
            <w:tcW w:w="88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96"/>
              </w:rPr>
              <w:t>Adjustments</w:t>
            </w:r>
          </w:p>
        </w:tc>
        <w:tc>
          <w:tcPr>
            <w:tcW w:w="7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Financial</w:t>
            </w:r>
          </w:p>
        </w:tc>
        <w:tc>
          <w:tcPr>
            <w:tcW w:w="0" w:type="dxa"/>
            <w:vAlign w:val="bottom"/>
          </w:tcPr>
          <w:p>
            <w:pPr>
              <w:spacing w:after="0"/>
              <w:rPr>
                <w:sz w:val="1"/>
                <w:szCs w:val="1"/>
                <w:color w:val="auto"/>
              </w:rPr>
            </w:pPr>
          </w:p>
        </w:tc>
      </w:tr>
      <w:tr>
        <w:trPr>
          <w:trHeight w:val="173"/>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2022</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(B)</w:t>
            </w: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9"/>
              </w:rPr>
              <w:t>(C)</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60"/>
        </w:trPr>
        <w:tc>
          <w:tcPr>
            <w:tcW w:w="152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$91.4</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($3.6)</w:t>
            </w:r>
          </w:p>
        </w:tc>
        <w:tc>
          <w:tcPr>
            <w:tcW w:w="92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($0.3)</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$85.4</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3"/>
                <w:szCs w:val="13"/>
                <w:color w:val="auto"/>
              </w:rPr>
              <w:t>Gross profit percent</w:t>
            </w:r>
          </w:p>
        </w:tc>
        <w:tc>
          <w:tcPr>
            <w:tcW w:w="680" w:type="dxa"/>
            <w:vAlign w:val="bottom"/>
          </w:tcPr>
          <w:p>
            <w:pPr>
              <w:jc w:val="right"/>
              <w:spacing w:after="0"/>
              <w:rPr>
                <w:sz w:val="20"/>
                <w:szCs w:val="20"/>
                <w:color w:val="auto"/>
              </w:rPr>
            </w:pPr>
            <w:r>
              <w:rPr>
                <w:rFonts w:ascii="Arial" w:cs="Arial" w:eastAsia="Arial" w:hAnsi="Arial"/>
                <w:sz w:val="13"/>
                <w:szCs w:val="13"/>
                <w:color w:val="auto"/>
              </w:rPr>
              <w:t>66.8 %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1.3 %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0.8 %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1020" w:type="dxa"/>
            <w:vAlign w:val="bottom"/>
          </w:tcPr>
          <w:p>
            <w:pPr>
              <w:jc w:val="right"/>
              <w:spacing w:after="0"/>
              <w:rPr>
                <w:sz w:val="20"/>
                <w:szCs w:val="20"/>
                <w:color w:val="auto"/>
              </w:rPr>
            </w:pPr>
            <w:r>
              <w:rPr>
                <w:rFonts w:ascii="Arial" w:cs="Arial" w:eastAsia="Arial" w:hAnsi="Arial"/>
                <w:sz w:val="13"/>
                <w:szCs w:val="13"/>
                <w:color w:val="auto"/>
              </w:rPr>
              <w:t>0.1 %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68.9 %</w:t>
            </w:r>
          </w:p>
        </w:tc>
        <w:tc>
          <w:tcPr>
            <w:tcW w:w="0" w:type="dxa"/>
            <w:vAlign w:val="bottom"/>
          </w:tcPr>
          <w:p>
            <w:pPr>
              <w:spacing w:after="0"/>
              <w:rPr>
                <w:sz w:val="1"/>
                <w:szCs w:val="1"/>
                <w:color w:val="auto"/>
              </w:rPr>
            </w:pPr>
          </w:p>
        </w:tc>
      </w:tr>
      <w:tr>
        <w:trPr>
          <w:trHeight w:val="134"/>
        </w:trPr>
        <w:tc>
          <w:tcPr>
            <w:tcW w:w="1520" w:type="dxa"/>
            <w:vAlign w:val="bottom"/>
          </w:tcPr>
          <w:p>
            <w:pPr>
              <w:ind w:left="20"/>
              <w:spacing w:after="0" w:line="134" w:lineRule="exact"/>
              <w:rPr>
                <w:sz w:val="20"/>
                <w:szCs w:val="20"/>
                <w:color w:val="auto"/>
              </w:rPr>
            </w:pPr>
            <w:r>
              <w:rPr>
                <w:rFonts w:ascii="Arial" w:cs="Arial" w:eastAsia="Arial" w:hAnsi="Arial"/>
                <w:sz w:val="13"/>
                <w:szCs w:val="13"/>
                <w:color w:val="auto"/>
              </w:rPr>
              <w:t>Selling, general and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20" w:type="dxa"/>
            <w:vAlign w:val="bottom"/>
          </w:tcPr>
          <w:p>
            <w:pPr>
              <w:ind w:left="20"/>
              <w:spacing w:after="0"/>
              <w:rPr>
                <w:sz w:val="20"/>
                <w:szCs w:val="20"/>
                <w:color w:val="auto"/>
              </w:rPr>
            </w:pPr>
            <w:r>
              <w:rPr>
                <w:rFonts w:ascii="Arial" w:cs="Arial" w:eastAsia="Arial" w:hAnsi="Arial"/>
                <w:sz w:val="13"/>
                <w:szCs w:val="13"/>
                <w:color w:val="auto"/>
              </w:rPr>
              <w:t>administrative</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119.6</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(2.8)</w:t>
            </w:r>
          </w:p>
        </w:tc>
        <w:tc>
          <w:tcPr>
            <w:tcW w:w="92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(5.6)</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(11.4)</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34"/>
        </w:trPr>
        <w:tc>
          <w:tcPr>
            <w:tcW w:w="1520" w:type="dxa"/>
            <w:vAlign w:val="bottom"/>
          </w:tcPr>
          <w:p>
            <w:pPr>
              <w:ind w:left="20"/>
              <w:spacing w:after="0" w:line="134" w:lineRule="exact"/>
              <w:rPr>
                <w:sz w:val="20"/>
                <w:szCs w:val="20"/>
                <w:color w:val="auto"/>
              </w:rPr>
            </w:pPr>
            <w:r>
              <w:rPr>
                <w:rFonts w:ascii="Arial" w:cs="Arial" w:eastAsia="Arial" w:hAnsi="Arial"/>
                <w:sz w:val="13"/>
                <w:szCs w:val="13"/>
                <w:color w:val="auto"/>
              </w:rPr>
              <w:t>Selling, general and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20" w:type="dxa"/>
            <w:vAlign w:val="bottom"/>
          </w:tcPr>
          <w:p>
            <w:pPr>
              <w:ind w:left="20"/>
              <w:spacing w:after="0" w:line="130" w:lineRule="exact"/>
              <w:rPr>
                <w:sz w:val="20"/>
                <w:szCs w:val="20"/>
                <w:color w:val="auto"/>
              </w:rPr>
            </w:pPr>
            <w:r>
              <w:rPr>
                <w:rFonts w:ascii="Arial" w:cs="Arial" w:eastAsia="Arial" w:hAnsi="Arial"/>
                <w:sz w:val="13"/>
                <w:szCs w:val="13"/>
                <w:color w:val="auto"/>
              </w:rPr>
              <w:t>administrative as a</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20" w:type="dxa"/>
            <w:vAlign w:val="bottom"/>
          </w:tcPr>
          <w:p>
            <w:pPr>
              <w:ind w:left="20"/>
              <w:spacing w:after="0"/>
              <w:rPr>
                <w:sz w:val="20"/>
                <w:szCs w:val="20"/>
                <w:color w:val="auto"/>
              </w:rPr>
            </w:pPr>
            <w:r>
              <w:rPr>
                <w:rFonts w:ascii="Arial" w:cs="Arial" w:eastAsia="Arial" w:hAnsi="Arial"/>
                <w:sz w:val="13"/>
                <w:szCs w:val="13"/>
                <w:color w:val="auto"/>
              </w:rPr>
              <w:t>percent of net revenue</w:t>
            </w:r>
          </w:p>
        </w:tc>
        <w:tc>
          <w:tcPr>
            <w:tcW w:w="680" w:type="dxa"/>
            <w:vAlign w:val="bottom"/>
          </w:tcPr>
          <w:p>
            <w:pPr>
              <w:jc w:val="right"/>
              <w:spacing w:after="0"/>
              <w:rPr>
                <w:sz w:val="20"/>
                <w:szCs w:val="20"/>
                <w:color w:val="auto"/>
              </w:rPr>
            </w:pPr>
            <w:r>
              <w:rPr>
                <w:rFonts w:ascii="Arial" w:cs="Arial" w:eastAsia="Arial" w:hAnsi="Arial"/>
                <w:sz w:val="13"/>
                <w:szCs w:val="13"/>
                <w:color w:val="auto"/>
              </w:rPr>
              <w:t>43.5 %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(1.0)%</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(2.0)%</w:t>
            </w:r>
          </w:p>
        </w:tc>
        <w:tc>
          <w:tcPr>
            <w:tcW w:w="1020" w:type="dxa"/>
            <w:vAlign w:val="bottom"/>
          </w:tcPr>
          <w:p>
            <w:pPr>
              <w:jc w:val="right"/>
              <w:spacing w:after="0"/>
              <w:rPr>
                <w:sz w:val="20"/>
                <w:szCs w:val="20"/>
                <w:color w:val="auto"/>
              </w:rPr>
            </w:pPr>
            <w:r>
              <w:rPr>
                <w:rFonts w:ascii="Arial" w:cs="Arial" w:eastAsia="Arial" w:hAnsi="Arial"/>
                <w:sz w:val="13"/>
                <w:szCs w:val="13"/>
                <w:color w:val="auto"/>
              </w:rPr>
              <w:t>(4.2)%</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36.3 %</w:t>
            </w:r>
          </w:p>
        </w:tc>
        <w:tc>
          <w:tcPr>
            <w:tcW w:w="0" w:type="dxa"/>
            <w:vAlign w:val="bottom"/>
          </w:tcPr>
          <w:p>
            <w:pPr>
              <w:spacing w:after="0"/>
              <w:rPr>
                <w:sz w:val="1"/>
                <w:szCs w:val="1"/>
                <w:color w:val="auto"/>
              </w:rPr>
            </w:pPr>
          </w:p>
        </w:tc>
      </w:tr>
      <w:tr>
        <w:trPr>
          <w:trHeight w:val="134"/>
        </w:trPr>
        <w:tc>
          <w:tcPr>
            <w:tcW w:w="152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20" w:type="dxa"/>
            <w:vAlign w:val="bottom"/>
          </w:tcPr>
          <w:p>
            <w:pPr>
              <w:ind w:left="20"/>
              <w:spacing w:after="0"/>
              <w:rPr>
                <w:sz w:val="20"/>
                <w:szCs w:val="20"/>
                <w:color w:val="auto"/>
              </w:rPr>
            </w:pPr>
            <w:r>
              <w:rPr>
                <w:rFonts w:ascii="Arial" w:cs="Arial" w:eastAsia="Arial" w:hAnsi="Arial"/>
                <w:sz w:val="13"/>
                <w:szCs w:val="13"/>
                <w:color w:val="auto"/>
              </w:rPr>
              <w:t>development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44.9</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2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(0.6)</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42.9</w:t>
            </w:r>
          </w:p>
        </w:tc>
        <w:tc>
          <w:tcPr>
            <w:tcW w:w="0" w:type="dxa"/>
            <w:vAlign w:val="bottom"/>
          </w:tcPr>
          <w:p>
            <w:pPr>
              <w:spacing w:after="0"/>
              <w:rPr>
                <w:sz w:val="1"/>
                <w:szCs w:val="1"/>
                <w:color w:val="auto"/>
              </w:rPr>
            </w:pPr>
          </w:p>
        </w:tc>
      </w:tr>
      <w:tr>
        <w:trPr>
          <w:trHeight w:val="134"/>
        </w:trPr>
        <w:tc>
          <w:tcPr>
            <w:tcW w:w="152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20" w:type="dxa"/>
            <w:vAlign w:val="bottom"/>
          </w:tcPr>
          <w:p>
            <w:pPr>
              <w:ind w:left="20"/>
              <w:spacing w:after="0" w:line="130" w:lineRule="exact"/>
              <w:rPr>
                <w:sz w:val="20"/>
                <w:szCs w:val="20"/>
                <w:color w:val="auto"/>
              </w:rPr>
            </w:pPr>
            <w:r>
              <w:rPr>
                <w:rFonts w:ascii="Arial" w:cs="Arial" w:eastAsia="Arial" w:hAnsi="Arial"/>
                <w:sz w:val="13"/>
                <w:szCs w:val="13"/>
                <w:color w:val="auto"/>
                <w:w w:val="98"/>
              </w:rPr>
              <w:t>development as a percent</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20" w:type="dxa"/>
            <w:vAlign w:val="bottom"/>
          </w:tcPr>
          <w:p>
            <w:pPr>
              <w:ind w:left="20"/>
              <w:spacing w:after="0"/>
              <w:rPr>
                <w:sz w:val="20"/>
                <w:szCs w:val="20"/>
                <w:color w:val="auto"/>
              </w:rPr>
            </w:pPr>
            <w:r>
              <w:rPr>
                <w:rFonts w:ascii="Arial" w:cs="Arial" w:eastAsia="Arial" w:hAnsi="Arial"/>
                <w:sz w:val="13"/>
                <w:szCs w:val="13"/>
                <w:color w:val="auto"/>
              </w:rPr>
              <w:t>of net revenue</w:t>
            </w:r>
          </w:p>
        </w:tc>
        <w:tc>
          <w:tcPr>
            <w:tcW w:w="680" w:type="dxa"/>
            <w:vAlign w:val="bottom"/>
          </w:tcPr>
          <w:p>
            <w:pPr>
              <w:jc w:val="right"/>
              <w:spacing w:after="0"/>
              <w:rPr>
                <w:sz w:val="20"/>
                <w:szCs w:val="20"/>
                <w:color w:val="auto"/>
              </w:rPr>
            </w:pPr>
            <w:r>
              <w:rPr>
                <w:rFonts w:ascii="Arial" w:cs="Arial" w:eastAsia="Arial" w:hAnsi="Arial"/>
                <w:sz w:val="13"/>
                <w:szCs w:val="13"/>
                <w:color w:val="auto"/>
              </w:rPr>
              <w:t>16.3 %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(0.5)%</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1020" w:type="dxa"/>
            <w:vAlign w:val="bottom"/>
          </w:tcPr>
          <w:p>
            <w:pPr>
              <w:jc w:val="right"/>
              <w:spacing w:after="0"/>
              <w:rPr>
                <w:sz w:val="20"/>
                <w:szCs w:val="20"/>
                <w:color w:val="auto"/>
              </w:rPr>
            </w:pPr>
            <w:r>
              <w:rPr>
                <w:rFonts w:ascii="Arial" w:cs="Arial" w:eastAsia="Arial" w:hAnsi="Arial"/>
                <w:sz w:val="13"/>
                <w:szCs w:val="13"/>
                <w:color w:val="auto"/>
              </w:rPr>
              <w:t>(0.2)%</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15.6 %</w:t>
            </w:r>
          </w:p>
        </w:tc>
        <w:tc>
          <w:tcPr>
            <w:tcW w:w="0" w:type="dxa"/>
            <w:vAlign w:val="bottom"/>
          </w:tcPr>
          <w:p>
            <w:pPr>
              <w:spacing w:after="0"/>
              <w:rPr>
                <w:sz w:val="1"/>
                <w:szCs w:val="1"/>
                <w:color w:val="auto"/>
              </w:rPr>
            </w:pPr>
          </w:p>
        </w:tc>
      </w:tr>
      <w:tr>
        <w:trPr>
          <w:trHeight w:val="174"/>
        </w:trPr>
        <w:tc>
          <w:tcPr>
            <w:tcW w:w="1520" w:type="dxa"/>
            <w:vAlign w:val="bottom"/>
          </w:tcPr>
          <w:p>
            <w:pPr>
              <w:ind w:left="20"/>
              <w:spacing w:after="0"/>
              <w:rPr>
                <w:sz w:val="20"/>
                <w:szCs w:val="20"/>
                <w:color w:val="auto"/>
              </w:rPr>
            </w:pPr>
            <w:r>
              <w:rPr>
                <w:rFonts w:ascii="Arial" w:cs="Arial" w:eastAsia="Arial" w:hAnsi="Arial"/>
                <w:sz w:val="13"/>
                <w:szCs w:val="13"/>
                <w:color w:val="auto"/>
                <w:w w:val="98"/>
              </w:rPr>
              <w:t>Other operating expenses</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5.0</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(0.7)</w:t>
            </w:r>
          </w:p>
        </w:tc>
        <w:tc>
          <w:tcPr>
            <w:tcW w:w="1020" w:type="dxa"/>
            <w:vAlign w:val="bottom"/>
          </w:tcPr>
          <w:p>
            <w:pPr>
              <w:jc w:val="right"/>
              <w:ind w:right="157"/>
              <w:spacing w:after="0"/>
              <w:rPr>
                <w:sz w:val="20"/>
                <w:szCs w:val="20"/>
                <w:color w:val="auto"/>
              </w:rPr>
            </w:pPr>
            <w:r>
              <w:rPr>
                <w:rFonts w:ascii="Arial" w:cs="Arial" w:eastAsia="Arial" w:hAnsi="Arial"/>
                <w:sz w:val="13"/>
                <w:szCs w:val="13"/>
                <w:color w:val="auto"/>
              </w:rPr>
              <w:t>(2.0)</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(2.3)</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20" w:type="dxa"/>
            <w:vAlign w:val="bottom"/>
          </w:tcPr>
          <w:p>
            <w:pPr>
              <w:ind w:left="20"/>
              <w:spacing w:after="0" w:line="134" w:lineRule="exact"/>
              <w:rPr>
                <w:sz w:val="20"/>
                <w:szCs w:val="20"/>
                <w:color w:val="auto"/>
              </w:rPr>
            </w:pPr>
            <w:r>
              <w:rPr>
                <w:rFonts w:ascii="Arial" w:cs="Arial" w:eastAsia="Arial" w:hAnsi="Arial"/>
                <w:sz w:val="13"/>
                <w:szCs w:val="13"/>
                <w:color w:val="auto"/>
              </w:rPr>
              <w:t>Operating income</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20" w:type="dxa"/>
            <w:vAlign w:val="bottom"/>
          </w:tcPr>
          <w:p>
            <w:pPr>
              <w:ind w:left="20"/>
              <w:spacing w:after="0"/>
              <w:rPr>
                <w:sz w:val="20"/>
                <w:szCs w:val="20"/>
                <w:color w:val="auto"/>
              </w:rPr>
            </w:pPr>
            <w:r>
              <w:rPr>
                <w:rFonts w:ascii="Arial" w:cs="Arial" w:eastAsia="Arial" w:hAnsi="Arial"/>
                <w:sz w:val="13"/>
                <w:szCs w:val="13"/>
                <w:color w:val="auto"/>
              </w:rPr>
              <w:t>operations</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14.0</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0.7</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2.0</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6.3</w:t>
            </w:r>
          </w:p>
        </w:tc>
        <w:tc>
          <w:tcPr>
            <w:tcW w:w="92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3.5</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8.0</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12.3</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46.8</w:t>
            </w:r>
          </w:p>
        </w:tc>
        <w:tc>
          <w:tcPr>
            <w:tcW w:w="0" w:type="dxa"/>
            <w:vAlign w:val="bottom"/>
          </w:tcPr>
          <w:p>
            <w:pPr>
              <w:spacing w:after="0"/>
              <w:rPr>
                <w:sz w:val="1"/>
                <w:szCs w:val="1"/>
                <w:color w:val="auto"/>
              </w:rPr>
            </w:pPr>
          </w:p>
        </w:tc>
      </w:tr>
      <w:tr>
        <w:trPr>
          <w:trHeight w:val="174"/>
        </w:trPr>
        <w:tc>
          <w:tcPr>
            <w:tcW w:w="1520" w:type="dxa"/>
            <w:vAlign w:val="bottom"/>
          </w:tcPr>
          <w:p>
            <w:pPr>
              <w:ind w:left="20"/>
              <w:spacing w:after="0"/>
              <w:rPr>
                <w:sz w:val="20"/>
                <w:szCs w:val="20"/>
                <w:color w:val="auto"/>
              </w:rPr>
            </w:pPr>
            <w:r>
              <w:rPr>
                <w:rFonts w:ascii="Arial" w:cs="Arial" w:eastAsia="Arial" w:hAnsi="Arial"/>
                <w:sz w:val="13"/>
                <w:szCs w:val="13"/>
                <w:color w:val="auto"/>
              </w:rPr>
              <w:t>Operating margin percent</w:t>
            </w:r>
          </w:p>
        </w:tc>
        <w:tc>
          <w:tcPr>
            <w:tcW w:w="680" w:type="dxa"/>
            <w:vAlign w:val="bottom"/>
          </w:tcPr>
          <w:p>
            <w:pPr>
              <w:jc w:val="right"/>
              <w:spacing w:after="0"/>
              <w:rPr>
                <w:sz w:val="20"/>
                <w:szCs w:val="20"/>
                <w:color w:val="auto"/>
              </w:rPr>
            </w:pPr>
            <w:r>
              <w:rPr>
                <w:rFonts w:ascii="Arial" w:cs="Arial" w:eastAsia="Arial" w:hAnsi="Arial"/>
                <w:sz w:val="13"/>
                <w:szCs w:val="13"/>
                <w:color w:val="auto"/>
              </w:rPr>
              <w:t>5.1 %</w:t>
            </w:r>
          </w:p>
        </w:tc>
        <w:tc>
          <w:tcPr>
            <w:tcW w:w="840" w:type="dxa"/>
            <w:vAlign w:val="bottom"/>
          </w:tcPr>
          <w:p>
            <w:pPr>
              <w:jc w:val="right"/>
              <w:spacing w:after="0"/>
              <w:rPr>
                <w:sz w:val="20"/>
                <w:szCs w:val="20"/>
                <w:color w:val="auto"/>
              </w:rPr>
            </w:pPr>
            <w:r>
              <w:rPr>
                <w:rFonts w:ascii="Arial" w:cs="Arial" w:eastAsia="Arial" w:hAnsi="Arial"/>
                <w:sz w:val="13"/>
                <w:szCs w:val="13"/>
                <w:color w:val="auto"/>
              </w:rPr>
              <w:t>0.2 %</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0.7 %</w:t>
            </w:r>
          </w:p>
        </w:tc>
        <w:tc>
          <w:tcPr>
            <w:tcW w:w="860" w:type="dxa"/>
            <w:vAlign w:val="bottom"/>
          </w:tcPr>
          <w:p>
            <w:pPr>
              <w:jc w:val="right"/>
              <w:spacing w:after="0"/>
              <w:rPr>
                <w:sz w:val="20"/>
                <w:szCs w:val="20"/>
                <w:color w:val="auto"/>
              </w:rPr>
            </w:pPr>
            <w:r>
              <w:rPr>
                <w:rFonts w:ascii="Arial" w:cs="Arial" w:eastAsia="Arial" w:hAnsi="Arial"/>
                <w:sz w:val="13"/>
                <w:szCs w:val="13"/>
                <w:color w:val="auto"/>
              </w:rPr>
              <w:t>2.3 %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1.3 %</w:t>
            </w:r>
          </w:p>
        </w:tc>
        <w:tc>
          <w:tcPr>
            <w:tcW w:w="860" w:type="dxa"/>
            <w:vAlign w:val="bottom"/>
          </w:tcPr>
          <w:p>
            <w:pPr>
              <w:jc w:val="right"/>
              <w:spacing w:after="0"/>
              <w:rPr>
                <w:sz w:val="20"/>
                <w:szCs w:val="20"/>
                <w:color w:val="auto"/>
              </w:rPr>
            </w:pPr>
            <w:r>
              <w:rPr>
                <w:rFonts w:ascii="Arial" w:cs="Arial" w:eastAsia="Arial" w:hAnsi="Arial"/>
                <w:sz w:val="13"/>
                <w:szCs w:val="13"/>
                <w:color w:val="auto"/>
              </w:rPr>
              <w:t>2.9 %</w:t>
            </w:r>
          </w:p>
        </w:tc>
        <w:tc>
          <w:tcPr>
            <w:tcW w:w="1020" w:type="dxa"/>
            <w:vAlign w:val="bottom"/>
          </w:tcPr>
          <w:p>
            <w:pPr>
              <w:jc w:val="right"/>
              <w:spacing w:after="0"/>
              <w:rPr>
                <w:sz w:val="20"/>
                <w:szCs w:val="20"/>
                <w:color w:val="auto"/>
              </w:rPr>
            </w:pPr>
            <w:r>
              <w:rPr>
                <w:rFonts w:ascii="Arial" w:cs="Arial" w:eastAsia="Arial" w:hAnsi="Arial"/>
                <w:sz w:val="13"/>
                <w:szCs w:val="13"/>
                <w:color w:val="auto"/>
              </w:rPr>
              <w:t>4.5 %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17.0 %</w:t>
            </w:r>
          </w:p>
        </w:tc>
        <w:tc>
          <w:tcPr>
            <w:tcW w:w="0" w:type="dxa"/>
            <w:vAlign w:val="bottom"/>
          </w:tcPr>
          <w:p>
            <w:pPr>
              <w:spacing w:after="0"/>
              <w:rPr>
                <w:sz w:val="1"/>
                <w:szCs w:val="1"/>
                <w:color w:val="auto"/>
              </w:rPr>
            </w:pPr>
          </w:p>
        </w:tc>
      </w:tr>
      <w:tr>
        <w:trPr>
          <w:trHeight w:val="174"/>
        </w:trPr>
        <w:tc>
          <w:tcPr>
            <w:tcW w:w="15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1.7</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0.7</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2.0</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6.3</w:t>
            </w:r>
          </w:p>
        </w:tc>
        <w:tc>
          <w:tcPr>
            <w:tcW w:w="920" w:type="dxa"/>
            <w:vAlign w:val="bottom"/>
          </w:tcPr>
          <w:p>
            <w:pPr>
              <w:jc w:val="right"/>
              <w:ind w:right="95"/>
              <w:spacing w:after="0"/>
              <w:rPr>
                <w:sz w:val="20"/>
                <w:szCs w:val="20"/>
                <w:color w:val="auto"/>
              </w:rPr>
            </w:pPr>
            <w:r>
              <w:rPr>
                <w:rFonts w:ascii="Arial" w:cs="Arial" w:eastAsia="Arial" w:hAnsi="Arial"/>
                <w:sz w:val="13"/>
                <w:szCs w:val="13"/>
                <w:color w:val="auto"/>
              </w:rPr>
              <w:t>(3.6)</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3.5</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8.0</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12.3</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5.9</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6.9</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r>
        <w:trPr>
          <w:trHeight w:val="134"/>
        </w:trPr>
        <w:tc>
          <w:tcPr>
            <w:tcW w:w="1520" w:type="dxa"/>
            <w:vAlign w:val="bottom"/>
          </w:tcPr>
          <w:p>
            <w:pPr>
              <w:ind w:left="20"/>
              <w:spacing w:after="0" w:line="134" w:lineRule="exact"/>
              <w:rPr>
                <w:sz w:val="20"/>
                <w:szCs w:val="20"/>
                <w:color w:val="auto"/>
              </w:rPr>
            </w:pPr>
            <w:r>
              <w:rPr>
                <w:rFonts w:ascii="Arial" w:cs="Arial" w:eastAsia="Arial" w:hAnsi="Arial"/>
                <w:sz w:val="13"/>
                <w:szCs w:val="13"/>
                <w:color w:val="auto"/>
              </w:rPr>
              <w:t>Net income as a percent</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20" w:type="dxa"/>
            <w:vAlign w:val="bottom"/>
          </w:tcPr>
          <w:p>
            <w:pPr>
              <w:ind w:left="20"/>
              <w:spacing w:after="0"/>
              <w:rPr>
                <w:sz w:val="20"/>
                <w:szCs w:val="20"/>
                <w:color w:val="auto"/>
              </w:rPr>
            </w:pPr>
            <w:r>
              <w:rPr>
                <w:rFonts w:ascii="Arial" w:cs="Arial" w:eastAsia="Arial" w:hAnsi="Arial"/>
                <w:sz w:val="13"/>
                <w:szCs w:val="13"/>
                <w:color w:val="auto"/>
              </w:rPr>
              <w:t>of net revenue</w:t>
            </w:r>
          </w:p>
        </w:tc>
        <w:tc>
          <w:tcPr>
            <w:tcW w:w="680" w:type="dxa"/>
            <w:vAlign w:val="bottom"/>
          </w:tcPr>
          <w:p>
            <w:pPr>
              <w:jc w:val="right"/>
              <w:spacing w:after="0"/>
              <w:rPr>
                <w:sz w:val="20"/>
                <w:szCs w:val="20"/>
                <w:color w:val="auto"/>
              </w:rPr>
            </w:pPr>
            <w:r>
              <w:rPr>
                <w:rFonts w:ascii="Arial" w:cs="Arial" w:eastAsia="Arial" w:hAnsi="Arial"/>
                <w:sz w:val="13"/>
                <w:szCs w:val="13"/>
                <w:color w:val="auto"/>
              </w:rPr>
              <w:t>0.6 %</w:t>
            </w:r>
          </w:p>
        </w:tc>
        <w:tc>
          <w:tcPr>
            <w:tcW w:w="840" w:type="dxa"/>
            <w:vAlign w:val="bottom"/>
          </w:tcPr>
          <w:p>
            <w:pPr>
              <w:jc w:val="right"/>
              <w:spacing w:after="0"/>
              <w:rPr>
                <w:sz w:val="20"/>
                <w:szCs w:val="20"/>
                <w:color w:val="auto"/>
              </w:rPr>
            </w:pPr>
            <w:r>
              <w:rPr>
                <w:rFonts w:ascii="Arial" w:cs="Arial" w:eastAsia="Arial" w:hAnsi="Arial"/>
                <w:sz w:val="13"/>
                <w:szCs w:val="13"/>
                <w:color w:val="auto"/>
              </w:rPr>
              <w:t>0.2 %</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0.7 %</w:t>
            </w:r>
          </w:p>
        </w:tc>
        <w:tc>
          <w:tcPr>
            <w:tcW w:w="860" w:type="dxa"/>
            <w:vAlign w:val="bottom"/>
          </w:tcPr>
          <w:p>
            <w:pPr>
              <w:jc w:val="right"/>
              <w:spacing w:after="0"/>
              <w:rPr>
                <w:sz w:val="20"/>
                <w:szCs w:val="20"/>
                <w:color w:val="auto"/>
              </w:rPr>
            </w:pPr>
            <w:r>
              <w:rPr>
                <w:rFonts w:ascii="Arial" w:cs="Arial" w:eastAsia="Arial" w:hAnsi="Arial"/>
                <w:sz w:val="13"/>
                <w:szCs w:val="13"/>
                <w:color w:val="auto"/>
              </w:rPr>
              <w:t>2.3 %</w:t>
            </w:r>
          </w:p>
        </w:tc>
        <w:tc>
          <w:tcPr>
            <w:tcW w:w="920" w:type="dxa"/>
            <w:vAlign w:val="bottom"/>
          </w:tcPr>
          <w:p>
            <w:pPr>
              <w:jc w:val="right"/>
              <w:spacing w:after="0"/>
              <w:rPr>
                <w:sz w:val="20"/>
                <w:szCs w:val="20"/>
                <w:color w:val="auto"/>
              </w:rPr>
            </w:pPr>
            <w:r>
              <w:rPr>
                <w:rFonts w:ascii="Arial" w:cs="Arial" w:eastAsia="Arial" w:hAnsi="Arial"/>
                <w:sz w:val="13"/>
                <w:szCs w:val="13"/>
                <w:color w:val="auto"/>
              </w:rPr>
              <w:t>(1.3)%</w:t>
            </w:r>
          </w:p>
        </w:tc>
        <w:tc>
          <w:tcPr>
            <w:tcW w:w="980" w:type="dxa"/>
            <w:vAlign w:val="bottom"/>
          </w:tcPr>
          <w:p>
            <w:pPr>
              <w:jc w:val="right"/>
              <w:spacing w:after="0"/>
              <w:rPr>
                <w:sz w:val="20"/>
                <w:szCs w:val="20"/>
                <w:color w:val="auto"/>
              </w:rPr>
            </w:pPr>
            <w:r>
              <w:rPr>
                <w:rFonts w:ascii="Arial" w:cs="Arial" w:eastAsia="Arial" w:hAnsi="Arial"/>
                <w:sz w:val="13"/>
                <w:szCs w:val="13"/>
                <w:color w:val="auto"/>
              </w:rPr>
              <w:t>1.3 %</w:t>
            </w:r>
          </w:p>
        </w:tc>
        <w:tc>
          <w:tcPr>
            <w:tcW w:w="860" w:type="dxa"/>
            <w:vAlign w:val="bottom"/>
          </w:tcPr>
          <w:p>
            <w:pPr>
              <w:jc w:val="right"/>
              <w:spacing w:after="0"/>
              <w:rPr>
                <w:sz w:val="20"/>
                <w:szCs w:val="20"/>
                <w:color w:val="auto"/>
              </w:rPr>
            </w:pPr>
            <w:r>
              <w:rPr>
                <w:rFonts w:ascii="Arial" w:cs="Arial" w:eastAsia="Arial" w:hAnsi="Arial"/>
                <w:sz w:val="13"/>
                <w:szCs w:val="13"/>
                <w:color w:val="auto"/>
              </w:rPr>
              <w:t>2.9 %</w:t>
            </w:r>
          </w:p>
        </w:tc>
        <w:tc>
          <w:tcPr>
            <w:tcW w:w="1020" w:type="dxa"/>
            <w:vAlign w:val="bottom"/>
          </w:tcPr>
          <w:p>
            <w:pPr>
              <w:jc w:val="right"/>
              <w:spacing w:after="0"/>
              <w:rPr>
                <w:sz w:val="20"/>
                <w:szCs w:val="20"/>
                <w:color w:val="auto"/>
              </w:rPr>
            </w:pPr>
            <w:r>
              <w:rPr>
                <w:rFonts w:ascii="Arial" w:cs="Arial" w:eastAsia="Arial" w:hAnsi="Arial"/>
                <w:sz w:val="13"/>
                <w:szCs w:val="13"/>
                <w:color w:val="auto"/>
              </w:rPr>
              <w:t>4.5 %</w:t>
            </w:r>
          </w:p>
        </w:tc>
        <w:tc>
          <w:tcPr>
            <w:tcW w:w="920" w:type="dxa"/>
            <w:vAlign w:val="bottom"/>
          </w:tcPr>
          <w:p>
            <w:pPr>
              <w:jc w:val="right"/>
              <w:spacing w:after="0"/>
              <w:rPr>
                <w:sz w:val="20"/>
                <w:szCs w:val="20"/>
                <w:color w:val="auto"/>
              </w:rPr>
            </w:pPr>
            <w:r>
              <w:rPr>
                <w:rFonts w:ascii="Arial" w:cs="Arial" w:eastAsia="Arial" w:hAnsi="Arial"/>
                <w:sz w:val="13"/>
                <w:szCs w:val="13"/>
                <w:color w:val="auto"/>
              </w:rPr>
              <w:t>2.1 %</w:t>
            </w:r>
          </w:p>
        </w:tc>
        <w:tc>
          <w:tcPr>
            <w:tcW w:w="880" w:type="dxa"/>
            <w:vAlign w:val="bottom"/>
          </w:tcPr>
          <w:p>
            <w:pPr>
              <w:jc w:val="right"/>
              <w:spacing w:after="0"/>
              <w:rPr>
                <w:sz w:val="20"/>
                <w:szCs w:val="20"/>
                <w:color w:val="auto"/>
              </w:rPr>
            </w:pPr>
            <w:r>
              <w:rPr>
                <w:rFonts w:ascii="Arial" w:cs="Arial" w:eastAsia="Arial" w:hAnsi="Arial"/>
                <w:sz w:val="13"/>
                <w:szCs w:val="13"/>
                <w:color w:val="auto"/>
              </w:rPr>
              <w:t>2.5 %</w:t>
            </w:r>
          </w:p>
        </w:tc>
        <w:tc>
          <w:tcPr>
            <w:tcW w:w="740" w:type="dxa"/>
            <w:vAlign w:val="bottom"/>
          </w:tcPr>
          <w:p>
            <w:pPr>
              <w:jc w:val="right"/>
              <w:spacing w:after="0"/>
              <w:rPr>
                <w:sz w:val="20"/>
                <w:szCs w:val="20"/>
                <w:color w:val="auto"/>
              </w:rPr>
            </w:pPr>
            <w:r>
              <w:rPr>
                <w:rFonts w:ascii="Arial" w:cs="Arial" w:eastAsia="Arial" w:hAnsi="Arial"/>
                <w:sz w:val="13"/>
                <w:szCs w:val="13"/>
                <w:color w:val="auto"/>
              </w:rPr>
              <w:t>15.9 %</w:t>
            </w:r>
          </w:p>
        </w:tc>
        <w:tc>
          <w:tcPr>
            <w:tcW w:w="0" w:type="dxa"/>
            <w:vAlign w:val="bottom"/>
          </w:tcPr>
          <w:p>
            <w:pPr>
              <w:spacing w:after="0"/>
              <w:rPr>
                <w:sz w:val="1"/>
                <w:szCs w:val="1"/>
                <w:color w:val="auto"/>
              </w:rPr>
            </w:pPr>
          </w:p>
        </w:tc>
      </w:tr>
      <w:tr>
        <w:trPr>
          <w:trHeight w:val="174"/>
        </w:trPr>
        <w:tc>
          <w:tcPr>
            <w:tcW w:w="1520" w:type="dxa"/>
            <w:vAlign w:val="bottom"/>
          </w:tcPr>
          <w:p>
            <w:pPr>
              <w:ind w:left="20"/>
              <w:spacing w:after="0"/>
              <w:rPr>
                <w:sz w:val="20"/>
                <w:szCs w:val="20"/>
                <w:color w:val="auto"/>
              </w:rPr>
            </w:pPr>
            <w:r>
              <w:rPr>
                <w:rFonts w:ascii="Arial" w:cs="Arial" w:eastAsia="Arial" w:hAnsi="Arial"/>
                <w:sz w:val="13"/>
                <w:szCs w:val="13"/>
                <w:color w:val="auto"/>
              </w:rPr>
              <w:t>Diluted EPS</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$0.03</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$0.01</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$0.04</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$0.12</w:t>
            </w:r>
          </w:p>
        </w:tc>
        <w:tc>
          <w:tcPr>
            <w:tcW w:w="920" w:type="dxa"/>
            <w:vAlign w:val="bottom"/>
          </w:tcPr>
          <w:p>
            <w:pPr>
              <w:jc w:val="right"/>
              <w:ind w:right="95"/>
              <w:spacing w:after="0"/>
              <w:rPr>
                <w:sz w:val="20"/>
                <w:szCs w:val="20"/>
                <w:color w:val="auto"/>
              </w:rPr>
            </w:pPr>
            <w:r>
              <w:rPr>
                <w:rFonts w:ascii="Arial" w:cs="Arial" w:eastAsia="Arial" w:hAnsi="Arial"/>
                <w:sz w:val="13"/>
                <w:szCs w:val="13"/>
                <w:color w:val="auto"/>
              </w:rPr>
              <w:t>($0.07)</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$0.06</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$0.15</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$0.23</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$0.11</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$0.13</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$0.81</w:t>
            </w:r>
          </w:p>
        </w:tc>
        <w:tc>
          <w:tcPr>
            <w:tcW w:w="0" w:type="dxa"/>
            <w:vAlign w:val="bottom"/>
          </w:tcPr>
          <w:p>
            <w:pPr>
              <w:spacing w:after="0"/>
              <w:rPr>
                <w:sz w:val="1"/>
                <w:szCs w:val="1"/>
                <w:color w:val="auto"/>
              </w:rPr>
            </w:pPr>
          </w:p>
        </w:tc>
      </w:tr>
      <w:tr>
        <w:trPr>
          <w:trHeight w:val="301"/>
        </w:trPr>
        <w:tc>
          <w:tcPr>
            <w:tcW w:w="4920" w:type="dxa"/>
            <w:vAlign w:val="bottom"/>
            <w:gridSpan w:val="5"/>
          </w:tcPr>
          <w:p>
            <w:pPr>
              <w:ind w:left="20"/>
              <w:spacing w:after="0"/>
              <w:rPr>
                <w:sz w:val="20"/>
                <w:szCs w:val="20"/>
                <w:color w:val="auto"/>
              </w:rPr>
            </w:pPr>
            <w:r>
              <w:rPr>
                <w:rFonts w:ascii="Arial" w:cs="Arial" w:eastAsia="Arial" w:hAnsi="Arial"/>
                <w:sz w:val="13"/>
                <w:szCs w:val="13"/>
                <w:b w:val="1"/>
                <w:bCs w:val="1"/>
                <w:color w:val="auto"/>
              </w:rPr>
              <w:t>GAAP results for the three months ended December 31, 2022, include:</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840" w:type="dxa"/>
            <w:vAlign w:val="bottom"/>
            <w:gridSpan w:val="6"/>
          </w:tcPr>
          <w:p>
            <w:pPr>
              <w:ind w:left="20"/>
              <w:spacing w:after="0"/>
              <w:rPr>
                <w:sz w:val="20"/>
                <w:szCs w:val="20"/>
                <w:color w:val="auto"/>
              </w:rPr>
            </w:pPr>
            <w:r>
              <w:rPr>
                <w:rFonts w:ascii="Arial" w:cs="Arial" w:eastAsia="Arial" w:hAnsi="Arial"/>
                <w:sz w:val="13"/>
                <w:szCs w:val="13"/>
                <w:color w:val="auto"/>
              </w:rPr>
              <w:t>(A)   Merger and integration expenses related to the acquisition of ALung Technologies, Inc.</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60" w:type="dxa"/>
            <w:vAlign w:val="bottom"/>
            <w:gridSpan w:val="4"/>
          </w:tcPr>
          <w:p>
            <w:pPr>
              <w:ind w:left="20"/>
              <w:spacing w:after="0"/>
              <w:rPr>
                <w:sz w:val="20"/>
                <w:szCs w:val="20"/>
                <w:color w:val="auto"/>
              </w:rPr>
            </w:pPr>
            <w:r>
              <w:rPr>
                <w:rFonts w:ascii="Arial" w:cs="Arial" w:eastAsia="Arial" w:hAnsi="Arial"/>
                <w:sz w:val="13"/>
                <w:szCs w:val="13"/>
                <w:color w:val="auto"/>
              </w:rPr>
              <w:t>(B)   Restructuring expenses related to organizational changes</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20" w:type="dxa"/>
            <w:vAlign w:val="bottom"/>
            <w:gridSpan w:val="5"/>
          </w:tcPr>
          <w:p>
            <w:pPr>
              <w:ind w:left="20"/>
              <w:spacing w:after="0"/>
              <w:rPr>
                <w:sz w:val="20"/>
                <w:szCs w:val="20"/>
                <w:color w:val="auto"/>
              </w:rPr>
            </w:pPr>
            <w:r>
              <w:rPr>
                <w:rFonts w:ascii="Arial" w:cs="Arial" w:eastAsia="Arial" w:hAnsi="Arial"/>
                <w:sz w:val="13"/>
                <w:szCs w:val="13"/>
                <w:color w:val="auto"/>
                <w:w w:val="98"/>
              </w:rPr>
              <w:t>(C)  Includes depreciation and amortization associated with purchase price accounting</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40" w:type="dxa"/>
            <w:vAlign w:val="bottom"/>
            <w:gridSpan w:val="6"/>
          </w:tcPr>
          <w:p>
            <w:pPr>
              <w:ind w:left="20"/>
              <w:spacing w:after="0"/>
              <w:rPr>
                <w:sz w:val="20"/>
                <w:szCs w:val="20"/>
                <w:color w:val="auto"/>
              </w:rPr>
            </w:pPr>
            <w:r>
              <w:rPr>
                <w:rFonts w:ascii="Arial" w:cs="Arial" w:eastAsia="Arial" w:hAnsi="Arial"/>
                <w:sz w:val="13"/>
                <w:szCs w:val="13"/>
                <w:color w:val="auto"/>
              </w:rPr>
              <w:t>(D)  Mark-to-market adjustments for the exchangeable option feature and capped call derivatives</w:t>
            </w: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60" w:type="dxa"/>
            <w:vAlign w:val="bottom"/>
            <w:gridSpan w:val="4"/>
          </w:tcPr>
          <w:p>
            <w:pPr>
              <w:ind w:left="20"/>
              <w:spacing w:after="0"/>
              <w:rPr>
                <w:sz w:val="20"/>
                <w:szCs w:val="20"/>
                <w:color w:val="auto"/>
              </w:rPr>
            </w:pPr>
            <w:r>
              <w:rPr>
                <w:rFonts w:ascii="Arial" w:cs="Arial" w:eastAsia="Arial" w:hAnsi="Arial"/>
                <w:sz w:val="13"/>
                <w:szCs w:val="13"/>
                <w:color w:val="auto"/>
                <w:w w:val="97"/>
              </w:rPr>
              <w:t>(E)   Remeasurement of contingent consideration related to acquisitions</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700" w:type="dxa"/>
            <w:vAlign w:val="bottom"/>
            <w:gridSpan w:val="9"/>
          </w:tcPr>
          <w:p>
            <w:pPr>
              <w:ind w:left="20"/>
              <w:spacing w:after="0"/>
              <w:rPr>
                <w:sz w:val="20"/>
                <w:szCs w:val="20"/>
                <w:color w:val="auto"/>
              </w:rPr>
            </w:pPr>
            <w:r>
              <w:rPr>
                <w:rFonts w:ascii="Arial" w:cs="Arial" w:eastAsia="Arial" w:hAnsi="Arial"/>
                <w:sz w:val="13"/>
                <w:szCs w:val="13"/>
                <w:color w:val="auto"/>
                <w:w w:val="98"/>
              </w:rPr>
              <w:t>(F)   3T Heater-Cooler litigation provision, legal expenses primarily related to 3T Heater-Cooler defense, costs related to the SNIA matter and MDR costs</w:t>
            </w: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20" w:type="dxa"/>
            <w:vAlign w:val="bottom"/>
            <w:gridSpan w:val="5"/>
          </w:tcPr>
          <w:p>
            <w:pPr>
              <w:ind w:left="20"/>
              <w:spacing w:after="0"/>
              <w:rPr>
                <w:sz w:val="20"/>
                <w:szCs w:val="20"/>
                <w:color w:val="auto"/>
              </w:rPr>
            </w:pPr>
            <w:r>
              <w:rPr>
                <w:rFonts w:ascii="Arial" w:cs="Arial" w:eastAsia="Arial" w:hAnsi="Arial"/>
                <w:sz w:val="13"/>
                <w:szCs w:val="13"/>
                <w:color w:val="auto"/>
              </w:rPr>
              <w:t>(G)  Non-cash expenses associated with stock-based compensation costs</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820" w:type="dxa"/>
            <w:vAlign w:val="bottom"/>
            <w:gridSpan w:val="7"/>
          </w:tcPr>
          <w:p>
            <w:pPr>
              <w:ind w:left="20"/>
              <w:spacing w:after="0"/>
              <w:rPr>
                <w:sz w:val="20"/>
                <w:szCs w:val="20"/>
                <w:color w:val="auto"/>
              </w:rPr>
            </w:pPr>
            <w:r>
              <w:rPr>
                <w:rFonts w:ascii="Arial" w:cs="Arial" w:eastAsia="Arial" w:hAnsi="Arial"/>
                <w:sz w:val="13"/>
                <w:szCs w:val="13"/>
                <w:color w:val="auto"/>
              </w:rPr>
              <w:t>(H)  Discrete tax items, the tax impact of intercompany transactions and the tax impact on non-GAAP adjustments</w:t>
            </w: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700" w:type="dxa"/>
            <w:vAlign w:val="bottom"/>
            <w:gridSpan w:val="9"/>
          </w:tcPr>
          <w:p>
            <w:pPr>
              <w:ind w:left="20"/>
              <w:spacing w:after="0" w:line="134" w:lineRule="exact"/>
              <w:rPr>
                <w:sz w:val="20"/>
                <w:szCs w:val="20"/>
                <w:color w:val="auto"/>
              </w:rPr>
            </w:pPr>
            <w:r>
              <w:rPr>
                <w:rFonts w:ascii="Arial" w:cs="Arial" w:eastAsia="Arial" w:hAnsi="Arial"/>
                <w:sz w:val="13"/>
                <w:szCs w:val="13"/>
                <w:color w:val="auto"/>
              </w:rPr>
              <w:t>(I)   Non-cash interest expense on the Cash Exchangeable Senior Notes and 2021 Revolving Credit Facility, interest expense on the Term Facilities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3040" w:type="dxa"/>
            <w:vAlign w:val="bottom"/>
            <w:gridSpan w:val="3"/>
          </w:tcPr>
          <w:p>
            <w:pPr>
              <w:ind w:left="20"/>
              <w:spacing w:after="0"/>
              <w:rPr>
                <w:sz w:val="20"/>
                <w:szCs w:val="20"/>
                <w:color w:val="auto"/>
              </w:rPr>
            </w:pPr>
            <w:r>
              <w:rPr>
                <w:rFonts w:ascii="Arial" w:cs="Arial" w:eastAsia="Arial" w:hAnsi="Arial"/>
                <w:sz w:val="13"/>
                <w:szCs w:val="13"/>
                <w:color w:val="auto"/>
              </w:rPr>
              <w:t>• Numbers may not add precisely due to rounding.</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jc w:val="right"/>
              <w:ind w:right="35"/>
              <w:spacing w:after="0"/>
              <w:rPr>
                <w:sz w:val="20"/>
                <w:szCs w:val="20"/>
                <w:color w:val="auto"/>
              </w:rPr>
            </w:pPr>
            <w:r>
              <w:rPr>
                <w:rFonts w:ascii="Arial" w:cs="Arial" w:eastAsia="Arial" w:hAnsi="Arial"/>
                <w:sz w:val="21"/>
                <w:szCs w:val="21"/>
                <w:color w:val="auto"/>
              </w:rPr>
              <w:t>16</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9"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96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8255"/>
                    </a:xfrm>
                    <a:prstGeom prst="rect">
                      <a:avLst/>
                    </a:prstGeom>
                    <a:noFill/>
                  </pic:spPr>
                </pic:pic>
              </a:graphicData>
            </a:graphic>
          </wp:anchor>
        </w:drawing>
      </w:r>
    </w:p>
    <w:p>
      <w:pPr>
        <w:spacing w:after="0" w:line="6"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Specified Items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9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Depreciation</w:t>
            </w:r>
          </w:p>
        </w:tc>
        <w:tc>
          <w:tcPr>
            <w:tcW w:w="8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8"/>
              </w:rPr>
              <w:t>Certain</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Certain</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Year Ended</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820" w:type="dxa"/>
            <w:vAlign w:val="bottom"/>
            <w:vMerge w:val="continue"/>
          </w:tcPr>
          <w:p>
            <w:pPr>
              <w:spacing w:after="0"/>
              <w:rPr>
                <w:sz w:val="11"/>
                <w:szCs w:val="11"/>
                <w:color w:val="auto"/>
              </w:rPr>
            </w:pPr>
          </w:p>
        </w:tc>
        <w:tc>
          <w:tcPr>
            <w:tcW w:w="9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6"/>
              </w:rPr>
              <w:t>Restructuring</w:t>
            </w:r>
          </w:p>
        </w:tc>
        <w:tc>
          <w:tcPr>
            <w:tcW w:w="90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94"/>
              </w:rPr>
              <w:t>and</w:t>
            </w:r>
          </w:p>
        </w:tc>
        <w:tc>
          <w:tcPr>
            <w:tcW w:w="82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Financing</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Legal &amp;</w:t>
            </w:r>
          </w:p>
        </w:tc>
        <w:tc>
          <w:tcPr>
            <w:tcW w:w="1020" w:type="dxa"/>
            <w:vAlign w:val="bottom"/>
            <w:vMerge w:val="continue"/>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88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21"/>
        </w:trPr>
        <w:tc>
          <w:tcPr>
            <w:tcW w:w="8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Integration</w:t>
            </w:r>
          </w:p>
        </w:tc>
        <w:tc>
          <w:tcPr>
            <w:tcW w:w="98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Amortization</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9"/>
              </w:rPr>
              <w:t>Impairment</w:t>
            </w:r>
          </w:p>
        </w:tc>
        <w:tc>
          <w:tcPr>
            <w:tcW w:w="9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Regulatory</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Compensation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December</w:t>
            </w:r>
          </w:p>
        </w:tc>
        <w:tc>
          <w:tcPr>
            <w:tcW w:w="7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Financial</w:t>
            </w:r>
          </w:p>
        </w:tc>
        <w:tc>
          <w:tcPr>
            <w:tcW w:w="8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Expenses</w:t>
            </w:r>
          </w:p>
        </w:tc>
        <w:tc>
          <w:tcPr>
            <w:tcW w:w="980" w:type="dxa"/>
            <w:vAlign w:val="bottom"/>
          </w:tcPr>
          <w:p>
            <w:pPr>
              <w:jc w:val="center"/>
              <w:ind w:right="37"/>
              <w:spacing w:after="0" w:line="134" w:lineRule="exact"/>
              <w:rPr>
                <w:sz w:val="20"/>
                <w:szCs w:val="20"/>
                <w:color w:val="auto"/>
              </w:rPr>
            </w:pPr>
            <w:r>
              <w:rPr>
                <w:rFonts w:ascii="Arial" w:cs="Arial" w:eastAsia="Arial" w:hAnsi="Arial"/>
                <w:sz w:val="13"/>
                <w:szCs w:val="13"/>
                <w:b w:val="1"/>
                <w:bCs w:val="1"/>
                <w:color w:val="auto"/>
                <w:w w:val="98"/>
              </w:rPr>
              <w:t>Expenses</w:t>
            </w:r>
          </w:p>
        </w:tc>
        <w:tc>
          <w:tcPr>
            <w:tcW w:w="900" w:type="dxa"/>
            <w:vAlign w:val="bottom"/>
          </w:tcPr>
          <w:p>
            <w:pPr>
              <w:jc w:val="center"/>
              <w:ind w:right="37"/>
              <w:spacing w:after="0" w:line="134" w:lineRule="exact"/>
              <w:rPr>
                <w:sz w:val="20"/>
                <w:szCs w:val="20"/>
                <w:color w:val="auto"/>
              </w:rPr>
            </w:pPr>
            <w:r>
              <w:rPr>
                <w:rFonts w:ascii="Arial" w:cs="Arial" w:eastAsia="Arial" w:hAnsi="Arial"/>
                <w:sz w:val="13"/>
                <w:szCs w:val="13"/>
                <w:b w:val="1"/>
                <w:bCs w:val="1"/>
                <w:color w:val="auto"/>
                <w:w w:val="98"/>
              </w:rPr>
              <w:t>Expenses</w:t>
            </w:r>
          </w:p>
        </w:tc>
        <w:tc>
          <w:tcPr>
            <w:tcW w:w="820" w:type="dxa"/>
            <w:vAlign w:val="bottom"/>
            <w:vMerge w:val="continue"/>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Transactions</w:t>
            </w:r>
          </w:p>
        </w:tc>
        <w:tc>
          <w:tcPr>
            <w:tcW w:w="10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Consideration</w:t>
            </w: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Costs</w:t>
            </w:r>
          </w:p>
        </w:tc>
        <w:tc>
          <w:tcPr>
            <w:tcW w:w="102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94"/>
              </w:rPr>
              <w:t>Costs</w:t>
            </w:r>
          </w:p>
        </w:tc>
        <w:tc>
          <w:tcPr>
            <w:tcW w:w="92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96"/>
              </w:rPr>
              <w:t>Adjustments</w:t>
            </w:r>
          </w:p>
        </w:tc>
        <w:tc>
          <w:tcPr>
            <w:tcW w:w="8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Adjustments</w:t>
            </w:r>
          </w:p>
        </w:tc>
        <w:tc>
          <w:tcPr>
            <w:tcW w:w="7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Financial</w:t>
            </w:r>
          </w:p>
        </w:tc>
        <w:tc>
          <w:tcPr>
            <w:tcW w:w="0" w:type="dxa"/>
            <w:vAlign w:val="bottom"/>
          </w:tcPr>
          <w:p>
            <w:pPr>
              <w:spacing w:after="0"/>
              <w:rPr>
                <w:sz w:val="1"/>
                <w:szCs w:val="1"/>
                <w:color w:val="auto"/>
              </w:rPr>
            </w:pPr>
          </w:p>
        </w:tc>
      </w:tr>
      <w:tr>
        <w:trPr>
          <w:trHeight w:val="173"/>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31, 2023</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w:t>
            </w: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(J)</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60"/>
        </w:trPr>
        <w:tc>
          <w:tcPr>
            <w:tcW w:w="86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$382.3</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($14.7)</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($12.6)</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($3.8)</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($1.0)</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$350.2</w:t>
            </w: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Gross profit</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percent</w:t>
            </w:r>
          </w:p>
        </w:tc>
        <w:tc>
          <w:tcPr>
            <w:tcW w:w="700" w:type="dxa"/>
            <w:vAlign w:val="bottom"/>
          </w:tcPr>
          <w:p>
            <w:pPr>
              <w:jc w:val="right"/>
              <w:spacing w:after="0"/>
              <w:rPr>
                <w:sz w:val="20"/>
                <w:szCs w:val="20"/>
                <w:color w:val="auto"/>
              </w:rPr>
            </w:pPr>
            <w:r>
              <w:rPr>
                <w:rFonts w:ascii="Arial" w:cs="Arial" w:eastAsia="Arial" w:hAnsi="Arial"/>
                <w:sz w:val="13"/>
                <w:szCs w:val="13"/>
                <w:color w:val="auto"/>
              </w:rPr>
              <w:t>66.9 %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1.3 %</w:t>
            </w:r>
          </w:p>
        </w:tc>
        <w:tc>
          <w:tcPr>
            <w:tcW w:w="820" w:type="dxa"/>
            <w:vAlign w:val="bottom"/>
          </w:tcPr>
          <w:p>
            <w:pPr>
              <w:jc w:val="right"/>
              <w:spacing w:after="0"/>
              <w:rPr>
                <w:sz w:val="20"/>
                <w:szCs w:val="20"/>
                <w:color w:val="auto"/>
              </w:rPr>
            </w:pPr>
            <w:r>
              <w:rPr>
                <w:rFonts w:ascii="Arial" w:cs="Arial" w:eastAsia="Arial" w:hAnsi="Arial"/>
                <w:sz w:val="13"/>
                <w:szCs w:val="13"/>
                <w:color w:val="auto"/>
              </w:rPr>
              <w:t>1.1 %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0.3 %</w:t>
            </w:r>
          </w:p>
        </w:tc>
        <w:tc>
          <w:tcPr>
            <w:tcW w:w="800" w:type="dxa"/>
            <w:vAlign w:val="bottom"/>
          </w:tcPr>
          <w:p>
            <w:pPr>
              <w:jc w:val="right"/>
              <w:spacing w:after="0"/>
              <w:rPr>
                <w:sz w:val="20"/>
                <w:szCs w:val="20"/>
                <w:color w:val="auto"/>
              </w:rPr>
            </w:pPr>
            <w:r>
              <w:rPr>
                <w:rFonts w:ascii="Arial" w:cs="Arial" w:eastAsia="Arial" w:hAnsi="Arial"/>
                <w:sz w:val="13"/>
                <w:szCs w:val="13"/>
                <w:color w:val="auto"/>
              </w:rPr>
              <w:t>— %</w:t>
            </w:r>
          </w:p>
        </w:tc>
        <w:tc>
          <w:tcPr>
            <w:tcW w:w="1020" w:type="dxa"/>
            <w:vAlign w:val="bottom"/>
          </w:tcPr>
          <w:p>
            <w:pPr>
              <w:jc w:val="right"/>
              <w:spacing w:after="0"/>
              <w:rPr>
                <w:sz w:val="20"/>
                <w:szCs w:val="20"/>
                <w:color w:val="auto"/>
              </w:rPr>
            </w:pPr>
            <w:r>
              <w:rPr>
                <w:rFonts w:ascii="Arial" w:cs="Arial" w:eastAsia="Arial" w:hAnsi="Arial"/>
                <w:sz w:val="13"/>
                <w:szCs w:val="13"/>
                <w:color w:val="auto"/>
              </w:rPr>
              <w:t>0.1 %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69.6 %</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Selling,</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general and</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administrative</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518.1</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(11.5)</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(21.3)</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(29.4)</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456.0</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Selling,</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general and</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60" w:type="dxa"/>
            <w:vAlign w:val="bottom"/>
          </w:tcPr>
          <w:p>
            <w:pPr>
              <w:ind w:left="20"/>
              <w:spacing w:after="0" w:line="126" w:lineRule="exact"/>
              <w:rPr>
                <w:sz w:val="20"/>
                <w:szCs w:val="20"/>
                <w:color w:val="auto"/>
              </w:rPr>
            </w:pPr>
            <w:r>
              <w:rPr>
                <w:rFonts w:ascii="Arial" w:cs="Arial" w:eastAsia="Arial" w:hAnsi="Arial"/>
                <w:sz w:val="13"/>
                <w:szCs w:val="13"/>
                <w:color w:val="auto"/>
              </w:rPr>
              <w:t>administrative</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60" w:type="dxa"/>
            <w:vAlign w:val="bottom"/>
          </w:tcPr>
          <w:p>
            <w:pPr>
              <w:ind w:left="20"/>
              <w:spacing w:after="0" w:line="121" w:lineRule="exact"/>
              <w:rPr>
                <w:sz w:val="20"/>
                <w:szCs w:val="20"/>
                <w:color w:val="auto"/>
              </w:rPr>
            </w:pPr>
            <w:r>
              <w:rPr>
                <w:rFonts w:ascii="Arial" w:cs="Arial" w:eastAsia="Arial" w:hAnsi="Arial"/>
                <w:sz w:val="13"/>
                <w:szCs w:val="13"/>
                <w:color w:val="auto"/>
              </w:rPr>
              <w:t>as a percent</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of net</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tcPr>
          <w:p>
            <w:pPr>
              <w:jc w:val="right"/>
              <w:spacing w:after="0"/>
              <w:rPr>
                <w:sz w:val="20"/>
                <w:szCs w:val="20"/>
                <w:color w:val="auto"/>
              </w:rPr>
            </w:pPr>
            <w:r>
              <w:rPr>
                <w:rFonts w:ascii="Arial" w:cs="Arial" w:eastAsia="Arial" w:hAnsi="Arial"/>
                <w:sz w:val="13"/>
                <w:szCs w:val="13"/>
                <w:color w:val="auto"/>
              </w:rPr>
              <w:t>44.9 %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(1.0)%</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800" w:type="dxa"/>
            <w:vAlign w:val="bottom"/>
          </w:tcPr>
          <w:p>
            <w:pPr>
              <w:jc w:val="right"/>
              <w:spacing w:after="0"/>
              <w:rPr>
                <w:sz w:val="20"/>
                <w:szCs w:val="20"/>
                <w:color w:val="auto"/>
              </w:rPr>
            </w:pPr>
            <w:r>
              <w:rPr>
                <w:rFonts w:ascii="Arial" w:cs="Arial" w:eastAsia="Arial" w:hAnsi="Arial"/>
                <w:sz w:val="13"/>
                <w:szCs w:val="13"/>
                <w:color w:val="auto"/>
              </w:rPr>
              <w:t>(1.8)%</w:t>
            </w:r>
          </w:p>
        </w:tc>
        <w:tc>
          <w:tcPr>
            <w:tcW w:w="1020" w:type="dxa"/>
            <w:vAlign w:val="bottom"/>
          </w:tcPr>
          <w:p>
            <w:pPr>
              <w:jc w:val="right"/>
              <w:spacing w:after="0"/>
              <w:rPr>
                <w:sz w:val="20"/>
                <w:szCs w:val="20"/>
                <w:color w:val="auto"/>
              </w:rPr>
            </w:pPr>
            <w:r>
              <w:rPr>
                <w:rFonts w:ascii="Arial" w:cs="Arial" w:eastAsia="Arial" w:hAnsi="Arial"/>
                <w:sz w:val="13"/>
                <w:szCs w:val="13"/>
                <w:color w:val="auto"/>
              </w:rPr>
              <w:t>(2.6)%</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39.5 %</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development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193.8</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0.2</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(5.6)</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(4.3)</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(6.0)</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178.1</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development</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60" w:type="dxa"/>
            <w:vAlign w:val="bottom"/>
          </w:tcPr>
          <w:p>
            <w:pPr>
              <w:ind w:left="20"/>
              <w:spacing w:after="0" w:line="126" w:lineRule="exact"/>
              <w:rPr>
                <w:sz w:val="20"/>
                <w:szCs w:val="20"/>
                <w:color w:val="auto"/>
              </w:rPr>
            </w:pPr>
            <w:r>
              <w:rPr>
                <w:rFonts w:ascii="Arial" w:cs="Arial" w:eastAsia="Arial" w:hAnsi="Arial"/>
                <w:sz w:val="13"/>
                <w:szCs w:val="13"/>
                <w:color w:val="auto"/>
              </w:rPr>
              <w:t>as a percent</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60" w:type="dxa"/>
            <w:vAlign w:val="bottom"/>
          </w:tcPr>
          <w:p>
            <w:pPr>
              <w:ind w:left="20"/>
              <w:spacing w:after="0" w:line="121" w:lineRule="exact"/>
              <w:rPr>
                <w:sz w:val="20"/>
                <w:szCs w:val="20"/>
                <w:color w:val="auto"/>
              </w:rPr>
            </w:pPr>
            <w:r>
              <w:rPr>
                <w:rFonts w:ascii="Arial" w:cs="Arial" w:eastAsia="Arial" w:hAnsi="Arial"/>
                <w:sz w:val="13"/>
                <w:szCs w:val="13"/>
                <w:color w:val="auto"/>
              </w:rPr>
              <w:t>of net</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tcPr>
          <w:p>
            <w:pPr>
              <w:jc w:val="right"/>
              <w:spacing w:after="0"/>
              <w:rPr>
                <w:sz w:val="20"/>
                <w:szCs w:val="20"/>
                <w:color w:val="auto"/>
              </w:rPr>
            </w:pPr>
            <w:r>
              <w:rPr>
                <w:rFonts w:ascii="Arial" w:cs="Arial" w:eastAsia="Arial" w:hAnsi="Arial"/>
                <w:sz w:val="13"/>
                <w:szCs w:val="13"/>
                <w:color w:val="auto"/>
              </w:rPr>
              <w:t>16.8 %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(0.5)%</w:t>
            </w:r>
          </w:p>
        </w:tc>
        <w:tc>
          <w:tcPr>
            <w:tcW w:w="800" w:type="dxa"/>
            <w:vAlign w:val="bottom"/>
          </w:tcPr>
          <w:p>
            <w:pPr>
              <w:jc w:val="right"/>
              <w:spacing w:after="0"/>
              <w:rPr>
                <w:sz w:val="20"/>
                <w:szCs w:val="20"/>
                <w:color w:val="auto"/>
              </w:rPr>
            </w:pPr>
            <w:r>
              <w:rPr>
                <w:rFonts w:ascii="Arial" w:cs="Arial" w:eastAsia="Arial" w:hAnsi="Arial"/>
                <w:sz w:val="13"/>
                <w:szCs w:val="13"/>
                <w:color w:val="auto"/>
              </w:rPr>
              <w:t>(0.4)%</w:t>
            </w:r>
          </w:p>
        </w:tc>
        <w:tc>
          <w:tcPr>
            <w:tcW w:w="1020" w:type="dxa"/>
            <w:vAlign w:val="bottom"/>
          </w:tcPr>
          <w:p>
            <w:pPr>
              <w:jc w:val="right"/>
              <w:spacing w:after="0"/>
              <w:rPr>
                <w:sz w:val="20"/>
                <w:szCs w:val="20"/>
                <w:color w:val="auto"/>
              </w:rPr>
            </w:pPr>
            <w:r>
              <w:rPr>
                <w:rFonts w:ascii="Arial" w:cs="Arial" w:eastAsia="Arial" w:hAnsi="Arial"/>
                <w:sz w:val="13"/>
                <w:szCs w:val="13"/>
                <w:color w:val="auto"/>
              </w:rPr>
              <w:t>(0.5)%</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15.4 %</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Other</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operating</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expenses</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37.8</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(1.0)</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(36.8)</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Operating</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(loss) income</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(68.5)</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1.0</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26.0</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102.6</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9.4</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62.4</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36.4</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169.3</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Operating</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margin</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percent</w:t>
            </w:r>
          </w:p>
        </w:tc>
        <w:tc>
          <w:tcPr>
            <w:tcW w:w="700" w:type="dxa"/>
            <w:vAlign w:val="bottom"/>
          </w:tcPr>
          <w:p>
            <w:pPr>
              <w:jc w:val="right"/>
              <w:spacing w:after="0"/>
              <w:rPr>
                <w:sz w:val="20"/>
                <w:szCs w:val="20"/>
                <w:color w:val="auto"/>
              </w:rPr>
            </w:pPr>
            <w:r>
              <w:rPr>
                <w:rFonts w:ascii="Arial" w:cs="Arial" w:eastAsia="Arial" w:hAnsi="Arial"/>
                <w:sz w:val="13"/>
                <w:szCs w:val="13"/>
                <w:color w:val="auto"/>
              </w:rPr>
              <w:t>(5.9)%</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0.1 %</w:t>
            </w:r>
          </w:p>
        </w:tc>
        <w:tc>
          <w:tcPr>
            <w:tcW w:w="900" w:type="dxa"/>
            <w:vAlign w:val="bottom"/>
          </w:tcPr>
          <w:p>
            <w:pPr>
              <w:jc w:val="right"/>
              <w:spacing w:after="0"/>
              <w:rPr>
                <w:sz w:val="20"/>
                <w:szCs w:val="20"/>
                <w:color w:val="auto"/>
              </w:rPr>
            </w:pPr>
            <w:r>
              <w:rPr>
                <w:rFonts w:ascii="Arial" w:cs="Arial" w:eastAsia="Arial" w:hAnsi="Arial"/>
                <w:sz w:val="13"/>
                <w:szCs w:val="13"/>
                <w:color w:val="auto"/>
              </w:rPr>
              <w:t>2.3 %</w:t>
            </w:r>
          </w:p>
        </w:tc>
        <w:tc>
          <w:tcPr>
            <w:tcW w:w="820" w:type="dxa"/>
            <w:vAlign w:val="bottom"/>
          </w:tcPr>
          <w:p>
            <w:pPr>
              <w:jc w:val="right"/>
              <w:spacing w:after="0"/>
              <w:rPr>
                <w:sz w:val="20"/>
                <w:szCs w:val="20"/>
                <w:color w:val="auto"/>
              </w:rPr>
            </w:pPr>
            <w:r>
              <w:rPr>
                <w:rFonts w:ascii="Arial" w:cs="Arial" w:eastAsia="Arial" w:hAnsi="Arial"/>
                <w:sz w:val="13"/>
                <w:szCs w:val="13"/>
                <w:color w:val="auto"/>
              </w:rPr>
              <w:t>8.9 %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0.8 %</w:t>
            </w:r>
          </w:p>
        </w:tc>
        <w:tc>
          <w:tcPr>
            <w:tcW w:w="800" w:type="dxa"/>
            <w:vAlign w:val="bottom"/>
          </w:tcPr>
          <w:p>
            <w:pPr>
              <w:jc w:val="right"/>
              <w:spacing w:after="0"/>
              <w:rPr>
                <w:sz w:val="20"/>
                <w:szCs w:val="20"/>
                <w:color w:val="auto"/>
              </w:rPr>
            </w:pPr>
            <w:r>
              <w:rPr>
                <w:rFonts w:ascii="Arial" w:cs="Arial" w:eastAsia="Arial" w:hAnsi="Arial"/>
                <w:sz w:val="13"/>
                <w:szCs w:val="13"/>
                <w:color w:val="auto"/>
              </w:rPr>
              <w:t>5.4 %</w:t>
            </w:r>
          </w:p>
        </w:tc>
        <w:tc>
          <w:tcPr>
            <w:tcW w:w="1020" w:type="dxa"/>
            <w:vAlign w:val="bottom"/>
          </w:tcPr>
          <w:p>
            <w:pPr>
              <w:jc w:val="right"/>
              <w:spacing w:after="0"/>
              <w:rPr>
                <w:sz w:val="20"/>
                <w:szCs w:val="20"/>
                <w:color w:val="auto"/>
              </w:rPr>
            </w:pPr>
            <w:r>
              <w:rPr>
                <w:rFonts w:ascii="Arial" w:cs="Arial" w:eastAsia="Arial" w:hAnsi="Arial"/>
                <w:sz w:val="13"/>
                <w:szCs w:val="13"/>
                <w:color w:val="auto"/>
              </w:rPr>
              <w:t>3.2 %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14.7 %</w:t>
            </w: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17.5</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1.0</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26.0</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102.6</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(24.2)</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9.4</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60.9</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36.4</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(108.1)</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30.5</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152.0</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Net income</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as a percent</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60" w:type="dxa"/>
            <w:vAlign w:val="bottom"/>
          </w:tcPr>
          <w:p>
            <w:pPr>
              <w:ind w:left="20"/>
              <w:spacing w:after="0" w:line="126" w:lineRule="exact"/>
              <w:rPr>
                <w:sz w:val="20"/>
                <w:szCs w:val="20"/>
                <w:color w:val="auto"/>
              </w:rPr>
            </w:pPr>
            <w:r>
              <w:rPr>
                <w:rFonts w:ascii="Arial" w:cs="Arial" w:eastAsia="Arial" w:hAnsi="Arial"/>
                <w:sz w:val="13"/>
                <w:szCs w:val="13"/>
                <w:color w:val="auto"/>
              </w:rPr>
              <w:t>of net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1.5 %</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0.1 %</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2.3 %</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8.9 %</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0.8 %</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5.3 %</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3.2 %</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(9.4)%</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2.6 %</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13.2 %</w:t>
            </w: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60" w:type="dxa"/>
            <w:vAlign w:val="bottom"/>
          </w:tcPr>
          <w:p>
            <w:pPr>
              <w:ind w:left="20"/>
              <w:spacing w:after="0"/>
              <w:rPr>
                <w:sz w:val="20"/>
                <w:szCs w:val="20"/>
                <w:color w:val="auto"/>
              </w:rPr>
            </w:pPr>
            <w:r>
              <w:rPr>
                <w:rFonts w:ascii="Arial" w:cs="Arial" w:eastAsia="Arial" w:hAnsi="Arial"/>
                <w:sz w:val="13"/>
                <w:szCs w:val="13"/>
                <w:color w:val="auto"/>
              </w:rPr>
              <w:t>Diluted EPS</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$0.32</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$0.02</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$0.48</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$1.89</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($0.45)</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$0.17</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$1.12</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$0.67</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($1.99)</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$0.56</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year ended December 31, 2023, include:</w:t>
      </w:r>
    </w:p>
    <w:p>
      <w:pPr>
        <w:spacing w:after="0" w:line="2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3"/>
          <w:szCs w:val="13"/>
          <w:color w:val="auto"/>
        </w:rPr>
        <w:t>(A)</w:t>
        <w:tab/>
        <w:t>Merger and integration expenses related to the acquisition of ALung Technologies, Inc.</w:t>
      </w:r>
    </w:p>
    <w:p>
      <w:pPr>
        <w:spacing w:after="0" w:line="2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3"/>
          <w:szCs w:val="13"/>
          <w:color w:val="auto"/>
        </w:rPr>
        <w:t>(B)</w:t>
        <w:tab/>
        <w:t>Restructuring expenses related to organizational changes</w:t>
      </w:r>
    </w:p>
    <w:p>
      <w:pPr>
        <w:spacing w:after="0" w:line="2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3"/>
          <w:szCs w:val="13"/>
          <w:color w:val="auto"/>
        </w:rPr>
        <w:t>(C)</w:t>
        <w:tab/>
        <w:t>Includes depreciation and amortization associated with purchase price accounting</w:t>
      </w:r>
    </w:p>
    <w:p>
      <w:pPr>
        <w:spacing w:after="0" w:line="2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3"/>
          <w:szCs w:val="13"/>
          <w:color w:val="auto"/>
        </w:rPr>
        <w:t>(D)</w:t>
        <w:tab/>
        <w:t>ACS Inventory obsolescence adjustment and impairment of long-lived assets</w:t>
      </w:r>
    </w:p>
    <w:p>
      <w:pPr>
        <w:spacing w:after="0" w:line="2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3"/>
          <w:szCs w:val="13"/>
          <w:color w:val="auto"/>
        </w:rPr>
        <w:t>(E)</w:t>
        <w:tab/>
        <w:t>Mark-to-market adjustments for the exchangeable option feature and capped call derivatives</w:t>
      </w:r>
    </w:p>
    <w:p>
      <w:pPr>
        <w:spacing w:after="0" w:line="2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3"/>
          <w:szCs w:val="13"/>
          <w:color w:val="auto"/>
        </w:rPr>
        <w:t>(F)</w:t>
        <w:tab/>
        <w:t>Remeasurement of contingent consideration related to acquisitions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260" w:type="dxa"/>
            <w:vAlign w:val="bottom"/>
          </w:tcPr>
          <w:p>
            <w:pPr>
              <w:spacing w:after="0"/>
              <w:rPr>
                <w:sz w:val="20"/>
                <w:szCs w:val="20"/>
                <w:color w:val="auto"/>
              </w:rPr>
            </w:pPr>
            <w:r>
              <w:rPr>
                <w:rFonts w:ascii="Arial" w:cs="Arial" w:eastAsia="Arial" w:hAnsi="Arial"/>
                <w:sz w:val="13"/>
                <w:szCs w:val="13"/>
                <w:color w:val="auto"/>
              </w:rPr>
              <w:t>(G)</w:t>
            </w:r>
          </w:p>
        </w:tc>
        <w:tc>
          <w:tcPr>
            <w:tcW w:w="10740" w:type="dxa"/>
            <w:vAlign w:val="bottom"/>
            <w:gridSpan w:val="2"/>
          </w:tcPr>
          <w:p>
            <w:pPr>
              <w:ind w:left="60"/>
              <w:spacing w:after="0"/>
              <w:rPr>
                <w:sz w:val="20"/>
                <w:szCs w:val="20"/>
                <w:color w:val="auto"/>
              </w:rPr>
            </w:pPr>
            <w:r>
              <w:rPr>
                <w:rFonts w:ascii="Arial" w:cs="Arial" w:eastAsia="Arial" w:hAnsi="Arial"/>
                <w:sz w:val="13"/>
                <w:szCs w:val="13"/>
                <w:color w:val="auto"/>
              </w:rPr>
              <w:t>3T Heater-Cooler litigation provision, legal expenses primarily related to 3T Heater-Cooler defense, costs related to the SNIA matter, MDR costs and cybersecurity incident costs</w:t>
            </w:r>
          </w:p>
        </w:tc>
        <w:tc>
          <w:tcPr>
            <w:tcW w:w="0" w:type="dxa"/>
            <w:vAlign w:val="bottom"/>
          </w:tcPr>
          <w:p>
            <w:pPr>
              <w:spacing w:after="0"/>
              <w:rPr>
                <w:sz w:val="1"/>
                <w:szCs w:val="1"/>
                <w:color w:val="auto"/>
              </w:rPr>
            </w:pPr>
          </w:p>
        </w:tc>
      </w:tr>
      <w:tr>
        <w:trPr>
          <w:trHeight w:val="174"/>
        </w:trPr>
        <w:tc>
          <w:tcPr>
            <w:tcW w:w="260" w:type="dxa"/>
            <w:vAlign w:val="bottom"/>
          </w:tcPr>
          <w:p>
            <w:pPr>
              <w:spacing w:after="0"/>
              <w:rPr>
                <w:sz w:val="20"/>
                <w:szCs w:val="20"/>
                <w:color w:val="auto"/>
              </w:rPr>
            </w:pPr>
            <w:r>
              <w:rPr>
                <w:rFonts w:ascii="Arial" w:cs="Arial" w:eastAsia="Arial" w:hAnsi="Arial"/>
                <w:sz w:val="13"/>
                <w:szCs w:val="13"/>
                <w:color w:val="auto"/>
              </w:rPr>
              <w:t>(H)</w:t>
            </w:r>
          </w:p>
        </w:tc>
        <w:tc>
          <w:tcPr>
            <w:tcW w:w="4560" w:type="dxa"/>
            <w:vAlign w:val="bottom"/>
          </w:tcPr>
          <w:p>
            <w:pPr>
              <w:ind w:left="60"/>
              <w:spacing w:after="0"/>
              <w:rPr>
                <w:sz w:val="20"/>
                <w:szCs w:val="20"/>
                <w:color w:val="auto"/>
              </w:rPr>
            </w:pPr>
            <w:r>
              <w:rPr>
                <w:rFonts w:ascii="Arial" w:cs="Arial" w:eastAsia="Arial" w:hAnsi="Arial"/>
                <w:sz w:val="13"/>
                <w:szCs w:val="13"/>
                <w:color w:val="auto"/>
              </w:rPr>
              <w:t>Non-cash expenses associated with stock-based compensation costs</w:t>
            </w:r>
          </w:p>
        </w:tc>
        <w:tc>
          <w:tcPr>
            <w:tcW w:w="6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20"/>
                <w:szCs w:val="20"/>
                <w:color w:val="auto"/>
              </w:rPr>
            </w:pPr>
            <w:r>
              <w:rPr>
                <w:rFonts w:ascii="Arial" w:cs="Arial" w:eastAsia="Arial" w:hAnsi="Arial"/>
                <w:sz w:val="13"/>
                <w:szCs w:val="13"/>
                <w:color w:val="auto"/>
              </w:rPr>
              <w:t>(I)</w:t>
            </w:r>
          </w:p>
        </w:tc>
        <w:tc>
          <w:tcPr>
            <w:tcW w:w="10740" w:type="dxa"/>
            <w:vAlign w:val="bottom"/>
            <w:gridSpan w:val="2"/>
          </w:tcPr>
          <w:p>
            <w:pPr>
              <w:ind w:left="60"/>
              <w:spacing w:after="0"/>
              <w:rPr>
                <w:sz w:val="20"/>
                <w:szCs w:val="20"/>
                <w:color w:val="auto"/>
              </w:rPr>
            </w:pPr>
            <w:r>
              <w:rPr>
                <w:rFonts w:ascii="Arial" w:cs="Arial" w:eastAsia="Arial" w:hAnsi="Arial"/>
                <w:sz w:val="13"/>
                <w:szCs w:val="13"/>
                <w:color w:val="auto"/>
              </w:rPr>
              <w:t>The impact of valuation allowances, discrete tax items, R&amp;D tax credits, the tax impact of intercompany transactions and the tax impact on non-GAAP adjustments</w:t>
            </w:r>
          </w:p>
        </w:tc>
        <w:tc>
          <w:tcPr>
            <w:tcW w:w="0" w:type="dxa"/>
            <w:vAlign w:val="bottom"/>
          </w:tcPr>
          <w:p>
            <w:pPr>
              <w:spacing w:after="0"/>
              <w:rPr>
                <w:sz w:val="1"/>
                <w:szCs w:val="1"/>
                <w:color w:val="auto"/>
              </w:rPr>
            </w:pPr>
          </w:p>
        </w:tc>
      </w:tr>
      <w:tr>
        <w:trPr>
          <w:trHeight w:val="134"/>
        </w:trPr>
        <w:tc>
          <w:tcPr>
            <w:tcW w:w="260" w:type="dxa"/>
            <w:vAlign w:val="bottom"/>
          </w:tcPr>
          <w:p>
            <w:pPr>
              <w:spacing w:after="0" w:line="134" w:lineRule="exact"/>
              <w:rPr>
                <w:sz w:val="20"/>
                <w:szCs w:val="20"/>
                <w:color w:val="auto"/>
              </w:rPr>
            </w:pPr>
            <w:r>
              <w:rPr>
                <w:rFonts w:ascii="Arial" w:cs="Arial" w:eastAsia="Arial" w:hAnsi="Arial"/>
                <w:sz w:val="13"/>
                <w:szCs w:val="13"/>
                <w:color w:val="auto"/>
              </w:rPr>
              <w:t>(J)</w:t>
            </w:r>
          </w:p>
        </w:tc>
        <w:tc>
          <w:tcPr>
            <w:tcW w:w="10740" w:type="dxa"/>
            <w:vAlign w:val="bottom"/>
            <w:gridSpan w:val="2"/>
          </w:tcPr>
          <w:p>
            <w:pPr>
              <w:ind w:left="60"/>
              <w:spacing w:after="0" w:line="134" w:lineRule="exact"/>
              <w:rPr>
                <w:sz w:val="20"/>
                <w:szCs w:val="20"/>
                <w:color w:val="auto"/>
              </w:rPr>
            </w:pPr>
            <w:r>
              <w:rPr>
                <w:rFonts w:ascii="Arial" w:cs="Arial" w:eastAsia="Arial" w:hAnsi="Arial"/>
                <w:sz w:val="13"/>
                <w:szCs w:val="13"/>
                <w:color w:val="auto"/>
                <w:w w:val="95"/>
              </w:rPr>
              <w:t>Non-cash interest expense on the Cash Exchangeable Senior Notes and 2021 Revolving Credit Facility, interest expense on the Term Facilities and interest income on the collateral for the SNIA</w:t>
            </w:r>
          </w:p>
        </w:tc>
        <w:tc>
          <w:tcPr>
            <w:tcW w:w="0" w:type="dxa"/>
            <w:vAlign w:val="bottom"/>
          </w:tcPr>
          <w:p>
            <w:pPr>
              <w:spacing w:after="0"/>
              <w:rPr>
                <w:sz w:val="1"/>
                <w:szCs w:val="1"/>
                <w:color w:val="auto"/>
              </w:rPr>
            </w:pPr>
          </w:p>
        </w:tc>
      </w:tr>
      <w:tr>
        <w:trPr>
          <w:trHeight w:val="165"/>
        </w:trPr>
        <w:tc>
          <w:tcPr>
            <w:tcW w:w="260" w:type="dxa"/>
            <w:vAlign w:val="bottom"/>
          </w:tcPr>
          <w:p>
            <w:pPr>
              <w:spacing w:after="0"/>
              <w:rPr>
                <w:sz w:val="14"/>
                <w:szCs w:val="14"/>
                <w:color w:val="auto"/>
              </w:rPr>
            </w:pPr>
          </w:p>
        </w:tc>
        <w:tc>
          <w:tcPr>
            <w:tcW w:w="4560" w:type="dxa"/>
            <w:vAlign w:val="bottom"/>
          </w:tcPr>
          <w:p>
            <w:pPr>
              <w:ind w:left="60"/>
              <w:spacing w:after="0"/>
              <w:rPr>
                <w:sz w:val="20"/>
                <w:szCs w:val="20"/>
                <w:color w:val="auto"/>
              </w:rPr>
            </w:pPr>
            <w:r>
              <w:rPr>
                <w:rFonts w:ascii="Arial" w:cs="Arial" w:eastAsia="Arial" w:hAnsi="Arial"/>
                <w:sz w:val="13"/>
                <w:szCs w:val="13"/>
                <w:color w:val="auto"/>
              </w:rPr>
              <w:t>litigation guarantee and delayed draw on Term Facilities</w:t>
            </w:r>
          </w:p>
        </w:tc>
        <w:tc>
          <w:tcPr>
            <w:tcW w:w="6180" w:type="dxa"/>
            <w:vAlign w:val="bottom"/>
            <w:vMerge w:val="restart"/>
          </w:tcPr>
          <w:p>
            <w:pPr>
              <w:jc w:val="right"/>
              <w:ind w:right="5173"/>
              <w:spacing w:after="0"/>
              <w:rPr>
                <w:sz w:val="20"/>
                <w:szCs w:val="20"/>
                <w:color w:val="auto"/>
              </w:rPr>
            </w:pPr>
            <w:r>
              <w:rPr>
                <w:rFonts w:ascii="Arial" w:cs="Arial" w:eastAsia="Arial" w:hAnsi="Arial"/>
                <w:sz w:val="21"/>
                <w:szCs w:val="21"/>
                <w:color w:val="auto"/>
              </w:rPr>
              <w:t>17</w:t>
            </w:r>
          </w:p>
        </w:tc>
        <w:tc>
          <w:tcPr>
            <w:tcW w:w="0" w:type="dxa"/>
            <w:vAlign w:val="bottom"/>
          </w:tcPr>
          <w:p>
            <w:pPr>
              <w:spacing w:after="0"/>
              <w:rPr>
                <w:sz w:val="1"/>
                <w:szCs w:val="1"/>
                <w:color w:val="auto"/>
              </w:rPr>
            </w:pPr>
          </w:p>
        </w:tc>
      </w:tr>
      <w:tr>
        <w:trPr>
          <w:trHeight w:val="211"/>
        </w:trPr>
        <w:tc>
          <w:tcPr>
            <w:tcW w:w="4820" w:type="dxa"/>
            <w:vAlign w:val="bottom"/>
            <w:gridSpan w:val="2"/>
          </w:tcPr>
          <w:p>
            <w:pPr>
              <w:spacing w:after="0"/>
              <w:rPr>
                <w:sz w:val="20"/>
                <w:szCs w:val="20"/>
                <w:color w:val="auto"/>
              </w:rPr>
            </w:pPr>
            <w:r>
              <w:rPr>
                <w:rFonts w:ascii="Arial" w:cs="Arial" w:eastAsia="Arial" w:hAnsi="Arial"/>
                <w:sz w:val="13"/>
                <w:szCs w:val="13"/>
                <w:color w:val="auto"/>
              </w:rPr>
              <w:t>• Numbers may not add precisely due to rounding.</w:t>
            </w:r>
          </w:p>
        </w:tc>
        <w:tc>
          <w:tcPr>
            <w:tcW w:w="6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815" w:right="239" w:bottom="1440" w:gutter="0" w:footer="0" w:header="0"/>
        </w:sectPr>
      </w:pPr>
    </w:p>
    <w:bookmarkStart w:id="20" w:name="page21"/>
    <w:bookmarkEnd w:id="20"/>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920" w:type="dxa"/>
            <w:vAlign w:val="bottom"/>
            <w:tcBorders>
              <w:top w:val="single" w:sz="8" w:color="auto"/>
              <w:bottom w:val="single" w:sz="8" w:color="auto"/>
            </w:tcBorders>
            <w:gridSpan w:val="2"/>
          </w:tcPr>
          <w:p>
            <w:pPr>
              <w:jc w:val="right"/>
              <w:ind w:right="377"/>
              <w:spacing w:after="0"/>
              <w:rPr>
                <w:sz w:val="20"/>
                <w:szCs w:val="20"/>
                <w:color w:val="auto"/>
              </w:rPr>
            </w:pPr>
            <w:r>
              <w:rPr>
                <w:rFonts w:ascii="Arial" w:cs="Arial" w:eastAsia="Arial" w:hAnsi="Arial"/>
                <w:sz w:val="13"/>
                <w:szCs w:val="13"/>
                <w:b w:val="1"/>
                <w:bCs w:val="1"/>
                <w:color w:val="auto"/>
              </w:rPr>
              <w:t>Specified Items</w:t>
            </w:r>
          </w:p>
        </w:tc>
        <w:tc>
          <w:tcPr>
            <w:tcW w:w="8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980" w:type="dxa"/>
            <w:vAlign w:val="bottom"/>
          </w:tcPr>
          <w:p>
            <w:pPr>
              <w:spacing w:after="0"/>
              <w:rPr>
                <w:sz w:val="10"/>
                <w:szCs w:val="10"/>
                <w:color w:val="auto"/>
              </w:rPr>
            </w:pPr>
          </w:p>
        </w:tc>
        <w:tc>
          <w:tcPr>
            <w:tcW w:w="90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6"/>
              </w:rPr>
              <w:t>Depreciation</w:t>
            </w: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8"/>
              </w:rPr>
              <w:t>Certain</w:t>
            </w: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2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Certain</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Year Ended</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820" w:type="dxa"/>
            <w:vAlign w:val="bottom"/>
            <w:vMerge w:val="continue"/>
          </w:tcPr>
          <w:p>
            <w:pPr>
              <w:spacing w:after="0"/>
              <w:rPr>
                <w:sz w:val="11"/>
                <w:szCs w:val="11"/>
                <w:color w:val="auto"/>
              </w:rPr>
            </w:pPr>
          </w:p>
        </w:tc>
        <w:tc>
          <w:tcPr>
            <w:tcW w:w="9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6"/>
              </w:rPr>
              <w:t>Restructuring</w:t>
            </w:r>
          </w:p>
        </w:tc>
        <w:tc>
          <w:tcPr>
            <w:tcW w:w="90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94"/>
              </w:rPr>
              <w:t>and</w:t>
            </w:r>
          </w:p>
        </w:tc>
        <w:tc>
          <w:tcPr>
            <w:tcW w:w="82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Financing</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Legal &amp;</w:t>
            </w:r>
          </w:p>
        </w:tc>
        <w:tc>
          <w:tcPr>
            <w:tcW w:w="1020" w:type="dxa"/>
            <w:vAlign w:val="bottom"/>
            <w:vMerge w:val="continue"/>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88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21"/>
        </w:trPr>
        <w:tc>
          <w:tcPr>
            <w:tcW w:w="8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Integration</w:t>
            </w:r>
          </w:p>
        </w:tc>
        <w:tc>
          <w:tcPr>
            <w:tcW w:w="98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Amortization</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9"/>
              </w:rPr>
              <w:t>Impairment</w:t>
            </w:r>
          </w:p>
        </w:tc>
        <w:tc>
          <w:tcPr>
            <w:tcW w:w="9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Regulatory</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Compensation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December</w:t>
            </w:r>
          </w:p>
        </w:tc>
        <w:tc>
          <w:tcPr>
            <w:tcW w:w="7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Financial</w:t>
            </w:r>
          </w:p>
        </w:tc>
        <w:tc>
          <w:tcPr>
            <w:tcW w:w="8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Expenses</w:t>
            </w:r>
          </w:p>
        </w:tc>
        <w:tc>
          <w:tcPr>
            <w:tcW w:w="980" w:type="dxa"/>
            <w:vAlign w:val="bottom"/>
          </w:tcPr>
          <w:p>
            <w:pPr>
              <w:jc w:val="center"/>
              <w:ind w:right="37"/>
              <w:spacing w:after="0" w:line="134" w:lineRule="exact"/>
              <w:rPr>
                <w:sz w:val="20"/>
                <w:szCs w:val="20"/>
                <w:color w:val="auto"/>
              </w:rPr>
            </w:pPr>
            <w:r>
              <w:rPr>
                <w:rFonts w:ascii="Arial" w:cs="Arial" w:eastAsia="Arial" w:hAnsi="Arial"/>
                <w:sz w:val="13"/>
                <w:szCs w:val="13"/>
                <w:b w:val="1"/>
                <w:bCs w:val="1"/>
                <w:color w:val="auto"/>
                <w:w w:val="98"/>
              </w:rPr>
              <w:t>Expenses</w:t>
            </w:r>
          </w:p>
        </w:tc>
        <w:tc>
          <w:tcPr>
            <w:tcW w:w="900" w:type="dxa"/>
            <w:vAlign w:val="bottom"/>
          </w:tcPr>
          <w:p>
            <w:pPr>
              <w:jc w:val="center"/>
              <w:ind w:right="37"/>
              <w:spacing w:after="0" w:line="134" w:lineRule="exact"/>
              <w:rPr>
                <w:sz w:val="20"/>
                <w:szCs w:val="20"/>
                <w:color w:val="auto"/>
              </w:rPr>
            </w:pPr>
            <w:r>
              <w:rPr>
                <w:rFonts w:ascii="Arial" w:cs="Arial" w:eastAsia="Arial" w:hAnsi="Arial"/>
                <w:sz w:val="13"/>
                <w:szCs w:val="13"/>
                <w:b w:val="1"/>
                <w:bCs w:val="1"/>
                <w:color w:val="auto"/>
                <w:w w:val="98"/>
              </w:rPr>
              <w:t>Expenses</w:t>
            </w:r>
          </w:p>
        </w:tc>
        <w:tc>
          <w:tcPr>
            <w:tcW w:w="820" w:type="dxa"/>
            <w:vAlign w:val="bottom"/>
            <w:vMerge w:val="continue"/>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Transactions</w:t>
            </w:r>
          </w:p>
        </w:tc>
        <w:tc>
          <w:tcPr>
            <w:tcW w:w="10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Consideration</w:t>
            </w: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Costs</w:t>
            </w:r>
          </w:p>
        </w:tc>
        <w:tc>
          <w:tcPr>
            <w:tcW w:w="102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94"/>
              </w:rPr>
              <w:t>Costs</w:t>
            </w:r>
          </w:p>
        </w:tc>
        <w:tc>
          <w:tcPr>
            <w:tcW w:w="92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96"/>
              </w:rPr>
              <w:t>Adjustments</w:t>
            </w:r>
          </w:p>
        </w:tc>
        <w:tc>
          <w:tcPr>
            <w:tcW w:w="8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Adjustments</w:t>
            </w:r>
          </w:p>
        </w:tc>
        <w:tc>
          <w:tcPr>
            <w:tcW w:w="7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Financial</w:t>
            </w:r>
          </w:p>
        </w:tc>
        <w:tc>
          <w:tcPr>
            <w:tcW w:w="0" w:type="dxa"/>
            <w:vAlign w:val="bottom"/>
          </w:tcPr>
          <w:p>
            <w:pPr>
              <w:spacing w:after="0"/>
              <w:rPr>
                <w:sz w:val="1"/>
                <w:szCs w:val="1"/>
                <w:color w:val="auto"/>
              </w:rPr>
            </w:pPr>
          </w:p>
        </w:tc>
      </w:tr>
      <w:tr>
        <w:trPr>
          <w:trHeight w:val="173"/>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31, 2022</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w:t>
            </w: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(J)</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60"/>
        </w:trPr>
        <w:tc>
          <w:tcPr>
            <w:tcW w:w="86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$314.6</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($14.5)</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$10.5</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($1.5)</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$309.1</w:t>
            </w: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Gross profit</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percent</w:t>
            </w:r>
          </w:p>
        </w:tc>
        <w:tc>
          <w:tcPr>
            <w:tcW w:w="700" w:type="dxa"/>
            <w:vAlign w:val="bottom"/>
          </w:tcPr>
          <w:p>
            <w:pPr>
              <w:jc w:val="right"/>
              <w:spacing w:after="0"/>
              <w:rPr>
                <w:sz w:val="20"/>
                <w:szCs w:val="20"/>
                <w:color w:val="auto"/>
              </w:rPr>
            </w:pPr>
            <w:r>
              <w:rPr>
                <w:rFonts w:ascii="Arial" w:cs="Arial" w:eastAsia="Arial" w:hAnsi="Arial"/>
                <w:sz w:val="13"/>
                <w:szCs w:val="13"/>
                <w:color w:val="auto"/>
              </w:rPr>
              <w:t>69.2 %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1.4 %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(1.0)%</w:t>
            </w:r>
          </w:p>
        </w:tc>
        <w:tc>
          <w:tcPr>
            <w:tcW w:w="800" w:type="dxa"/>
            <w:vAlign w:val="bottom"/>
          </w:tcPr>
          <w:p>
            <w:pPr>
              <w:jc w:val="right"/>
              <w:spacing w:after="0"/>
              <w:rPr>
                <w:sz w:val="20"/>
                <w:szCs w:val="20"/>
                <w:color w:val="auto"/>
              </w:rPr>
            </w:pPr>
            <w:r>
              <w:rPr>
                <w:rFonts w:ascii="Arial" w:cs="Arial" w:eastAsia="Arial" w:hAnsi="Arial"/>
                <w:sz w:val="13"/>
                <w:szCs w:val="13"/>
                <w:color w:val="auto"/>
              </w:rPr>
              <w:t>— %</w:t>
            </w:r>
          </w:p>
        </w:tc>
        <w:tc>
          <w:tcPr>
            <w:tcW w:w="1020" w:type="dxa"/>
            <w:vAlign w:val="bottom"/>
          </w:tcPr>
          <w:p>
            <w:pPr>
              <w:jc w:val="right"/>
              <w:spacing w:after="0"/>
              <w:rPr>
                <w:sz w:val="20"/>
                <w:szCs w:val="20"/>
                <w:color w:val="auto"/>
              </w:rPr>
            </w:pPr>
            <w:r>
              <w:rPr>
                <w:rFonts w:ascii="Arial" w:cs="Arial" w:eastAsia="Arial" w:hAnsi="Arial"/>
                <w:sz w:val="13"/>
                <w:szCs w:val="13"/>
                <w:color w:val="auto"/>
              </w:rPr>
              <w:t>0.1 %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69.8 %</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Selling,</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general and</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administrative</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469.2</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(11.3)</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(20.9)</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(35.6)</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401.4</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Selling,</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general and</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60" w:type="dxa"/>
            <w:vAlign w:val="bottom"/>
          </w:tcPr>
          <w:p>
            <w:pPr>
              <w:ind w:left="20"/>
              <w:spacing w:after="0" w:line="126" w:lineRule="exact"/>
              <w:rPr>
                <w:sz w:val="20"/>
                <w:szCs w:val="20"/>
                <w:color w:val="auto"/>
              </w:rPr>
            </w:pPr>
            <w:r>
              <w:rPr>
                <w:rFonts w:ascii="Arial" w:cs="Arial" w:eastAsia="Arial" w:hAnsi="Arial"/>
                <w:sz w:val="13"/>
                <w:szCs w:val="13"/>
                <w:color w:val="auto"/>
              </w:rPr>
              <w:t>administrative</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60" w:type="dxa"/>
            <w:vAlign w:val="bottom"/>
          </w:tcPr>
          <w:p>
            <w:pPr>
              <w:ind w:left="20"/>
              <w:spacing w:after="0" w:line="121" w:lineRule="exact"/>
              <w:rPr>
                <w:sz w:val="20"/>
                <w:szCs w:val="20"/>
                <w:color w:val="auto"/>
              </w:rPr>
            </w:pPr>
            <w:r>
              <w:rPr>
                <w:rFonts w:ascii="Arial" w:cs="Arial" w:eastAsia="Arial" w:hAnsi="Arial"/>
                <w:sz w:val="13"/>
                <w:szCs w:val="13"/>
                <w:color w:val="auto"/>
              </w:rPr>
              <w:t>as a percent</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of net</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tcPr>
          <w:p>
            <w:pPr>
              <w:jc w:val="right"/>
              <w:spacing w:after="0"/>
              <w:rPr>
                <w:sz w:val="20"/>
                <w:szCs w:val="20"/>
                <w:color w:val="auto"/>
              </w:rPr>
            </w:pPr>
            <w:r>
              <w:rPr>
                <w:rFonts w:ascii="Arial" w:cs="Arial" w:eastAsia="Arial" w:hAnsi="Arial"/>
                <w:sz w:val="13"/>
                <w:szCs w:val="13"/>
                <w:color w:val="auto"/>
              </w:rPr>
              <w:t>45.9 %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(1.1)%</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800" w:type="dxa"/>
            <w:vAlign w:val="bottom"/>
          </w:tcPr>
          <w:p>
            <w:pPr>
              <w:jc w:val="right"/>
              <w:spacing w:after="0"/>
              <w:rPr>
                <w:sz w:val="20"/>
                <w:szCs w:val="20"/>
                <w:color w:val="auto"/>
              </w:rPr>
            </w:pPr>
            <w:r>
              <w:rPr>
                <w:rFonts w:ascii="Arial" w:cs="Arial" w:eastAsia="Arial" w:hAnsi="Arial"/>
                <w:sz w:val="13"/>
                <w:szCs w:val="13"/>
                <w:color w:val="auto"/>
              </w:rPr>
              <w:t>(2.0)%</w:t>
            </w:r>
          </w:p>
        </w:tc>
        <w:tc>
          <w:tcPr>
            <w:tcW w:w="1020" w:type="dxa"/>
            <w:vAlign w:val="bottom"/>
          </w:tcPr>
          <w:p>
            <w:pPr>
              <w:jc w:val="right"/>
              <w:spacing w:after="0"/>
              <w:rPr>
                <w:sz w:val="20"/>
                <w:szCs w:val="20"/>
                <w:color w:val="auto"/>
              </w:rPr>
            </w:pPr>
            <w:r>
              <w:rPr>
                <w:rFonts w:ascii="Arial" w:cs="Arial" w:eastAsia="Arial" w:hAnsi="Arial"/>
                <w:sz w:val="13"/>
                <w:szCs w:val="13"/>
                <w:color w:val="auto"/>
              </w:rPr>
              <w:t>(3.5)%</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39.3 %</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development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155.8</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0.2</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19.4</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(1.5)</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(7.7)</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166.2</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development</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60" w:type="dxa"/>
            <w:vAlign w:val="bottom"/>
          </w:tcPr>
          <w:p>
            <w:pPr>
              <w:ind w:left="20"/>
              <w:spacing w:after="0" w:line="126" w:lineRule="exact"/>
              <w:rPr>
                <w:sz w:val="20"/>
                <w:szCs w:val="20"/>
                <w:color w:val="auto"/>
              </w:rPr>
            </w:pPr>
            <w:r>
              <w:rPr>
                <w:rFonts w:ascii="Arial" w:cs="Arial" w:eastAsia="Arial" w:hAnsi="Arial"/>
                <w:sz w:val="13"/>
                <w:szCs w:val="13"/>
                <w:color w:val="auto"/>
              </w:rPr>
              <w:t>as a percent</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60" w:type="dxa"/>
            <w:vAlign w:val="bottom"/>
          </w:tcPr>
          <w:p>
            <w:pPr>
              <w:ind w:left="20"/>
              <w:spacing w:after="0" w:line="121" w:lineRule="exact"/>
              <w:rPr>
                <w:sz w:val="20"/>
                <w:szCs w:val="20"/>
                <w:color w:val="auto"/>
              </w:rPr>
            </w:pPr>
            <w:r>
              <w:rPr>
                <w:rFonts w:ascii="Arial" w:cs="Arial" w:eastAsia="Arial" w:hAnsi="Arial"/>
                <w:sz w:val="13"/>
                <w:szCs w:val="13"/>
                <w:color w:val="auto"/>
              </w:rPr>
              <w:t>of net</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tcPr>
          <w:p>
            <w:pPr>
              <w:jc w:val="right"/>
              <w:spacing w:after="0"/>
              <w:rPr>
                <w:sz w:val="20"/>
                <w:szCs w:val="20"/>
                <w:color w:val="auto"/>
              </w:rPr>
            </w:pPr>
            <w:r>
              <w:rPr>
                <w:rFonts w:ascii="Arial" w:cs="Arial" w:eastAsia="Arial" w:hAnsi="Arial"/>
                <w:sz w:val="13"/>
                <w:szCs w:val="13"/>
                <w:color w:val="auto"/>
              </w:rPr>
              <w:t>15.2 %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1.9 %</w:t>
            </w:r>
          </w:p>
        </w:tc>
        <w:tc>
          <w:tcPr>
            <w:tcW w:w="800" w:type="dxa"/>
            <w:vAlign w:val="bottom"/>
          </w:tcPr>
          <w:p>
            <w:pPr>
              <w:jc w:val="right"/>
              <w:spacing w:after="0"/>
              <w:rPr>
                <w:sz w:val="20"/>
                <w:szCs w:val="20"/>
                <w:color w:val="auto"/>
              </w:rPr>
            </w:pPr>
            <w:r>
              <w:rPr>
                <w:rFonts w:ascii="Arial" w:cs="Arial" w:eastAsia="Arial" w:hAnsi="Arial"/>
                <w:sz w:val="13"/>
                <w:szCs w:val="13"/>
                <w:color w:val="auto"/>
              </w:rPr>
              <w:t>(0.1)%</w:t>
            </w:r>
          </w:p>
        </w:tc>
        <w:tc>
          <w:tcPr>
            <w:tcW w:w="1020" w:type="dxa"/>
            <w:vAlign w:val="bottom"/>
          </w:tcPr>
          <w:p>
            <w:pPr>
              <w:jc w:val="right"/>
              <w:spacing w:after="0"/>
              <w:rPr>
                <w:sz w:val="20"/>
                <w:szCs w:val="20"/>
                <w:color w:val="auto"/>
              </w:rPr>
            </w:pPr>
            <w:r>
              <w:rPr>
                <w:rFonts w:ascii="Arial" w:cs="Arial" w:eastAsia="Arial" w:hAnsi="Arial"/>
                <w:sz w:val="13"/>
                <w:szCs w:val="13"/>
                <w:color w:val="auto"/>
              </w:rPr>
              <w:t>(0.8)%</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16.3 %</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Other</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operating</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expenses</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29.5</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(1.1)</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(6.6)</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(21.8)</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Operating</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(loss) income</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(76.8)</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1.1</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6.6</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25.6</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129.4</w:t>
            </w:r>
          </w:p>
        </w:tc>
        <w:tc>
          <w:tcPr>
            <w:tcW w:w="92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(29.9)</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44.2</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44.8</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145.1</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Operating</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margin</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percent</w:t>
            </w:r>
          </w:p>
        </w:tc>
        <w:tc>
          <w:tcPr>
            <w:tcW w:w="700" w:type="dxa"/>
            <w:vAlign w:val="bottom"/>
          </w:tcPr>
          <w:p>
            <w:pPr>
              <w:jc w:val="right"/>
              <w:spacing w:after="0"/>
              <w:rPr>
                <w:sz w:val="20"/>
                <w:szCs w:val="20"/>
                <w:color w:val="auto"/>
              </w:rPr>
            </w:pPr>
            <w:r>
              <w:rPr>
                <w:rFonts w:ascii="Arial" w:cs="Arial" w:eastAsia="Arial" w:hAnsi="Arial"/>
                <w:sz w:val="13"/>
                <w:szCs w:val="13"/>
                <w:color w:val="auto"/>
              </w:rPr>
              <w:t>(7.5)%</w:t>
            </w:r>
          </w:p>
        </w:tc>
        <w:tc>
          <w:tcPr>
            <w:tcW w:w="820" w:type="dxa"/>
            <w:vAlign w:val="bottom"/>
          </w:tcPr>
          <w:p>
            <w:pPr>
              <w:jc w:val="right"/>
              <w:spacing w:after="0"/>
              <w:rPr>
                <w:sz w:val="20"/>
                <w:szCs w:val="20"/>
                <w:color w:val="auto"/>
              </w:rPr>
            </w:pPr>
            <w:r>
              <w:rPr>
                <w:rFonts w:ascii="Arial" w:cs="Arial" w:eastAsia="Arial" w:hAnsi="Arial"/>
                <w:sz w:val="13"/>
                <w:szCs w:val="13"/>
                <w:color w:val="auto"/>
              </w:rPr>
              <w:t>0.1 %</w:t>
            </w:r>
          </w:p>
        </w:tc>
        <w:tc>
          <w:tcPr>
            <w:tcW w:w="980" w:type="dxa"/>
            <w:vAlign w:val="bottom"/>
          </w:tcPr>
          <w:p>
            <w:pPr>
              <w:jc w:val="right"/>
              <w:spacing w:after="0"/>
              <w:rPr>
                <w:sz w:val="20"/>
                <w:szCs w:val="20"/>
                <w:color w:val="auto"/>
              </w:rPr>
            </w:pPr>
            <w:r>
              <w:rPr>
                <w:rFonts w:ascii="Arial" w:cs="Arial" w:eastAsia="Arial" w:hAnsi="Arial"/>
                <w:sz w:val="13"/>
                <w:szCs w:val="13"/>
                <w:color w:val="auto"/>
              </w:rPr>
              <w:t>0.6 %</w:t>
            </w:r>
          </w:p>
        </w:tc>
        <w:tc>
          <w:tcPr>
            <w:tcW w:w="900" w:type="dxa"/>
            <w:vAlign w:val="bottom"/>
          </w:tcPr>
          <w:p>
            <w:pPr>
              <w:jc w:val="right"/>
              <w:spacing w:after="0"/>
              <w:rPr>
                <w:sz w:val="20"/>
                <w:szCs w:val="20"/>
                <w:color w:val="auto"/>
              </w:rPr>
            </w:pPr>
            <w:r>
              <w:rPr>
                <w:rFonts w:ascii="Arial" w:cs="Arial" w:eastAsia="Arial" w:hAnsi="Arial"/>
                <w:sz w:val="13"/>
                <w:szCs w:val="13"/>
                <w:color w:val="auto"/>
              </w:rPr>
              <w:t>2.5 %</w:t>
            </w:r>
          </w:p>
        </w:tc>
        <w:tc>
          <w:tcPr>
            <w:tcW w:w="820" w:type="dxa"/>
            <w:vAlign w:val="bottom"/>
          </w:tcPr>
          <w:p>
            <w:pPr>
              <w:jc w:val="right"/>
              <w:spacing w:after="0"/>
              <w:rPr>
                <w:sz w:val="20"/>
                <w:szCs w:val="20"/>
                <w:color w:val="auto"/>
              </w:rPr>
            </w:pPr>
            <w:r>
              <w:rPr>
                <w:rFonts w:ascii="Arial" w:cs="Arial" w:eastAsia="Arial" w:hAnsi="Arial"/>
                <w:sz w:val="13"/>
                <w:szCs w:val="13"/>
                <w:color w:val="auto"/>
              </w:rPr>
              <w:t>12.7 %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(2.9)%</w:t>
            </w:r>
          </w:p>
        </w:tc>
        <w:tc>
          <w:tcPr>
            <w:tcW w:w="800" w:type="dxa"/>
            <w:vAlign w:val="bottom"/>
          </w:tcPr>
          <w:p>
            <w:pPr>
              <w:jc w:val="right"/>
              <w:spacing w:after="0"/>
              <w:rPr>
                <w:sz w:val="20"/>
                <w:szCs w:val="20"/>
                <w:color w:val="auto"/>
              </w:rPr>
            </w:pPr>
            <w:r>
              <w:rPr>
                <w:rFonts w:ascii="Arial" w:cs="Arial" w:eastAsia="Arial" w:hAnsi="Arial"/>
                <w:sz w:val="13"/>
                <w:szCs w:val="13"/>
                <w:color w:val="auto"/>
              </w:rPr>
              <w:t>4.3 %</w:t>
            </w:r>
          </w:p>
        </w:tc>
        <w:tc>
          <w:tcPr>
            <w:tcW w:w="1020" w:type="dxa"/>
            <w:vAlign w:val="bottom"/>
          </w:tcPr>
          <w:p>
            <w:pPr>
              <w:jc w:val="right"/>
              <w:spacing w:after="0"/>
              <w:rPr>
                <w:sz w:val="20"/>
                <w:szCs w:val="20"/>
                <w:color w:val="auto"/>
              </w:rPr>
            </w:pPr>
            <w:r>
              <w:rPr>
                <w:rFonts w:ascii="Arial" w:cs="Arial" w:eastAsia="Arial" w:hAnsi="Arial"/>
                <w:sz w:val="13"/>
                <w:szCs w:val="13"/>
                <w:color w:val="auto"/>
              </w:rPr>
              <w:t>4.4 %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14.2 %</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Net (loss)</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income</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(86.2)</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1.1</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6.6</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25.6</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129.4</w:t>
            </w:r>
          </w:p>
        </w:tc>
        <w:tc>
          <w:tcPr>
            <w:tcW w:w="920" w:type="dxa"/>
            <w:vAlign w:val="bottom"/>
          </w:tcPr>
          <w:p>
            <w:pPr>
              <w:jc w:val="right"/>
              <w:ind w:right="95"/>
              <w:spacing w:after="0"/>
              <w:rPr>
                <w:sz w:val="20"/>
                <w:szCs w:val="20"/>
                <w:color w:val="auto"/>
              </w:rPr>
            </w:pPr>
            <w:r>
              <w:rPr>
                <w:rFonts w:ascii="Arial" w:cs="Arial" w:eastAsia="Arial" w:hAnsi="Arial"/>
                <w:sz w:val="13"/>
                <w:szCs w:val="13"/>
                <w:color w:val="auto"/>
              </w:rPr>
              <w:t>(44.1)</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(29.9)</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44.2</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44.8</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5.9</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31.7</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129.2</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Net (loss)</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income as a</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60" w:type="dxa"/>
            <w:vAlign w:val="bottom"/>
          </w:tcPr>
          <w:p>
            <w:pPr>
              <w:ind w:left="20"/>
              <w:spacing w:after="0" w:line="126" w:lineRule="exact"/>
              <w:rPr>
                <w:sz w:val="20"/>
                <w:szCs w:val="20"/>
                <w:color w:val="auto"/>
              </w:rPr>
            </w:pPr>
            <w:r>
              <w:rPr>
                <w:rFonts w:ascii="Arial" w:cs="Arial" w:eastAsia="Arial" w:hAnsi="Arial"/>
                <w:sz w:val="13"/>
                <w:szCs w:val="13"/>
                <w:color w:val="auto"/>
              </w:rPr>
              <w:t>percent of net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(8.4)%</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0.1 %</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0.6 %</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2.5 %</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12.7 %</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4.3 %</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4.4 %</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0.6 %</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3.1 %</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12.6 %</w:t>
            </w: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60" w:type="dxa"/>
            <w:vAlign w:val="bottom"/>
          </w:tcPr>
          <w:p>
            <w:pPr>
              <w:ind w:left="20"/>
              <w:spacing w:after="0"/>
              <w:rPr>
                <w:sz w:val="20"/>
                <w:szCs w:val="20"/>
                <w:color w:val="auto"/>
              </w:rPr>
            </w:pPr>
            <w:r>
              <w:rPr>
                <w:rFonts w:ascii="Arial" w:cs="Arial" w:eastAsia="Arial" w:hAnsi="Arial"/>
                <w:sz w:val="13"/>
                <w:szCs w:val="13"/>
                <w:color w:val="auto"/>
              </w:rPr>
              <w:t>Diluted EPS</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($1.61)</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$0.02</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$0.12</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$0.47</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$2.40</w:t>
            </w:r>
          </w:p>
        </w:tc>
        <w:tc>
          <w:tcPr>
            <w:tcW w:w="920" w:type="dxa"/>
            <w:vAlign w:val="bottom"/>
          </w:tcPr>
          <w:p>
            <w:pPr>
              <w:jc w:val="right"/>
              <w:ind w:right="95"/>
              <w:spacing w:after="0"/>
              <w:rPr>
                <w:sz w:val="20"/>
                <w:szCs w:val="20"/>
                <w:color w:val="auto"/>
              </w:rPr>
            </w:pPr>
            <w:r>
              <w:rPr>
                <w:rFonts w:ascii="Arial" w:cs="Arial" w:eastAsia="Arial" w:hAnsi="Arial"/>
                <w:sz w:val="13"/>
                <w:szCs w:val="13"/>
                <w:color w:val="auto"/>
              </w:rPr>
              <w:t>($0.82)</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($0.55)</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$0.82</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$0.83</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$0.11</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$0.59</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301"/>
        </w:trPr>
        <w:tc>
          <w:tcPr>
            <w:tcW w:w="4260" w:type="dxa"/>
            <w:vAlign w:val="bottom"/>
            <w:gridSpan w:val="5"/>
          </w:tcPr>
          <w:p>
            <w:pPr>
              <w:ind w:left="20"/>
              <w:spacing w:after="0"/>
              <w:rPr>
                <w:sz w:val="20"/>
                <w:szCs w:val="20"/>
                <w:color w:val="auto"/>
              </w:rPr>
            </w:pPr>
            <w:r>
              <w:rPr>
                <w:rFonts w:ascii="Arial" w:cs="Arial" w:eastAsia="Arial" w:hAnsi="Arial"/>
                <w:sz w:val="13"/>
                <w:szCs w:val="13"/>
                <w:b w:val="1"/>
                <w:bCs w:val="1"/>
                <w:color w:val="auto"/>
              </w:rPr>
              <w:t>GAAP results for the year ended December 31, 2022, include:</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000" w:type="dxa"/>
            <w:vAlign w:val="bottom"/>
            <w:gridSpan w:val="7"/>
          </w:tcPr>
          <w:p>
            <w:pPr>
              <w:ind w:left="20"/>
              <w:spacing w:after="0"/>
              <w:rPr>
                <w:sz w:val="20"/>
                <w:szCs w:val="20"/>
                <w:color w:val="auto"/>
              </w:rPr>
            </w:pPr>
            <w:r>
              <w:rPr>
                <w:rFonts w:ascii="Arial" w:cs="Arial" w:eastAsia="Arial" w:hAnsi="Arial"/>
                <w:sz w:val="13"/>
                <w:szCs w:val="13"/>
                <w:color w:val="auto"/>
              </w:rPr>
              <w:t>(A)   Merger and integration expenses related to the acquisition of ALung Technologies, Inc.</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260" w:type="dxa"/>
            <w:vAlign w:val="bottom"/>
            <w:gridSpan w:val="5"/>
          </w:tcPr>
          <w:p>
            <w:pPr>
              <w:ind w:left="20"/>
              <w:spacing w:after="0"/>
              <w:rPr>
                <w:sz w:val="20"/>
                <w:szCs w:val="20"/>
                <w:color w:val="auto"/>
              </w:rPr>
            </w:pPr>
            <w:r>
              <w:rPr>
                <w:rFonts w:ascii="Arial" w:cs="Arial" w:eastAsia="Arial" w:hAnsi="Arial"/>
                <w:sz w:val="13"/>
                <w:szCs w:val="13"/>
                <w:color w:val="auto"/>
              </w:rPr>
              <w:t>(B)   Restructuring expenses related to organizational changes</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gridSpan w:val="6"/>
          </w:tcPr>
          <w:p>
            <w:pPr>
              <w:ind w:left="20"/>
              <w:spacing w:after="0"/>
              <w:rPr>
                <w:sz w:val="20"/>
                <w:szCs w:val="20"/>
                <w:color w:val="auto"/>
              </w:rPr>
            </w:pPr>
            <w:r>
              <w:rPr>
                <w:rFonts w:ascii="Arial" w:cs="Arial" w:eastAsia="Arial" w:hAnsi="Arial"/>
                <w:sz w:val="13"/>
                <w:szCs w:val="13"/>
                <w:color w:val="auto"/>
              </w:rPr>
              <w:t>(C)  Includes depreciation and amortization associated with purchase price accounting</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60" w:type="dxa"/>
            <w:vAlign w:val="bottom"/>
            <w:gridSpan w:val="5"/>
          </w:tcPr>
          <w:p>
            <w:pPr>
              <w:ind w:left="20"/>
              <w:spacing w:after="0"/>
              <w:rPr>
                <w:sz w:val="20"/>
                <w:szCs w:val="20"/>
                <w:color w:val="auto"/>
              </w:rPr>
            </w:pPr>
            <w:r>
              <w:rPr>
                <w:rFonts w:ascii="Arial" w:cs="Arial" w:eastAsia="Arial" w:hAnsi="Arial"/>
                <w:sz w:val="13"/>
                <w:szCs w:val="13"/>
                <w:color w:val="auto"/>
              </w:rPr>
              <w:t>(D)  Goodwill impairment associated with the Company's ACS business</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000" w:type="dxa"/>
            <w:vAlign w:val="bottom"/>
            <w:gridSpan w:val="7"/>
          </w:tcPr>
          <w:p>
            <w:pPr>
              <w:ind w:left="20"/>
              <w:spacing w:after="0"/>
              <w:rPr>
                <w:sz w:val="20"/>
                <w:szCs w:val="20"/>
                <w:color w:val="auto"/>
              </w:rPr>
            </w:pPr>
            <w:r>
              <w:rPr>
                <w:rFonts w:ascii="Arial" w:cs="Arial" w:eastAsia="Arial" w:hAnsi="Arial"/>
                <w:sz w:val="13"/>
                <w:szCs w:val="13"/>
                <w:color w:val="auto"/>
              </w:rPr>
              <w:t>(E)   Mark-to-market adjustments for the exchangeable option feature and capped call derivatives</w:t>
            </w: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60" w:type="dxa"/>
            <w:vAlign w:val="bottom"/>
            <w:gridSpan w:val="5"/>
          </w:tcPr>
          <w:p>
            <w:pPr>
              <w:ind w:left="20"/>
              <w:spacing w:after="0"/>
              <w:rPr>
                <w:sz w:val="20"/>
                <w:szCs w:val="20"/>
                <w:color w:val="auto"/>
              </w:rPr>
            </w:pPr>
            <w:r>
              <w:rPr>
                <w:rFonts w:ascii="Arial" w:cs="Arial" w:eastAsia="Arial" w:hAnsi="Arial"/>
                <w:sz w:val="13"/>
                <w:szCs w:val="13"/>
                <w:color w:val="auto"/>
              </w:rPr>
              <w:t>(F)   Remeasurement of contingent consideration related to acquisitions</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20" w:type="dxa"/>
            <w:vAlign w:val="bottom"/>
            <w:gridSpan w:val="10"/>
          </w:tcPr>
          <w:p>
            <w:pPr>
              <w:ind w:left="20"/>
              <w:spacing w:after="0"/>
              <w:rPr>
                <w:sz w:val="20"/>
                <w:szCs w:val="20"/>
                <w:color w:val="auto"/>
              </w:rPr>
            </w:pPr>
            <w:r>
              <w:rPr>
                <w:rFonts w:ascii="Arial" w:cs="Arial" w:eastAsia="Arial" w:hAnsi="Arial"/>
                <w:sz w:val="13"/>
                <w:szCs w:val="13"/>
                <w:color w:val="auto"/>
              </w:rPr>
              <w:t>(G)  3T Heater-Cooler litigation provision, legal expenses primarily related to 3T Heater-Cooler defense, costs related to the SNIA matter and MDR costs</w:t>
            </w: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60" w:type="dxa"/>
            <w:vAlign w:val="bottom"/>
            <w:gridSpan w:val="5"/>
          </w:tcPr>
          <w:p>
            <w:pPr>
              <w:ind w:left="20"/>
              <w:spacing w:after="0"/>
              <w:rPr>
                <w:sz w:val="20"/>
                <w:szCs w:val="20"/>
                <w:color w:val="auto"/>
              </w:rPr>
            </w:pPr>
            <w:r>
              <w:rPr>
                <w:rFonts w:ascii="Arial" w:cs="Arial" w:eastAsia="Arial" w:hAnsi="Arial"/>
                <w:sz w:val="13"/>
                <w:szCs w:val="13"/>
                <w:color w:val="auto"/>
                <w:w w:val="99"/>
              </w:rPr>
              <w:t>(H)  Non-cash expenses associated with stock-based compensation costs</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0" w:type="dxa"/>
            <w:vAlign w:val="bottom"/>
            <w:gridSpan w:val="9"/>
          </w:tcPr>
          <w:p>
            <w:pPr>
              <w:ind w:left="20"/>
              <w:spacing w:after="0"/>
              <w:rPr>
                <w:sz w:val="20"/>
                <w:szCs w:val="20"/>
                <w:color w:val="auto"/>
              </w:rPr>
            </w:pPr>
            <w:r>
              <w:rPr>
                <w:rFonts w:ascii="Arial" w:cs="Arial" w:eastAsia="Arial" w:hAnsi="Arial"/>
                <w:sz w:val="13"/>
                <w:szCs w:val="13"/>
                <w:color w:val="auto"/>
              </w:rPr>
              <w:t>(I)   Discrete tax items, R&amp;D tax credits, the tax impact of intercompany transactions and the tax impact on non-GAAP adjustments</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9740" w:type="dxa"/>
            <w:vAlign w:val="bottom"/>
            <w:gridSpan w:val="11"/>
          </w:tcPr>
          <w:p>
            <w:pPr>
              <w:ind w:left="20"/>
              <w:spacing w:after="0" w:line="134" w:lineRule="exact"/>
              <w:rPr>
                <w:sz w:val="20"/>
                <w:szCs w:val="20"/>
                <w:color w:val="auto"/>
              </w:rPr>
            </w:pPr>
            <w:r>
              <w:rPr>
                <w:rFonts w:ascii="Arial" w:cs="Arial" w:eastAsia="Arial" w:hAnsi="Arial"/>
                <w:sz w:val="13"/>
                <w:szCs w:val="13"/>
                <w:color w:val="auto"/>
                <w:w w:val="98"/>
              </w:rPr>
              <w:t>(J)   Non-cash interest expense on the Cash Exchangeable Senior Notes and 2021 Revolving Credit Facility, interest expense on the 2022 Bridge Loan and Term Facilities</w:t>
            </w: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3360" w:type="dxa"/>
            <w:vAlign w:val="bottom"/>
            <w:gridSpan w:val="4"/>
          </w:tcPr>
          <w:p>
            <w:pPr>
              <w:ind w:left="20"/>
              <w:spacing w:after="0"/>
              <w:rPr>
                <w:sz w:val="20"/>
                <w:szCs w:val="20"/>
                <w:color w:val="auto"/>
              </w:rPr>
            </w:pPr>
            <w:r>
              <w:rPr>
                <w:rFonts w:ascii="Arial" w:cs="Arial" w:eastAsia="Arial" w:hAnsi="Arial"/>
                <w:sz w:val="13"/>
                <w:szCs w:val="13"/>
                <w:color w:val="auto"/>
              </w:rPr>
              <w:t>• Numbers may not add precisely due to rounding.</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jc w:val="right"/>
              <w:ind w:right="195"/>
              <w:spacing w:after="0"/>
              <w:rPr>
                <w:sz w:val="20"/>
                <w:szCs w:val="20"/>
                <w:color w:val="auto"/>
              </w:rPr>
            </w:pPr>
            <w:r>
              <w:rPr>
                <w:rFonts w:ascii="Arial" w:cs="Arial" w:eastAsia="Arial" w:hAnsi="Arial"/>
                <w:sz w:val="21"/>
                <w:szCs w:val="21"/>
                <w:color w:val="auto"/>
              </w:rPr>
              <w:t>18</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789" w:right="239" w:bottom="1440" w:gutter="0" w:footer="0" w:header="0"/>
        </w:sectPr>
      </w:pPr>
    </w:p>
    <w:bookmarkStart w:id="21" w:name="page22"/>
    <w:bookmarkEnd w:id="21"/>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20" w:type="dxa"/>
            <w:vAlign w:val="bottom"/>
          </w:tcPr>
          <w:p>
            <w:pPr>
              <w:spacing w:after="0"/>
              <w:rPr>
                <w:sz w:val="20"/>
                <w:szCs w:val="20"/>
                <w:color w:val="auto"/>
              </w:rPr>
            </w:pPr>
            <w:r>
              <w:rPr>
                <w:rFonts w:ascii="Arial" w:cs="Arial" w:eastAsia="Arial" w:hAnsi="Arial"/>
                <w:sz w:val="14"/>
                <w:szCs w:val="14"/>
                <w:b w:val="1"/>
                <w:bCs w:val="1"/>
                <w:color w:val="auto"/>
              </w:rPr>
              <w:t>LIVANOVA PLC AND SUBSIDIARIES</w:t>
            </w: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20" w:type="dxa"/>
            <w:vAlign w:val="bottom"/>
          </w:tcPr>
          <w:p>
            <w:pPr>
              <w:spacing w:after="0"/>
              <w:rPr>
                <w:sz w:val="20"/>
                <w:szCs w:val="20"/>
                <w:color w:val="auto"/>
              </w:rPr>
            </w:pPr>
            <w:r>
              <w:rPr>
                <w:rFonts w:ascii="Arial" w:cs="Arial" w:eastAsia="Arial" w:hAnsi="Arial"/>
                <w:sz w:val="14"/>
                <w:szCs w:val="14"/>
                <w:b w:val="1"/>
                <w:bCs w:val="1"/>
                <w:color w:val="auto"/>
              </w:rPr>
              <w:t>CONDENSED CONSOLIDATED BALANCE SHEETS - UNAUDITED</w:t>
            </w:r>
          </w:p>
        </w:tc>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tcPr>
          <w:p>
            <w:pPr>
              <w:spacing w:after="0"/>
              <w:rPr>
                <w:sz w:val="17"/>
                <w:szCs w:val="17"/>
                <w:color w:val="auto"/>
              </w:rPr>
            </w:pPr>
          </w:p>
        </w:tc>
        <w:tc>
          <w:tcPr>
            <w:tcW w:w="2420" w:type="dxa"/>
            <w:vAlign w:val="bottom"/>
            <w:gridSpan w:val="2"/>
          </w:tcPr>
          <w:p>
            <w:pPr>
              <w:ind w:left="520"/>
              <w:spacing w:after="0"/>
              <w:rPr>
                <w:sz w:val="20"/>
                <w:szCs w:val="20"/>
                <w:color w:val="auto"/>
              </w:rPr>
            </w:pPr>
            <w:r>
              <w:rPr>
                <w:rFonts w:ascii="Arial" w:cs="Arial" w:eastAsia="Arial" w:hAnsi="Arial"/>
                <w:sz w:val="14"/>
                <w:szCs w:val="14"/>
                <w:b w:val="1"/>
                <w:bCs w:val="1"/>
                <w:color w:val="auto"/>
              </w:rPr>
              <w:t>December 31, 2023</w:t>
            </w:r>
          </w:p>
        </w:tc>
        <w:tc>
          <w:tcPr>
            <w:tcW w:w="2340" w:type="dxa"/>
            <w:vAlign w:val="bottom"/>
          </w:tcPr>
          <w:p>
            <w:pPr>
              <w:jc w:val="right"/>
              <w:ind w:right="448"/>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1"/>
        </w:trPr>
        <w:tc>
          <w:tcPr>
            <w:tcW w:w="64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42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340" w:type="dxa"/>
            <w:vAlign w:val="bottom"/>
          </w:tcPr>
          <w:p>
            <w:pPr>
              <w:jc w:val="right"/>
              <w:spacing w:after="0"/>
              <w:rPr>
                <w:sz w:val="20"/>
                <w:szCs w:val="20"/>
                <w:color w:val="auto"/>
              </w:rPr>
            </w:pPr>
            <w:r>
              <w:rPr>
                <w:rFonts w:ascii="Arial" w:cs="Arial" w:eastAsia="Arial" w:hAnsi="Arial"/>
                <w:sz w:val="14"/>
                <w:szCs w:val="14"/>
                <w:color w:val="auto"/>
              </w:rPr>
              <w:t>$266.5</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$214.2</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2340" w:type="dxa"/>
            <w:vAlign w:val="bottom"/>
          </w:tcPr>
          <w:p>
            <w:pPr>
              <w:jc w:val="right"/>
              <w:spacing w:after="0"/>
              <w:rPr>
                <w:sz w:val="20"/>
                <w:szCs w:val="20"/>
                <w:color w:val="auto"/>
              </w:rPr>
            </w:pPr>
            <w:r>
              <w:rPr>
                <w:rFonts w:ascii="Arial" w:cs="Arial" w:eastAsia="Arial" w:hAnsi="Arial"/>
                <w:sz w:val="14"/>
                <w:szCs w:val="14"/>
                <w:color w:val="auto"/>
              </w:rPr>
              <w:t>311.4</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Accounts receivable, net of allowance</w:t>
            </w:r>
          </w:p>
        </w:tc>
        <w:tc>
          <w:tcPr>
            <w:tcW w:w="2340" w:type="dxa"/>
            <w:vAlign w:val="bottom"/>
          </w:tcPr>
          <w:p>
            <w:pPr>
              <w:jc w:val="right"/>
              <w:spacing w:after="0"/>
              <w:rPr>
                <w:sz w:val="20"/>
                <w:szCs w:val="20"/>
                <w:color w:val="auto"/>
              </w:rPr>
            </w:pPr>
            <w:r>
              <w:rPr>
                <w:rFonts w:ascii="Arial" w:cs="Arial" w:eastAsia="Arial" w:hAnsi="Arial"/>
                <w:sz w:val="14"/>
                <w:szCs w:val="14"/>
                <w:color w:val="auto"/>
              </w:rPr>
              <w:t>215.1</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2340" w:type="dxa"/>
            <w:vAlign w:val="bottom"/>
          </w:tcPr>
          <w:p>
            <w:pPr>
              <w:jc w:val="right"/>
              <w:spacing w:after="0"/>
              <w:rPr>
                <w:sz w:val="20"/>
                <w:szCs w:val="20"/>
                <w:color w:val="auto"/>
              </w:rPr>
            </w:pPr>
            <w:r>
              <w:rPr>
                <w:rFonts w:ascii="Arial" w:cs="Arial" w:eastAsia="Arial" w:hAnsi="Arial"/>
                <w:sz w:val="14"/>
                <w:szCs w:val="14"/>
                <w:color w:val="auto"/>
              </w:rPr>
              <w:t>147.9</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Prepaid and refundable taxes</w:t>
            </w:r>
          </w:p>
        </w:tc>
        <w:tc>
          <w:tcPr>
            <w:tcW w:w="2340" w:type="dxa"/>
            <w:vAlign w:val="bottom"/>
          </w:tcPr>
          <w:p>
            <w:pPr>
              <w:jc w:val="right"/>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02"/>
        </w:trPr>
        <w:tc>
          <w:tcPr>
            <w:tcW w:w="642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00"/>
        </w:trPr>
        <w:tc>
          <w:tcPr>
            <w:tcW w:w="6420" w:type="dxa"/>
            <w:vAlign w:val="bottom"/>
          </w:tcPr>
          <w:p>
            <w:pPr>
              <w:spacing w:after="0"/>
              <w:rPr>
                <w:sz w:val="20"/>
                <w:szCs w:val="20"/>
                <w:color w:val="auto"/>
              </w:rPr>
            </w:pPr>
            <w:r>
              <w:rPr>
                <w:rFonts w:ascii="Arial" w:cs="Arial" w:eastAsia="Arial" w:hAnsi="Arial"/>
                <w:sz w:val="14"/>
                <w:szCs w:val="14"/>
                <w:color w:val="auto"/>
              </w:rPr>
              <w:t>Total Current Assets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988.2</w:t>
            </w:r>
          </w:p>
        </w:tc>
        <w:tc>
          <w:tcPr>
            <w:tcW w:w="80" w:type="dxa"/>
            <w:vAlign w:val="bottom"/>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886.1</w:t>
            </w:r>
          </w:p>
        </w:tc>
        <w:tc>
          <w:tcPr>
            <w:tcW w:w="0" w:type="dxa"/>
            <w:vAlign w:val="bottom"/>
          </w:tcPr>
          <w:p>
            <w:pPr>
              <w:spacing w:after="0"/>
              <w:rPr>
                <w:sz w:val="1"/>
                <w:szCs w:val="1"/>
                <w:color w:val="auto"/>
              </w:rPr>
            </w:pPr>
          </w:p>
        </w:tc>
      </w:tr>
      <w:tr>
        <w:trPr>
          <w:trHeight w:val="189"/>
        </w:trPr>
        <w:tc>
          <w:tcPr>
            <w:tcW w:w="6420" w:type="dxa"/>
            <w:vAlign w:val="bottom"/>
          </w:tcPr>
          <w:p>
            <w:pPr>
              <w:ind w:left="220"/>
              <w:spacing w:after="0"/>
              <w:rPr>
                <w:sz w:val="20"/>
                <w:szCs w:val="20"/>
                <w:color w:val="auto"/>
              </w:rPr>
            </w:pPr>
            <w:r>
              <w:rPr>
                <w:rFonts w:ascii="Arial" w:cs="Arial" w:eastAsia="Arial" w:hAnsi="Arial"/>
                <w:sz w:val="14"/>
                <w:szCs w:val="14"/>
                <w:color w:val="auto"/>
              </w:rPr>
              <w:t>Property, plant and equipment, net</w:t>
            </w:r>
          </w:p>
        </w:tc>
        <w:tc>
          <w:tcPr>
            <w:tcW w:w="2340" w:type="dxa"/>
            <w:vAlign w:val="bottom"/>
          </w:tcPr>
          <w:p>
            <w:pPr>
              <w:jc w:val="right"/>
              <w:spacing w:after="0"/>
              <w:rPr>
                <w:sz w:val="20"/>
                <w:szCs w:val="20"/>
                <w:color w:val="auto"/>
              </w:rPr>
            </w:pPr>
            <w:r>
              <w:rPr>
                <w:rFonts w:ascii="Arial" w:cs="Arial" w:eastAsia="Arial" w:hAnsi="Arial"/>
                <w:sz w:val="14"/>
                <w:szCs w:val="14"/>
                <w:color w:val="auto"/>
              </w:rPr>
              <w:t>154.2</w:t>
            </w:r>
          </w:p>
        </w:tc>
        <w:tc>
          <w:tcPr>
            <w:tcW w:w="8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Goodwill</w:t>
            </w:r>
          </w:p>
        </w:tc>
        <w:tc>
          <w:tcPr>
            <w:tcW w:w="2340" w:type="dxa"/>
            <w:vAlign w:val="bottom"/>
          </w:tcPr>
          <w:p>
            <w:pPr>
              <w:jc w:val="right"/>
              <w:spacing w:after="0"/>
              <w:rPr>
                <w:sz w:val="20"/>
                <w:szCs w:val="20"/>
                <w:color w:val="auto"/>
              </w:rPr>
            </w:pPr>
            <w:r>
              <w:rPr>
                <w:rFonts w:ascii="Arial" w:cs="Arial" w:eastAsia="Arial" w:hAnsi="Arial"/>
                <w:sz w:val="14"/>
                <w:szCs w:val="14"/>
                <w:color w:val="auto"/>
              </w:rPr>
              <w:t>782.9</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768.8</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2340" w:type="dxa"/>
            <w:vAlign w:val="bottom"/>
          </w:tcPr>
          <w:p>
            <w:pPr>
              <w:jc w:val="right"/>
              <w:spacing w:after="0"/>
              <w:rPr>
                <w:sz w:val="20"/>
                <w:szCs w:val="20"/>
                <w:color w:val="auto"/>
              </w:rPr>
            </w:pPr>
            <w:r>
              <w:rPr>
                <w:rFonts w:ascii="Arial" w:cs="Arial" w:eastAsia="Arial" w:hAnsi="Arial"/>
                <w:sz w:val="14"/>
                <w:szCs w:val="14"/>
                <w:color w:val="auto"/>
              </w:rPr>
              <w:t>261.2</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368.6</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Operating lease assets</w:t>
            </w:r>
          </w:p>
        </w:tc>
        <w:tc>
          <w:tcPr>
            <w:tcW w:w="2340" w:type="dxa"/>
            <w:vAlign w:val="bottom"/>
          </w:tcPr>
          <w:p>
            <w:pPr>
              <w:jc w:val="right"/>
              <w:spacing w:after="0"/>
              <w:rPr>
                <w:sz w:val="20"/>
                <w:szCs w:val="20"/>
                <w:color w:val="auto"/>
              </w:rPr>
            </w:pPr>
            <w:r>
              <w:rPr>
                <w:rFonts w:ascii="Arial" w:cs="Arial" w:eastAsia="Arial" w:hAnsi="Arial"/>
                <w:sz w:val="14"/>
                <w:szCs w:val="14"/>
                <w:color w:val="auto"/>
              </w:rPr>
              <w:t>50.8</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Investments</w:t>
            </w:r>
          </w:p>
        </w:tc>
        <w:tc>
          <w:tcPr>
            <w:tcW w:w="2340" w:type="dxa"/>
            <w:vAlign w:val="bottom"/>
          </w:tcPr>
          <w:p>
            <w:pPr>
              <w:jc w:val="right"/>
              <w:spacing w:after="0"/>
              <w:rPr>
                <w:sz w:val="20"/>
                <w:szCs w:val="20"/>
                <w:color w:val="auto"/>
              </w:rPr>
            </w:pPr>
            <w:r>
              <w:rPr>
                <w:rFonts w:ascii="Arial" w:cs="Arial" w:eastAsia="Arial" w:hAnsi="Arial"/>
                <w:sz w:val="14"/>
                <w:szCs w:val="14"/>
                <w:color w:val="auto"/>
              </w:rPr>
              <w:t>22.8</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Deferred tax assets</w:t>
            </w:r>
          </w:p>
        </w:tc>
        <w:tc>
          <w:tcPr>
            <w:tcW w:w="2340" w:type="dxa"/>
            <w:vAlign w:val="bottom"/>
          </w:tcPr>
          <w:p>
            <w:pPr>
              <w:jc w:val="right"/>
              <w:spacing w:after="0"/>
              <w:rPr>
                <w:sz w:val="20"/>
                <w:szCs w:val="20"/>
                <w:color w:val="auto"/>
              </w:rPr>
            </w:pPr>
            <w:r>
              <w:rPr>
                <w:rFonts w:ascii="Arial" w:cs="Arial" w:eastAsia="Arial" w:hAnsi="Arial"/>
                <w:sz w:val="14"/>
                <w:szCs w:val="14"/>
                <w:color w:val="auto"/>
              </w:rPr>
              <w:t>118.9</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Long-term derivative assets</w:t>
            </w:r>
          </w:p>
        </w:tc>
        <w:tc>
          <w:tcPr>
            <w:tcW w:w="2340" w:type="dxa"/>
            <w:vAlign w:val="bottom"/>
          </w:tcPr>
          <w:p>
            <w:pPr>
              <w:jc w:val="right"/>
              <w:spacing w:after="0"/>
              <w:rPr>
                <w:sz w:val="20"/>
                <w:szCs w:val="20"/>
                <w:color w:val="auto"/>
              </w:rPr>
            </w:pPr>
            <w:r>
              <w:rPr>
                <w:rFonts w:ascii="Arial" w:cs="Arial" w:eastAsia="Arial" w:hAnsi="Arial"/>
                <w:sz w:val="14"/>
                <w:szCs w:val="14"/>
                <w:color w:val="auto"/>
              </w:rPr>
              <w:t>38.5</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205"/>
        </w:trPr>
        <w:tc>
          <w:tcPr>
            <w:tcW w:w="642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99"/>
        </w:trPr>
        <w:tc>
          <w:tcPr>
            <w:tcW w:w="6420" w:type="dxa"/>
            <w:vAlign w:val="bottom"/>
          </w:tcPr>
          <w:p>
            <w:pPr>
              <w:spacing w:after="0"/>
              <w:rPr>
                <w:sz w:val="20"/>
                <w:szCs w:val="20"/>
                <w:color w:val="auto"/>
              </w:rPr>
            </w:pPr>
            <w:r>
              <w:rPr>
                <w:rFonts w:ascii="Arial" w:cs="Arial" w:eastAsia="Arial" w:hAnsi="Arial"/>
                <w:sz w:val="14"/>
                <w:szCs w:val="14"/>
                <w:color w:val="auto"/>
              </w:rPr>
              <w:t>Total Assets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$2,429.6</w:t>
            </w:r>
          </w:p>
        </w:tc>
        <w:tc>
          <w:tcPr>
            <w:tcW w:w="80" w:type="dxa"/>
            <w:vAlign w:val="bottom"/>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$2,294.8</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6420" w:type="dxa"/>
            <w:vAlign w:val="bottom"/>
            <w:vMerge w:val="continue"/>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420" w:type="dxa"/>
            <w:vAlign w:val="bottom"/>
          </w:tcPr>
          <w:p>
            <w:pPr>
              <w:spacing w:after="0"/>
              <w:rPr>
                <w:sz w:val="20"/>
                <w:szCs w:val="20"/>
                <w:color w:val="auto"/>
              </w:rPr>
            </w:pPr>
            <w:r>
              <w:rPr>
                <w:rFonts w:ascii="Arial" w:cs="Arial" w:eastAsia="Arial" w:hAnsi="Arial"/>
                <w:sz w:val="14"/>
                <w:szCs w:val="14"/>
                <w:i w:val="1"/>
                <w:iCs w:val="1"/>
                <w:color w:val="auto"/>
              </w:rPr>
              <w:t>Current Liabilities:</w:t>
            </w: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Current debt obligations</w:t>
            </w:r>
          </w:p>
        </w:tc>
        <w:tc>
          <w:tcPr>
            <w:tcW w:w="2340" w:type="dxa"/>
            <w:vAlign w:val="bottom"/>
          </w:tcPr>
          <w:p>
            <w:pPr>
              <w:jc w:val="right"/>
              <w:spacing w:after="0"/>
              <w:rPr>
                <w:sz w:val="20"/>
                <w:szCs w:val="20"/>
                <w:color w:val="auto"/>
              </w:rPr>
            </w:pPr>
            <w:r>
              <w:rPr>
                <w:rFonts w:ascii="Arial" w:cs="Arial" w:eastAsia="Arial" w:hAnsi="Arial"/>
                <w:sz w:val="14"/>
                <w:szCs w:val="14"/>
                <w:color w:val="auto"/>
              </w:rPr>
              <w:t>$18.1</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2340" w:type="dxa"/>
            <w:vAlign w:val="bottom"/>
          </w:tcPr>
          <w:p>
            <w:pPr>
              <w:jc w:val="right"/>
              <w:spacing w:after="0"/>
              <w:rPr>
                <w:sz w:val="20"/>
                <w:szCs w:val="20"/>
                <w:color w:val="auto"/>
              </w:rPr>
            </w:pPr>
            <w:r>
              <w:rPr>
                <w:rFonts w:ascii="Arial" w:cs="Arial" w:eastAsia="Arial" w:hAnsi="Arial"/>
                <w:sz w:val="14"/>
                <w:szCs w:val="14"/>
                <w:color w:val="auto"/>
              </w:rPr>
              <w:t>80.8</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Accrued liabilities and other</w:t>
            </w:r>
          </w:p>
        </w:tc>
        <w:tc>
          <w:tcPr>
            <w:tcW w:w="2340" w:type="dxa"/>
            <w:vAlign w:val="bottom"/>
          </w:tcPr>
          <w:p>
            <w:pPr>
              <w:jc w:val="right"/>
              <w:spacing w:after="0"/>
              <w:rPr>
                <w:sz w:val="20"/>
                <w:szCs w:val="20"/>
                <w:color w:val="auto"/>
              </w:rPr>
            </w:pPr>
            <w:r>
              <w:rPr>
                <w:rFonts w:ascii="Arial" w:cs="Arial" w:eastAsia="Arial" w:hAnsi="Arial"/>
                <w:sz w:val="14"/>
                <w:szCs w:val="14"/>
                <w:color w:val="auto"/>
              </w:rPr>
              <w:t>107.3</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Current litigation provision liability</w:t>
            </w:r>
          </w:p>
        </w:tc>
        <w:tc>
          <w:tcPr>
            <w:tcW w:w="234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Taxes payable</w:t>
            </w:r>
          </w:p>
        </w:tc>
        <w:tc>
          <w:tcPr>
            <w:tcW w:w="2340" w:type="dxa"/>
            <w:vAlign w:val="bottom"/>
          </w:tcPr>
          <w:p>
            <w:pPr>
              <w:jc w:val="right"/>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2"/>
        </w:trPr>
        <w:tc>
          <w:tcPr>
            <w:tcW w:w="6420" w:type="dxa"/>
            <w:vAlign w:val="bottom"/>
          </w:tcPr>
          <w:p>
            <w:pPr>
              <w:ind w:left="220"/>
              <w:spacing w:after="0"/>
              <w:rPr>
                <w:sz w:val="20"/>
                <w:szCs w:val="20"/>
                <w:color w:val="auto"/>
              </w:rPr>
            </w:pPr>
            <w:r>
              <w:rPr>
                <w:rFonts w:ascii="Arial" w:cs="Arial" w:eastAsia="Arial" w:hAnsi="Arial"/>
                <w:sz w:val="14"/>
                <w:szCs w:val="14"/>
                <w:color w:val="auto"/>
              </w:rPr>
              <w:t>Accrued employee compensation and related benefits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w:t>
            </w:r>
          </w:p>
        </w:tc>
        <w:tc>
          <w:tcPr>
            <w:tcW w:w="80" w:type="dxa"/>
            <w:vAlign w:val="bottom"/>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00"/>
        </w:trPr>
        <w:tc>
          <w:tcPr>
            <w:tcW w:w="64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335.0</w:t>
            </w:r>
          </w:p>
        </w:tc>
        <w:tc>
          <w:tcPr>
            <w:tcW w:w="80" w:type="dxa"/>
            <w:vAlign w:val="bottom"/>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297.4</w:t>
            </w:r>
          </w:p>
        </w:tc>
        <w:tc>
          <w:tcPr>
            <w:tcW w:w="0" w:type="dxa"/>
            <w:vAlign w:val="bottom"/>
          </w:tcPr>
          <w:p>
            <w:pPr>
              <w:spacing w:after="0"/>
              <w:rPr>
                <w:sz w:val="1"/>
                <w:szCs w:val="1"/>
                <w:color w:val="auto"/>
              </w:rPr>
            </w:pPr>
          </w:p>
        </w:tc>
      </w:tr>
      <w:tr>
        <w:trPr>
          <w:trHeight w:val="189"/>
        </w:trPr>
        <w:tc>
          <w:tcPr>
            <w:tcW w:w="6420" w:type="dxa"/>
            <w:vAlign w:val="bottom"/>
          </w:tcPr>
          <w:p>
            <w:pPr>
              <w:ind w:left="220"/>
              <w:spacing w:after="0"/>
              <w:rPr>
                <w:sz w:val="20"/>
                <w:szCs w:val="20"/>
                <w:color w:val="auto"/>
              </w:rPr>
            </w:pPr>
            <w:r>
              <w:rPr>
                <w:rFonts w:ascii="Arial" w:cs="Arial" w:eastAsia="Arial" w:hAnsi="Arial"/>
                <w:sz w:val="14"/>
                <w:szCs w:val="14"/>
                <w:color w:val="auto"/>
              </w:rPr>
              <w:t>Long-term debt obligations</w:t>
            </w:r>
          </w:p>
        </w:tc>
        <w:tc>
          <w:tcPr>
            <w:tcW w:w="2340" w:type="dxa"/>
            <w:vAlign w:val="bottom"/>
          </w:tcPr>
          <w:p>
            <w:pPr>
              <w:jc w:val="right"/>
              <w:spacing w:after="0"/>
              <w:rPr>
                <w:sz w:val="20"/>
                <w:szCs w:val="20"/>
                <w:color w:val="auto"/>
              </w:rPr>
            </w:pPr>
            <w:r>
              <w:rPr>
                <w:rFonts w:ascii="Arial" w:cs="Arial" w:eastAsia="Arial" w:hAnsi="Arial"/>
                <w:sz w:val="14"/>
                <w:szCs w:val="14"/>
                <w:color w:val="auto"/>
              </w:rPr>
              <w:t>568.5</w:t>
            </w:r>
          </w:p>
        </w:tc>
        <w:tc>
          <w:tcPr>
            <w:tcW w:w="8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518.1</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Contingent consideration</w:t>
            </w:r>
          </w:p>
        </w:tc>
        <w:tc>
          <w:tcPr>
            <w:tcW w:w="2340" w:type="dxa"/>
            <w:vAlign w:val="bottom"/>
          </w:tcPr>
          <w:p>
            <w:pPr>
              <w:jc w:val="right"/>
              <w:spacing w:after="0"/>
              <w:rPr>
                <w:sz w:val="20"/>
                <w:szCs w:val="20"/>
                <w:color w:val="auto"/>
              </w:rPr>
            </w:pPr>
            <w:r>
              <w:rPr>
                <w:rFonts w:ascii="Arial" w:cs="Arial" w:eastAsia="Arial" w:hAnsi="Arial"/>
                <w:sz w:val="14"/>
                <w:szCs w:val="14"/>
                <w:color w:val="auto"/>
              </w:rPr>
              <w:t>80.9</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Deferred tax liabilities</w:t>
            </w:r>
          </w:p>
        </w:tc>
        <w:tc>
          <w:tcPr>
            <w:tcW w:w="2340" w:type="dxa"/>
            <w:vAlign w:val="bottom"/>
          </w:tcPr>
          <w:p>
            <w:pPr>
              <w:jc w:val="right"/>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Long-term operating lease liabilities</w:t>
            </w:r>
          </w:p>
        </w:tc>
        <w:tc>
          <w:tcPr>
            <w:tcW w:w="2340" w:type="dxa"/>
            <w:vAlign w:val="bottom"/>
          </w:tcPr>
          <w:p>
            <w:pPr>
              <w:jc w:val="right"/>
              <w:spacing w:after="0"/>
              <w:rPr>
                <w:sz w:val="20"/>
                <w:szCs w:val="20"/>
                <w:color w:val="auto"/>
              </w:rPr>
            </w:pPr>
            <w:r>
              <w:rPr>
                <w:rFonts w:ascii="Arial" w:cs="Arial" w:eastAsia="Arial" w:hAnsi="Arial"/>
                <w:sz w:val="14"/>
                <w:szCs w:val="14"/>
                <w:color w:val="auto"/>
              </w:rPr>
              <w:t>45.4</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Long-term employee compensation and related benefits</w:t>
            </w:r>
          </w:p>
        </w:tc>
        <w:tc>
          <w:tcPr>
            <w:tcW w:w="2340" w:type="dxa"/>
            <w:vAlign w:val="bottom"/>
          </w:tcPr>
          <w:p>
            <w:pPr>
              <w:jc w:val="right"/>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4"/>
                <w:szCs w:val="14"/>
                <w:color w:val="auto"/>
              </w:rPr>
              <w:t>Long-term derivative liabilities</w:t>
            </w:r>
          </w:p>
        </w:tc>
        <w:tc>
          <w:tcPr>
            <w:tcW w:w="2340" w:type="dxa"/>
            <w:vAlign w:val="bottom"/>
          </w:tcPr>
          <w:p>
            <w:pPr>
              <w:jc w:val="right"/>
              <w:spacing w:after="0"/>
              <w:rPr>
                <w:sz w:val="20"/>
                <w:szCs w:val="20"/>
                <w:color w:val="auto"/>
              </w:rPr>
            </w:pPr>
            <w:r>
              <w:rPr>
                <w:rFonts w:ascii="Arial" w:cs="Arial" w:eastAsia="Arial" w:hAnsi="Arial"/>
                <w:sz w:val="14"/>
                <w:szCs w:val="14"/>
                <w:color w:val="auto"/>
              </w:rPr>
              <w:t>45.6</w:t>
            </w:r>
          </w:p>
        </w:tc>
        <w:tc>
          <w:tcPr>
            <w:tcW w:w="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02"/>
        </w:trPr>
        <w:tc>
          <w:tcPr>
            <w:tcW w:w="6420" w:type="dxa"/>
            <w:vAlign w:val="bottom"/>
          </w:tcPr>
          <w:p>
            <w:pPr>
              <w:ind w:left="220"/>
              <w:spacing w:after="0"/>
              <w:rPr>
                <w:sz w:val="20"/>
                <w:szCs w:val="20"/>
                <w:color w:val="auto"/>
              </w:rPr>
            </w:pPr>
            <w:r>
              <w:rPr>
                <w:rFonts w:ascii="Arial" w:cs="Arial" w:eastAsia="Arial" w:hAnsi="Arial"/>
                <w:sz w:val="14"/>
                <w:szCs w:val="14"/>
                <w:color w:val="auto"/>
              </w:rPr>
              <w:t>Other long-term liabilities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80" w:type="dxa"/>
            <w:vAlign w:val="bottom"/>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95"/>
        </w:trPr>
        <w:tc>
          <w:tcPr>
            <w:tcW w:w="6420" w:type="dxa"/>
            <w:vAlign w:val="bottom"/>
          </w:tcPr>
          <w:p>
            <w:pPr>
              <w:spacing w:after="0"/>
              <w:rPr>
                <w:sz w:val="20"/>
                <w:szCs w:val="20"/>
                <w:color w:val="auto"/>
              </w:rPr>
            </w:pPr>
            <w:r>
              <w:rPr>
                <w:rFonts w:ascii="Arial" w:cs="Arial" w:eastAsia="Arial" w:hAnsi="Arial"/>
                <w:sz w:val="14"/>
                <w:szCs w:val="14"/>
                <w:color w:val="auto"/>
              </w:rPr>
              <w:t>Total Liabilities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1,151.9</w:t>
            </w:r>
          </w:p>
        </w:tc>
        <w:tc>
          <w:tcPr>
            <w:tcW w:w="80" w:type="dxa"/>
            <w:vAlign w:val="bottom"/>
          </w:tcPr>
          <w:p>
            <w:pPr>
              <w:spacing w:after="0"/>
              <w:rPr>
                <w:sz w:val="16"/>
                <w:szCs w:val="16"/>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1,087.1</w:t>
            </w:r>
          </w:p>
        </w:tc>
        <w:tc>
          <w:tcPr>
            <w:tcW w:w="0" w:type="dxa"/>
            <w:vAlign w:val="bottom"/>
          </w:tcPr>
          <w:p>
            <w:pPr>
              <w:spacing w:after="0"/>
              <w:rPr>
                <w:sz w:val="1"/>
                <w:szCs w:val="1"/>
                <w:color w:val="auto"/>
              </w:rPr>
            </w:pPr>
          </w:p>
        </w:tc>
      </w:tr>
      <w:tr>
        <w:trPr>
          <w:trHeight w:val="197"/>
        </w:trPr>
        <w:tc>
          <w:tcPr>
            <w:tcW w:w="64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1,277.6</w:t>
            </w:r>
          </w:p>
        </w:tc>
        <w:tc>
          <w:tcPr>
            <w:tcW w:w="80" w:type="dxa"/>
            <w:vAlign w:val="bottom"/>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1,207.6</w:t>
            </w:r>
          </w:p>
        </w:tc>
        <w:tc>
          <w:tcPr>
            <w:tcW w:w="0" w:type="dxa"/>
            <w:vAlign w:val="bottom"/>
          </w:tcPr>
          <w:p>
            <w:pPr>
              <w:spacing w:after="0"/>
              <w:rPr>
                <w:sz w:val="1"/>
                <w:szCs w:val="1"/>
                <w:color w:val="auto"/>
              </w:rPr>
            </w:pPr>
          </w:p>
        </w:tc>
      </w:tr>
      <w:tr>
        <w:trPr>
          <w:trHeight w:val="199"/>
        </w:trPr>
        <w:tc>
          <w:tcPr>
            <w:tcW w:w="64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$2,429.6</w:t>
            </w:r>
          </w:p>
        </w:tc>
        <w:tc>
          <w:tcPr>
            <w:tcW w:w="80" w:type="dxa"/>
            <w:vAlign w:val="bottom"/>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$2,294.8</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Numbers may not add precisely due to rounding.</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180"/>
          </w:cols>
          <w:pgMar w:left="360" w:top="1440"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LIVANOVA PLC AND SUBSIDIARIES</w:t>
      </w:r>
    </w:p>
    <w:p>
      <w:pPr>
        <w:spacing w:after="0" w:line="31" w:lineRule="exact"/>
        <w:rPr>
          <w:sz w:val="20"/>
          <w:szCs w:val="20"/>
          <w:color w:val="auto"/>
        </w:rPr>
      </w:pPr>
    </w:p>
    <w:p>
      <w:pPr>
        <w:ind w:right="1640"/>
        <w:spacing w:after="0" w:line="320" w:lineRule="auto"/>
        <w:rPr>
          <w:sz w:val="20"/>
          <w:szCs w:val="20"/>
          <w:color w:val="auto"/>
        </w:rPr>
      </w:pPr>
      <w:r>
        <w:rPr>
          <w:rFonts w:ascii="Arial" w:cs="Arial" w:eastAsia="Arial" w:hAnsi="Arial"/>
          <w:sz w:val="14"/>
          <w:szCs w:val="14"/>
          <w:b w:val="1"/>
          <w:bCs w:val="1"/>
          <w:color w:val="auto"/>
        </w:rPr>
        <w:t>CONDENSED CONSOLIDATED STATEMENTS OF CASH FLOWS - UNAUDITED (U.S. dollars in millions)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Activities: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 (loss)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Deferred tax expense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Impairment of long-lived assets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Stock-based compensation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Amortization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Depreciation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Remeasurement of derivative instruments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Amortization of debt issuance costs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ACS inventory obsolescence adjustment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Amortization of operating lease assets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Remeasurement of contingent consideration to fair value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Impairment of goodwill</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operating assets and liabilities: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receivable, net</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Inventories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current and non-current assets</w:t>
      </w:r>
    </w:p>
    <w:p>
      <w:pPr>
        <w:spacing w:after="0" w:line="27" w:lineRule="exact"/>
        <w:rPr>
          <w:sz w:val="20"/>
          <w:szCs w:val="20"/>
          <w:color w:val="auto"/>
        </w:rPr>
      </w:pPr>
    </w:p>
    <w:p>
      <w:pPr>
        <w:ind w:left="120" w:right="2720"/>
        <w:spacing w:after="0" w:line="280" w:lineRule="auto"/>
        <w:rPr>
          <w:sz w:val="20"/>
          <w:szCs w:val="20"/>
          <w:color w:val="auto"/>
        </w:rPr>
      </w:pPr>
      <w:r>
        <w:rPr>
          <w:rFonts w:ascii="Arial" w:cs="Arial" w:eastAsia="Arial" w:hAnsi="Arial"/>
          <w:sz w:val="14"/>
          <w:szCs w:val="14"/>
          <w:color w:val="auto"/>
        </w:rPr>
        <w:t>Accounts payable and accrued current and non-current liabilities Taxes payable</w:t>
      </w:r>
    </w:p>
    <w:p>
      <w:pPr>
        <w:ind w:left="120"/>
        <w:spacing w:after="0"/>
        <w:rPr>
          <w:sz w:val="20"/>
          <w:szCs w:val="20"/>
          <w:color w:val="auto"/>
        </w:rPr>
      </w:pPr>
      <w:r>
        <w:rPr>
          <w:rFonts w:ascii="Arial" w:cs="Arial" w:eastAsia="Arial" w:hAnsi="Arial"/>
          <w:sz w:val="14"/>
          <w:szCs w:val="14"/>
          <w:color w:val="auto"/>
        </w:rPr>
        <w:t>Litigation provision liability</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Activities: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Purchases of property, plant and equipment</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Purchase of investments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Acquisitions, net of cash acquired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Activities: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long-term debt obligations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Repayment of long-term debt obligations</w:t>
      </w:r>
    </w:p>
    <w:p>
      <w:pPr>
        <w:spacing w:after="0" w:line="27" w:lineRule="exact"/>
        <w:rPr>
          <w:sz w:val="20"/>
          <w:szCs w:val="20"/>
          <w:color w:val="auto"/>
        </w:rPr>
      </w:pPr>
    </w:p>
    <w:p>
      <w:pPr>
        <w:ind w:left="120" w:right="2300"/>
        <w:spacing w:after="0" w:line="301" w:lineRule="auto"/>
        <w:rPr>
          <w:sz w:val="20"/>
          <w:szCs w:val="20"/>
          <w:color w:val="auto"/>
        </w:rPr>
      </w:pPr>
      <w:r>
        <w:rPr>
          <w:rFonts w:ascii="Arial" w:cs="Arial" w:eastAsia="Arial" w:hAnsi="Arial"/>
          <w:sz w:val="13"/>
          <w:szCs w:val="13"/>
          <w:color w:val="auto"/>
        </w:rPr>
        <w:t>Shares repurchased from employees for minimum tax withholding Repayments of short-term borrowings (maturities greater than 90 days)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Proceeds from deferred consideration from sale of Heart Valves, net of working capital adjustments</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Debt issuance costs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provided by financing activities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Effect of exchange rate changes on cash, cash equivalents and restricted cash</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Net increase in cash, cash equivalents and restricted cash</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Arial" w:cs="Arial" w:eastAsia="Arial" w:hAnsi="Arial"/>
                <w:sz w:val="14"/>
                <w:szCs w:val="14"/>
                <w:color w:val="auto"/>
              </w:rPr>
              <w:t>Cash, cash equivalents and restricted cash at end of period</w:t>
            </w:r>
          </w:p>
        </w:tc>
        <w:tc>
          <w:tcPr>
            <w:tcW w:w="960" w:type="dxa"/>
            <w:vAlign w:val="bottom"/>
            <w:vMerge w:val="restart"/>
          </w:tcPr>
          <w:p>
            <w:pPr>
              <w:jc w:val="right"/>
              <w:spacing w:after="0"/>
              <w:rPr>
                <w:sz w:val="20"/>
                <w:szCs w:val="20"/>
                <w:color w:val="auto"/>
              </w:rPr>
            </w:pPr>
            <w:r>
              <w:rPr>
                <w:rFonts w:ascii="Arial" w:cs="Arial" w:eastAsia="Arial" w:hAnsi="Arial"/>
                <w:sz w:val="21"/>
                <w:szCs w:val="21"/>
                <w:color w:val="auto"/>
              </w:rPr>
              <w:t>20</w:t>
            </w:r>
          </w:p>
        </w:tc>
        <w:tc>
          <w:tcPr>
            <w:tcW w:w="0" w:type="dxa"/>
            <w:vAlign w:val="bottom"/>
          </w:tcPr>
          <w:p>
            <w:pPr>
              <w:spacing w:after="0"/>
              <w:rPr>
                <w:sz w:val="1"/>
                <w:szCs w:val="1"/>
                <w:color w:val="auto"/>
              </w:rPr>
            </w:pPr>
          </w:p>
        </w:tc>
      </w:tr>
      <w:tr>
        <w:trPr>
          <w:trHeight w:val="158"/>
        </w:trPr>
        <w:tc>
          <w:tcPr>
            <w:tcW w:w="4760" w:type="dxa"/>
            <w:vAlign w:val="bottom"/>
            <w:vMerge w:val="restart"/>
          </w:tcPr>
          <w:p>
            <w:pPr>
              <w:spacing w:after="0"/>
              <w:rPr>
                <w:sz w:val="20"/>
                <w:szCs w:val="20"/>
                <w:color w:val="auto"/>
              </w:rPr>
            </w:pPr>
            <w:r>
              <w:rPr>
                <w:rFonts w:ascii="Arial" w:cs="Arial" w:eastAsia="Arial" w:hAnsi="Arial"/>
                <w:sz w:val="14"/>
                <w:szCs w:val="14"/>
                <w:color w:val="auto"/>
              </w:rPr>
              <w:t>• Numbers may not add precisely due to rounding.</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6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5"/>
                <w:szCs w:val="15"/>
                <w:color w:val="auto"/>
              </w:rPr>
            </w:pPr>
          </w:p>
        </w:tc>
        <w:tc>
          <w:tcPr>
            <w:tcW w:w="18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2022</w:t>
            </w:r>
          </w:p>
        </w:tc>
      </w:tr>
      <w:tr>
        <w:trPr>
          <w:trHeight w:val="346"/>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($86.2)</w:t>
            </w:r>
          </w:p>
        </w:tc>
      </w:tr>
      <w:tr>
        <w:trPr>
          <w:trHeight w:val="376"/>
        </w:trPr>
        <w:tc>
          <w:tcPr>
            <w:tcW w:w="1800" w:type="dxa"/>
            <w:vAlign w:val="bottom"/>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8"/>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44.8</w:t>
            </w:r>
          </w:p>
        </w:tc>
      </w:tr>
      <w:tr>
        <w:trPr>
          <w:trHeight w:val="188"/>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25.2</w:t>
            </w:r>
          </w:p>
        </w:tc>
      </w:tr>
      <w:tr>
        <w:trPr>
          <w:trHeight w:val="188"/>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(38.7)</w:t>
            </w:r>
          </w:p>
        </w:tc>
      </w:tr>
      <w:tr>
        <w:trPr>
          <w:trHeight w:val="188"/>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188"/>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188"/>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188"/>
        </w:trPr>
        <w:tc>
          <w:tcPr>
            <w:tcW w:w="1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129.4</w:t>
            </w:r>
          </w:p>
        </w:tc>
      </w:tr>
      <w:tr>
        <w:trPr>
          <w:trHeight w:val="188"/>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76"/>
        </w:trPr>
        <w:tc>
          <w:tcPr>
            <w:tcW w:w="180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(25.7)</w:t>
            </w:r>
          </w:p>
        </w:tc>
      </w:tr>
      <w:tr>
        <w:trPr>
          <w:trHeight w:val="188"/>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88"/>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88"/>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93"/>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r>
      <w:tr>
        <w:trPr>
          <w:trHeight w:val="184"/>
        </w:trPr>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w:t>
            </w:r>
          </w:p>
        </w:tc>
      </w:tr>
      <w:tr>
        <w:trPr>
          <w:trHeight w:val="348"/>
        </w:trPr>
        <w:tc>
          <w:tcPr>
            <w:tcW w:w="180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8"/>
        </w:trPr>
        <w:tc>
          <w:tcPr>
            <w:tcW w:w="1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93"/>
        </w:trPr>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184"/>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r>
      <w:tr>
        <w:trPr>
          <w:trHeight w:val="348"/>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507.5</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(223.5)</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1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88"/>
        </w:trPr>
        <w:tc>
          <w:tcPr>
            <w:tcW w:w="1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93"/>
        </w:trPr>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184"/>
        </w:trPr>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280.1</w:t>
            </w:r>
          </w:p>
        </w:tc>
      </w:tr>
      <w:tr>
        <w:trPr>
          <w:trHeight w:val="177"/>
        </w:trPr>
        <w:tc>
          <w:tcPr>
            <w:tcW w:w="1800" w:type="dxa"/>
            <w:vAlign w:val="bottom"/>
          </w:tcPr>
          <w:p>
            <w:pPr>
              <w:jc w:val="right"/>
              <w:ind w:right="10"/>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89"/>
        </w:trPr>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307.6</w:t>
            </w:r>
          </w:p>
        </w:tc>
      </w:tr>
      <w:tr>
        <w:trPr>
          <w:trHeight w:val="184"/>
        </w:trPr>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515.6</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208.0</w:t>
            </w:r>
          </w:p>
        </w:tc>
      </w:tr>
      <w:tr>
        <w:trPr>
          <w:trHeight w:val="181"/>
        </w:trPr>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$577.9</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$515.6</w:t>
            </w:r>
          </w:p>
        </w:tc>
      </w:tr>
      <w:tr>
        <w:trPr>
          <w:trHeight w:val="22"/>
        </w:trPr>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800" w:space="720"/>
            <w:col w:w="3700"/>
          </w:cols>
          <w:pgMar w:left="340" w:top="643" w:right="339" w:bottom="1440" w:gutter="0" w:footer="0" w:header="0"/>
        </w:sectPr>
      </w:pPr>
    </w:p>
    <w:bookmarkStart w:id="23" w:name="page24"/>
    <w:bookmarkEnd w:id="23"/>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40" w:type="dxa"/>
            <w:vAlign w:val="bottom"/>
            <w:tcBorders>
              <w:top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980" w:type="dxa"/>
            <w:vAlign w:val="bottom"/>
            <w:tcBorders>
              <w:top w:val="single" w:sz="8" w:color="auto"/>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December 31,</w:t>
            </w:r>
          </w:p>
        </w:tc>
        <w:tc>
          <w:tcPr>
            <w:tcW w:w="13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148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rPr>
              <w:t>GAAP Financial</w:t>
            </w:r>
          </w:p>
        </w:tc>
        <w:tc>
          <w:tcPr>
            <w:tcW w:w="140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w w:val="99"/>
              </w:rPr>
              <w:t>Certain Tax</w:t>
            </w:r>
          </w:p>
        </w:tc>
        <w:tc>
          <w:tcPr>
            <w:tcW w:w="148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rPr>
              <w:t>Adjusted Financial</w:t>
            </w:r>
          </w:p>
        </w:tc>
        <w:tc>
          <w:tcPr>
            <w:tcW w:w="150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rPr>
              <w:t>GAAP Financial</w:t>
            </w:r>
          </w:p>
        </w:tc>
        <w:tc>
          <w:tcPr>
            <w:tcW w:w="140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rPr>
              <w:t>Certain Tax</w:t>
            </w:r>
          </w:p>
        </w:tc>
        <w:tc>
          <w:tcPr>
            <w:tcW w:w="14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Adjusted Financial</w:t>
            </w:r>
          </w:p>
        </w:tc>
        <w:tc>
          <w:tcPr>
            <w:tcW w:w="0" w:type="dxa"/>
            <w:vAlign w:val="bottom"/>
          </w:tcPr>
          <w:p>
            <w:pPr>
              <w:spacing w:after="0"/>
              <w:rPr>
                <w:sz w:val="1"/>
                <w:szCs w:val="1"/>
                <w:color w:val="auto"/>
              </w:rPr>
            </w:pPr>
          </w:p>
        </w:tc>
      </w:tr>
      <w:tr>
        <w:trPr>
          <w:trHeight w:val="184"/>
        </w:trPr>
        <w:tc>
          <w:tcPr>
            <w:tcW w:w="2540" w:type="dxa"/>
            <w:vAlign w:val="bottom"/>
            <w:vMerge w:val="restart"/>
          </w:tcPr>
          <w:p>
            <w:pPr>
              <w:ind w:left="20"/>
              <w:spacing w:after="0"/>
              <w:rPr>
                <w:sz w:val="20"/>
                <w:szCs w:val="20"/>
                <w:color w:val="auto"/>
              </w:rPr>
            </w:pPr>
            <w:r>
              <w:rPr>
                <w:rFonts w:ascii="Arial" w:cs="Arial" w:eastAsia="Arial" w:hAnsi="Arial"/>
                <w:sz w:val="14"/>
                <w:szCs w:val="14"/>
                <w:color w:val="auto"/>
              </w:rPr>
              <w:t>(Loss) income before tax</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Measures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Adjustments</w:t>
            </w:r>
          </w:p>
        </w:tc>
        <w:tc>
          <w:tcPr>
            <w:tcW w:w="1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Measures</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Measures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Adjustments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Measures</w:t>
            </w:r>
          </w:p>
        </w:tc>
        <w:tc>
          <w:tcPr>
            <w:tcW w:w="0" w:type="dxa"/>
            <w:vAlign w:val="bottom"/>
          </w:tcPr>
          <w:p>
            <w:pPr>
              <w:spacing w:after="0"/>
              <w:rPr>
                <w:sz w:val="1"/>
                <w:szCs w:val="1"/>
                <w:color w:val="auto"/>
              </w:rPr>
            </w:pPr>
          </w:p>
        </w:tc>
      </w:tr>
      <w:tr>
        <w:trPr>
          <w:trHeight w:val="178"/>
        </w:trPr>
        <w:tc>
          <w:tcPr>
            <w:tcW w:w="2540" w:type="dxa"/>
            <w:vAlign w:val="bottom"/>
            <w:vMerge w:val="continue"/>
          </w:tcPr>
          <w:p>
            <w:pPr>
              <w:spacing w:after="0"/>
              <w:rPr>
                <w:sz w:val="15"/>
                <w:szCs w:val="15"/>
                <w:color w:val="auto"/>
              </w:rPr>
            </w:pPr>
          </w:p>
        </w:tc>
        <w:tc>
          <w:tcPr>
            <w:tcW w:w="14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($94.3)</w:t>
            </w:r>
          </w:p>
        </w:tc>
        <w:tc>
          <w:tcPr>
            <w:tcW w:w="80" w:type="dxa"/>
            <w:vAlign w:val="bottom"/>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$45.9</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5"/>
                <w:szCs w:val="15"/>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01"/>
        </w:trPr>
        <w:tc>
          <w:tcPr>
            <w:tcW w:w="254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4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(110.7)</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109.3</w:t>
            </w:r>
          </w:p>
        </w:tc>
        <w:tc>
          <w:tcPr>
            <w:tcW w:w="80" w:type="dxa"/>
            <w:vAlign w:val="bottom"/>
          </w:tcPr>
          <w:p>
            <w:pPr>
              <w:spacing w:after="0"/>
              <w:rPr>
                <w:sz w:val="17"/>
                <w:szCs w:val="17"/>
                <w:color w:val="auto"/>
              </w:rPr>
            </w:pPr>
          </w:p>
        </w:tc>
        <w:tc>
          <w:tcPr>
            <w:tcW w:w="140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7"/>
                <w:szCs w:val="17"/>
                <w:color w:val="auto"/>
              </w:rPr>
            </w:pPr>
          </w:p>
        </w:tc>
        <w:tc>
          <w:tcPr>
            <w:tcW w:w="142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5"/>
        </w:trPr>
        <w:tc>
          <w:tcPr>
            <w:tcW w:w="2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($109.3)</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0"/>
        </w:trPr>
        <w:tc>
          <w:tcPr>
            <w:tcW w:w="2540" w:type="dxa"/>
            <w:vAlign w:val="bottom"/>
            <w:vMerge w:val="restart"/>
          </w:tcPr>
          <w:p>
            <w:pPr>
              <w:ind w:left="20"/>
              <w:spacing w:after="0"/>
              <w:rPr>
                <w:sz w:val="20"/>
                <w:szCs w:val="20"/>
                <w:color w:val="auto"/>
              </w:rPr>
            </w:pPr>
            <w:r>
              <w:rPr>
                <w:rFonts w:ascii="Arial" w:cs="Arial" w:eastAsia="Arial" w:hAnsi="Arial"/>
                <w:sz w:val="14"/>
                <w:szCs w:val="14"/>
                <w:color w:val="auto"/>
              </w:rPr>
              <w:t>Income tax rate</w:t>
            </w: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540" w:type="dxa"/>
            <w:vAlign w:val="bottom"/>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117.3 %</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ind w:left="96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73.6 %</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ind w:left="98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60" w:hanging="23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Numbers may not add precisely due to rounding.</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40" w:type="dxa"/>
            <w:vAlign w:val="bottom"/>
            <w:tcBorders>
              <w:top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000" w:type="dxa"/>
            <w:vAlign w:val="bottom"/>
            <w:tcBorders>
              <w:top w:val="single" w:sz="8" w:color="auto"/>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5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rPr>
              <w:t>GAAP Financial</w:t>
            </w:r>
          </w:p>
        </w:tc>
        <w:tc>
          <w:tcPr>
            <w:tcW w:w="13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rPr>
              <w:t>Certain Tax</w:t>
            </w:r>
          </w:p>
        </w:tc>
        <w:tc>
          <w:tcPr>
            <w:tcW w:w="15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rPr>
              <w:t>Adjusted Financial</w:t>
            </w:r>
          </w:p>
        </w:tc>
        <w:tc>
          <w:tcPr>
            <w:tcW w:w="15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rPr>
              <w:t>GAAP Financial</w:t>
            </w:r>
          </w:p>
        </w:tc>
        <w:tc>
          <w:tcPr>
            <w:tcW w:w="14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Certain Tax</w:t>
            </w:r>
          </w:p>
        </w:tc>
        <w:tc>
          <w:tcPr>
            <w:tcW w:w="1420" w:type="dxa"/>
            <w:vAlign w:val="bottom"/>
          </w:tcPr>
          <w:p>
            <w:pPr>
              <w:jc w:val="right"/>
              <w:ind w:right="9"/>
              <w:spacing w:after="0" w:line="142" w:lineRule="exact"/>
              <w:rPr>
                <w:sz w:val="20"/>
                <w:szCs w:val="20"/>
                <w:color w:val="auto"/>
              </w:rPr>
            </w:pPr>
            <w:r>
              <w:rPr>
                <w:rFonts w:ascii="Arial" w:cs="Arial" w:eastAsia="Arial" w:hAnsi="Arial"/>
                <w:sz w:val="14"/>
                <w:szCs w:val="14"/>
                <w:b w:val="1"/>
                <w:bCs w:val="1"/>
                <w:color w:val="auto"/>
              </w:rPr>
              <w:t>Adjusted Financial</w:t>
            </w:r>
          </w:p>
        </w:tc>
        <w:tc>
          <w:tcPr>
            <w:tcW w:w="0" w:type="dxa"/>
            <w:vAlign w:val="bottom"/>
          </w:tcPr>
          <w:p>
            <w:pPr>
              <w:spacing w:after="0"/>
              <w:rPr>
                <w:sz w:val="1"/>
                <w:szCs w:val="1"/>
                <w:color w:val="auto"/>
              </w:rPr>
            </w:pPr>
          </w:p>
        </w:tc>
      </w:tr>
      <w:tr>
        <w:trPr>
          <w:trHeight w:val="188"/>
        </w:trPr>
        <w:tc>
          <w:tcPr>
            <w:tcW w:w="254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Measures</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Adjustments</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Measures</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Measures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Adjustments</w:t>
            </w:r>
          </w:p>
        </w:tc>
        <w:tc>
          <w:tcPr>
            <w:tcW w:w="1420" w:type="dxa"/>
            <w:vAlign w:val="bottom"/>
          </w:tcPr>
          <w:p>
            <w:pPr>
              <w:jc w:val="right"/>
              <w:ind w:right="309"/>
              <w:spacing w:after="0"/>
              <w:rPr>
                <w:sz w:val="20"/>
                <w:szCs w:val="20"/>
                <w:color w:val="auto"/>
              </w:rPr>
            </w:pPr>
            <w:r>
              <w:rPr>
                <w:rFonts w:ascii="Arial" w:cs="Arial" w:eastAsia="Arial" w:hAnsi="Arial"/>
                <w:sz w:val="14"/>
                <w:szCs w:val="14"/>
                <w:b w:val="1"/>
                <w:bCs w:val="1"/>
                <w:color w:val="auto"/>
              </w:rPr>
              <w:t>Measures</w:t>
            </w:r>
          </w:p>
        </w:tc>
        <w:tc>
          <w:tcPr>
            <w:tcW w:w="0" w:type="dxa"/>
            <w:vAlign w:val="bottom"/>
          </w:tcPr>
          <w:p>
            <w:pPr>
              <w:spacing w:after="0"/>
              <w:rPr>
                <w:sz w:val="1"/>
                <w:szCs w:val="1"/>
                <w:color w:val="auto"/>
              </w:rPr>
            </w:pPr>
          </w:p>
        </w:tc>
      </w:tr>
      <w:tr>
        <w:trPr>
          <w:trHeight w:val="178"/>
        </w:trPr>
        <w:tc>
          <w:tcPr>
            <w:tcW w:w="2540" w:type="dxa"/>
            <w:vAlign w:val="bottom"/>
          </w:tcPr>
          <w:p>
            <w:pPr>
              <w:ind w:left="20"/>
              <w:spacing w:after="0"/>
              <w:rPr>
                <w:sz w:val="20"/>
                <w:szCs w:val="20"/>
                <w:color w:val="auto"/>
              </w:rPr>
            </w:pPr>
            <w:r>
              <w:rPr>
                <w:rFonts w:ascii="Arial" w:cs="Arial" w:eastAsia="Arial" w:hAnsi="Arial"/>
                <w:sz w:val="14"/>
                <w:szCs w:val="14"/>
                <w:color w:val="auto"/>
              </w:rPr>
              <w:t>(Loss) income before tax</w:t>
            </w:r>
          </w:p>
        </w:tc>
        <w:tc>
          <w:tcPr>
            <w:tcW w:w="14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($81.2)</w:t>
            </w:r>
          </w:p>
        </w:tc>
        <w:tc>
          <w:tcPr>
            <w:tcW w:w="8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$161.3</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($75.1)</w:t>
            </w:r>
          </w:p>
        </w:tc>
        <w:tc>
          <w:tcPr>
            <w:tcW w:w="80" w:type="dxa"/>
            <w:vAlign w:val="bottom"/>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201"/>
        </w:trPr>
        <w:tc>
          <w:tcPr>
            <w:tcW w:w="254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4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(98.9)</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5"/>
        </w:trPr>
        <w:tc>
          <w:tcPr>
            <w:tcW w:w="25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4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$152.0</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($86.2)</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20"/>
        </w:trPr>
        <w:tc>
          <w:tcPr>
            <w:tcW w:w="2540" w:type="dxa"/>
            <w:vAlign w:val="bottom"/>
            <w:vMerge w:val="restart"/>
          </w:tcPr>
          <w:p>
            <w:pPr>
              <w:ind w:left="20"/>
              <w:spacing w:after="0"/>
              <w:rPr>
                <w:sz w:val="20"/>
                <w:szCs w:val="20"/>
                <w:color w:val="auto"/>
              </w:rPr>
            </w:pPr>
            <w:r>
              <w:rPr>
                <w:rFonts w:ascii="Arial" w:cs="Arial" w:eastAsia="Arial" w:hAnsi="Arial"/>
                <w:sz w:val="14"/>
                <w:szCs w:val="14"/>
                <w:color w:val="auto"/>
              </w:rPr>
              <w:t>Income tax rate</w:t>
            </w: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540" w:type="dxa"/>
            <w:vAlign w:val="bottom"/>
            <w:vMerge w:val="continue"/>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121.7 %</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5.7 %</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60" w:hanging="23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Numbers may not add precisely due to rounding.</w:t>
      </w:r>
    </w:p>
    <w:p>
      <w:pPr>
        <w:spacing w:after="0" w:line="393" w:lineRule="exact"/>
        <w:rPr>
          <w:sz w:val="20"/>
          <w:szCs w:val="20"/>
          <w:color w:val="auto"/>
        </w:rPr>
      </w:pPr>
    </w:p>
    <w:p>
      <w:pPr>
        <w:ind w:right="420"/>
        <w:spacing w:after="0" w:line="371" w:lineRule="auto"/>
        <w:rPr>
          <w:sz w:val="20"/>
          <w:szCs w:val="20"/>
          <w:color w:val="auto"/>
        </w:rPr>
      </w:pPr>
      <w:r>
        <w:rPr>
          <w:rFonts w:ascii="Arial" w:cs="Arial" w:eastAsia="Arial" w:hAnsi="Arial"/>
          <w:sz w:val="18"/>
          <w:szCs w:val="18"/>
          <w:color w:val="auto"/>
        </w:rPr>
        <w:t>The following table presents the reconciliation of GAAP diluted weighted average shares outstanding, used in the computation of GAAP diluted net loss per common share, to adjusted diluted weighted average shares outstanding, used in the computation of adjusted diluted earnings per common share (in millions of shares):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32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GAAP diluted weighted average shares outstanding</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effects of stock-based compensation instruments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Adjusted diluted weighted average shares outstanding </w:t>
      </w:r>
      <w:r>
        <w:rPr>
          <w:rFonts w:ascii="Arial" w:cs="Arial" w:eastAsia="Arial" w:hAnsi="Arial"/>
          <w:sz w:val="9"/>
          <w:szCs w:val="9"/>
          <w:color w:val="auto"/>
        </w:rPr>
        <w:t>(1)</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22860</wp:posOffset>
            </wp:positionV>
            <wp:extent cx="1593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34"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22860</wp:posOffset>
            </wp:positionV>
            <wp:extent cx="15938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34"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53.5</w:t>
      </w:r>
    </w:p>
    <w:p>
      <w:pPr>
        <w:spacing w:after="0" w:line="40"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22860</wp:posOffset>
            </wp:positionV>
            <wp:extent cx="15938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34"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22860</wp:posOffset>
            </wp:positionV>
            <wp:extent cx="15938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93850" cy="8255"/>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48260</wp:posOffset>
            </wp:positionV>
            <wp:extent cx="15938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8400" w:space="720"/>
            <w:col w:w="2120"/>
          </w:cols>
          <w:pgMar w:left="320" w:top="1440" w:right="339" w:bottom="1440" w:gutter="0" w:footer="0" w:header="0"/>
          <w:type w:val="continuous"/>
        </w:sectPr>
      </w:pPr>
    </w:p>
    <w:p>
      <w:pPr>
        <w:ind w:left="380" w:right="300" w:hanging="355"/>
        <w:spacing w:after="0" w:line="251"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Adjusted diluted weighted average shares outstanding is a non-GAAP measure and includes the effects of stock-based compensation instruments, as reconciled in the above table.</w:t>
      </w:r>
    </w:p>
    <w:p>
      <w:pPr>
        <w:ind w:left="380" w:hanging="355"/>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Numbers may not add precisely due to rounding.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21</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upperLetter"/>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2024-02-21T05:20:05Z</dcterms:created>
  <dcterms:modified xsi:type="dcterms:W3CDTF">2024-02-21T05:20:05Z</dcterms:modified>
</cp:coreProperties>
</file>