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ind w:left="2420"/>
        <w:spacing w:after="0"/>
        <w:rPr>
          <w:sz w:val="20"/>
          <w:szCs w:val="20"/>
          <w:color w:val="auto"/>
        </w:rPr>
      </w:pPr>
      <w:r>
        <w:rPr>
          <w:rFonts w:ascii="Arial" w:cs="Arial" w:eastAsia="Arial" w:hAnsi="Arial"/>
          <w:sz w:val="22"/>
          <w:szCs w:val="22"/>
          <w:color w:val="auto"/>
        </w:rPr>
        <w:t>_____________________________________________________________</w:t>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59" w:lineRule="exact"/>
        <w:rPr>
          <w:sz w:val="24"/>
          <w:szCs w:val="24"/>
          <w:color w:val="auto"/>
        </w:rPr>
      </w:pPr>
    </w:p>
    <w:p>
      <w:pPr>
        <w:ind w:left="2360"/>
        <w:spacing w:after="0"/>
        <w:rPr>
          <w:sz w:val="20"/>
          <w:szCs w:val="20"/>
          <w:color w:val="auto"/>
        </w:rPr>
      </w:pPr>
      <w:r>
        <w:rPr>
          <w:rFonts w:ascii="Arial" w:cs="Arial" w:eastAsia="Arial" w:hAnsi="Arial"/>
          <w:sz w:val="22"/>
          <w:szCs w:val="22"/>
          <w:color w:val="auto"/>
        </w:rPr>
        <w:t>______________________________________________________________</w:t>
      </w:r>
    </w:p>
    <w:p>
      <w:pPr>
        <w:spacing w:after="0" w:line="236"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24, 2016</w:t>
      </w:r>
    </w:p>
    <w:p>
      <w:pPr>
        <w:spacing w:after="0" w:line="24" w:lineRule="exact"/>
        <w:rPr>
          <w:sz w:val="24"/>
          <w:szCs w:val="24"/>
          <w:color w:val="auto"/>
        </w:rPr>
      </w:pPr>
    </w:p>
    <w:p>
      <w:pPr>
        <w:ind w:left="2360"/>
        <w:spacing w:after="0"/>
        <w:rPr>
          <w:sz w:val="20"/>
          <w:szCs w:val="20"/>
          <w:color w:val="auto"/>
        </w:rPr>
      </w:pPr>
      <w:r>
        <w:rPr>
          <w:rFonts w:ascii="Arial" w:cs="Arial" w:eastAsia="Arial" w:hAnsi="Arial"/>
          <w:sz w:val="22"/>
          <w:szCs w:val="22"/>
          <w:color w:val="auto"/>
        </w:rPr>
        <w:t>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150495</wp:posOffset>
            </wp:positionV>
            <wp:extent cx="1475105" cy="47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(Exact Name of Registrant as Specified in its Charter)</w:t>
      </w:r>
    </w:p>
    <w:p>
      <w:pPr>
        <w:spacing w:after="0" w:line="4" w:lineRule="exact"/>
        <w:rPr>
          <w:sz w:val="24"/>
          <w:szCs w:val="24"/>
          <w:color w:val="auto"/>
        </w:rPr>
      </w:pPr>
    </w:p>
    <w:p>
      <w:pPr>
        <w:ind w:left="2200"/>
        <w:spacing w:after="0"/>
        <w:rPr>
          <w:sz w:val="20"/>
          <w:szCs w:val="20"/>
          <w:color w:val="auto"/>
        </w:rPr>
      </w:pPr>
      <w:r>
        <w:rPr>
          <w:rFonts w:ascii="Arial" w:cs="Arial" w:eastAsia="Arial" w:hAnsi="Arial"/>
          <w:sz w:val="22"/>
          <w:szCs w:val="22"/>
          <w:color w:val="auto"/>
        </w:rPr>
        <w:t>_________________________________________________________________</w:t>
      </w:r>
    </w:p>
    <w:p>
      <w:pPr>
        <w:spacing w:after="0" w:line="218"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3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England and Wales</w:t>
            </w:r>
          </w:p>
        </w:tc>
        <w:tc>
          <w:tcPr>
            <w:tcW w:w="3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333-203510</w:t>
            </w:r>
          </w:p>
        </w:tc>
        <w:tc>
          <w:tcPr>
            <w:tcW w:w="2700" w:type="dxa"/>
            <w:vAlign w:val="bottom"/>
          </w:tcPr>
          <w:p>
            <w:pPr>
              <w:jc w:val="center"/>
              <w:ind w:left="1290"/>
              <w:spacing w:after="0"/>
              <w:rPr>
                <w:sz w:val="20"/>
                <w:szCs w:val="20"/>
                <w:color w:val="auto"/>
              </w:rPr>
            </w:pPr>
            <w:r>
              <w:rPr>
                <w:rFonts w:ascii="Arial" w:cs="Arial" w:eastAsia="Arial" w:hAnsi="Arial"/>
                <w:sz w:val="18"/>
                <w:szCs w:val="18"/>
                <w:b w:val="1"/>
                <w:bCs w:val="1"/>
                <w:color w:val="auto"/>
              </w:rPr>
              <w:t>N/A</w:t>
            </w:r>
          </w:p>
        </w:tc>
      </w:tr>
      <w:tr>
        <w:trPr>
          <w:trHeight w:val="216"/>
        </w:trPr>
        <w:tc>
          <w:tcPr>
            <w:tcW w:w="3140" w:type="dxa"/>
            <w:vAlign w:val="bottom"/>
          </w:tcPr>
          <w:p>
            <w:pPr>
              <w:jc w:val="center"/>
              <w:ind w:right="1110"/>
              <w:spacing w:after="0"/>
              <w:rPr>
                <w:sz w:val="20"/>
                <w:szCs w:val="20"/>
                <w:color w:val="auto"/>
              </w:rPr>
            </w:pPr>
            <w:r>
              <w:rPr>
                <w:rFonts w:ascii="Arial" w:cs="Arial" w:eastAsia="Arial" w:hAnsi="Arial"/>
                <w:sz w:val="18"/>
                <w:szCs w:val="18"/>
                <w:color w:val="auto"/>
                <w:w w:val="90"/>
              </w:rPr>
              <w:t>(State or Other Jurisdiction</w:t>
            </w:r>
          </w:p>
        </w:tc>
        <w:tc>
          <w:tcPr>
            <w:tcW w:w="3540" w:type="dxa"/>
            <w:vAlign w:val="bottom"/>
          </w:tcPr>
          <w:p>
            <w:pPr>
              <w:jc w:val="center"/>
              <w:ind w:right="70"/>
              <w:spacing w:after="0"/>
              <w:rPr>
                <w:sz w:val="20"/>
                <w:szCs w:val="20"/>
                <w:color w:val="auto"/>
              </w:rPr>
            </w:pPr>
            <w:r>
              <w:rPr>
                <w:rFonts w:ascii="Arial" w:cs="Arial" w:eastAsia="Arial" w:hAnsi="Arial"/>
                <w:sz w:val="18"/>
                <w:szCs w:val="18"/>
                <w:color w:val="auto"/>
                <w:w w:val="93"/>
              </w:rPr>
              <w:t>(Commission</w:t>
            </w:r>
          </w:p>
        </w:tc>
        <w:tc>
          <w:tcPr>
            <w:tcW w:w="2700" w:type="dxa"/>
            <w:vAlign w:val="bottom"/>
          </w:tcPr>
          <w:p>
            <w:pPr>
              <w:jc w:val="center"/>
              <w:ind w:left="1270"/>
              <w:spacing w:after="0"/>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right="1050"/>
              <w:spacing w:after="0"/>
              <w:rPr>
                <w:sz w:val="20"/>
                <w:szCs w:val="20"/>
                <w:color w:val="auto"/>
              </w:rPr>
            </w:pPr>
            <w:r>
              <w:rPr>
                <w:rFonts w:ascii="Arial" w:cs="Arial" w:eastAsia="Arial" w:hAnsi="Arial"/>
                <w:sz w:val="18"/>
                <w:szCs w:val="18"/>
                <w:color w:val="auto"/>
                <w:w w:val="94"/>
              </w:rPr>
              <w:t>of Incorporation)</w:t>
            </w:r>
          </w:p>
        </w:tc>
        <w:tc>
          <w:tcPr>
            <w:tcW w:w="354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2700" w:type="dxa"/>
            <w:vAlign w:val="bottom"/>
          </w:tcPr>
          <w:p>
            <w:pPr>
              <w:jc w:val="center"/>
              <w:ind w:left="1270"/>
              <w:spacing w:after="0"/>
              <w:rPr>
                <w:sz w:val="20"/>
                <w:szCs w:val="20"/>
                <w:color w:val="auto"/>
              </w:rPr>
            </w:pPr>
            <w:r>
              <w:rPr>
                <w:rFonts w:ascii="Arial" w:cs="Arial" w:eastAsia="Arial" w:hAnsi="Arial"/>
                <w:sz w:val="18"/>
                <w:szCs w:val="18"/>
                <w:color w:val="auto"/>
                <w:w w:val="95"/>
              </w:rPr>
              <w:t>Identification No.)</w:t>
            </w:r>
          </w:p>
        </w:tc>
      </w:tr>
    </w:tbl>
    <w:p>
      <w:pPr>
        <w:spacing w:after="0" w:line="222" w:lineRule="exact"/>
        <w:rPr>
          <w:sz w:val="24"/>
          <w:szCs w:val="24"/>
          <w:color w:val="auto"/>
        </w:rPr>
      </w:pPr>
    </w:p>
    <w:p>
      <w:pPr>
        <w:ind w:left="2140"/>
        <w:spacing w:after="0"/>
        <w:rPr>
          <w:sz w:val="20"/>
          <w:szCs w:val="20"/>
          <w:color w:val="auto"/>
        </w:rPr>
      </w:pPr>
      <w:r>
        <w:rPr>
          <w:rFonts w:ascii="Arial" w:cs="Arial" w:eastAsia="Arial" w:hAnsi="Arial"/>
          <w:sz w:val="22"/>
          <w:szCs w:val="22"/>
          <w:color w:val="auto"/>
        </w:rPr>
        <w:t>__________________________________________________________________</w:t>
      </w:r>
    </w:p>
    <w:p>
      <w:pPr>
        <w:spacing w:after="0" w:line="236"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5 Merchant Square</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North Wharf Road</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London, W2 1AY</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+44 20 37865275</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6" w:lineRule="exact"/>
        <w:rPr>
          <w:sz w:val="24"/>
          <w:szCs w:val="24"/>
          <w:color w:val="auto"/>
        </w:rPr>
      </w:pPr>
    </w:p>
    <w:p>
      <w:pPr>
        <w:ind w:left="2100"/>
        <w:spacing w:after="0"/>
        <w:rPr>
          <w:sz w:val="20"/>
          <w:szCs w:val="20"/>
          <w:color w:val="auto"/>
        </w:rPr>
      </w:pPr>
      <w:r>
        <w:rPr>
          <w:rFonts w:ascii="Arial" w:cs="Arial" w:eastAsia="Arial" w:hAnsi="Arial"/>
          <w:sz w:val="22"/>
          <w:szCs w:val="22"/>
          <w:color w:val="auto"/>
        </w:rPr>
        <w:t>___________________________________________________________________</w:t>
      </w:r>
    </w:p>
    <w:p>
      <w:pPr>
        <w:spacing w:after="0" w:line="22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9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2720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1111"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February 24, 2016, LivaNova PLC (the "Company") issued a press release announcing financial results for the period ending December 31, 2015. The Company will host a business update conference call and webcast today, February 24, 2016, at 8:00 a.m. Central Time (9:00 a.m. Eastern Time, 2:00 p.m. GMT), during which the Company will discuss the financial results. The conference call will be available to interested parties through a live audio webcast commencing at 8:00 a.m. Central Time (9:00 a.m. Eastern Time, 2:00 p.m. GMT) and accessible through the Investor Relations section of the LivaNova corporate website at www.livanova.com. A copy of the Company's press release is furnished as Exhibit 99.1 on this Current Report on Form 8-K.</w:t>
      </w:r>
    </w:p>
    <w:p>
      <w:pPr>
        <w:spacing w:after="0" w:line="18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620"/>
        <w:spacing w:after="0"/>
        <w:tabs>
          <w:tab w:leader="none" w:pos="22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issued by LivaNova PLC dated February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7380" w:type="dxa"/>
            <w:vAlign w:val="bottom"/>
            <w:gridSpan w:val="3"/>
          </w:tcPr>
          <w:p>
            <w:pPr>
              <w:ind w:left="2200"/>
              <w:spacing w:after="0"/>
              <w:rPr>
                <w:sz w:val="20"/>
                <w:szCs w:val="20"/>
                <w:color w:val="auto"/>
              </w:rPr>
            </w:pPr>
            <w:r>
              <w:rPr>
                <w:rFonts w:ascii="Arial" w:cs="Arial" w:eastAsia="Arial" w:hAnsi="Arial"/>
                <w:sz w:val="18"/>
                <w:szCs w:val="18"/>
                <w:color w:val="auto"/>
              </w:rPr>
              <w:t>LivaNova PLC</w:t>
            </w:r>
          </w:p>
        </w:tc>
      </w:tr>
      <w:tr>
        <w:trPr>
          <w:trHeight w:val="392"/>
        </w:trPr>
        <w:tc>
          <w:tcPr>
            <w:tcW w:w="4040" w:type="dxa"/>
            <w:vAlign w:val="bottom"/>
          </w:tcPr>
          <w:p>
            <w:pPr>
              <w:spacing w:after="0"/>
              <w:rPr>
                <w:sz w:val="20"/>
                <w:szCs w:val="20"/>
                <w:color w:val="auto"/>
              </w:rPr>
            </w:pPr>
            <w:r>
              <w:rPr>
                <w:rFonts w:ascii="Arial" w:cs="Arial" w:eastAsia="Arial" w:hAnsi="Arial"/>
                <w:sz w:val="18"/>
                <w:szCs w:val="18"/>
                <w:color w:val="auto"/>
              </w:rPr>
              <w:t>Date: February 24, 2016</w:t>
            </w:r>
          </w:p>
        </w:tc>
        <w:tc>
          <w:tcPr>
            <w:tcW w:w="3020" w:type="dxa"/>
            <w:vAlign w:val="bottom"/>
          </w:tcPr>
          <w:p>
            <w:pPr>
              <w:ind w:left="232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Brian Sheridan</w:t>
            </w:r>
          </w:p>
        </w:tc>
        <w:tc>
          <w:tcPr>
            <w:tcW w:w="1000" w:type="dxa"/>
            <w:vAlign w:val="bottom"/>
          </w:tcPr>
          <w:p>
            <w:pPr>
              <w:spacing w:after="0"/>
              <w:rPr>
                <w:sz w:val="24"/>
                <w:szCs w:val="24"/>
                <w:color w:val="auto"/>
              </w:rPr>
            </w:pPr>
          </w:p>
        </w:tc>
      </w:tr>
      <w:tr>
        <w:trPr>
          <w:trHeight w:val="222"/>
        </w:trPr>
        <w:tc>
          <w:tcPr>
            <w:tcW w:w="4040" w:type="dxa"/>
            <w:vAlign w:val="bottom"/>
          </w:tcPr>
          <w:p>
            <w:pPr>
              <w:spacing w:after="0"/>
              <w:rPr>
                <w:sz w:val="19"/>
                <w:szCs w:val="19"/>
                <w:color w:val="auto"/>
              </w:rPr>
            </w:pPr>
          </w:p>
        </w:tc>
        <w:tc>
          <w:tcPr>
            <w:tcW w:w="3020" w:type="dxa"/>
            <w:vAlign w:val="bottom"/>
          </w:tcPr>
          <w:p>
            <w:pPr>
              <w:ind w:left="2320"/>
              <w:spacing w:after="0"/>
              <w:rPr>
                <w:sz w:val="20"/>
                <w:szCs w:val="20"/>
                <w:color w:val="auto"/>
              </w:rPr>
            </w:pPr>
            <w:r>
              <w:rPr>
                <w:rFonts w:ascii="Arial" w:cs="Arial" w:eastAsia="Arial" w:hAnsi="Arial"/>
                <w:sz w:val="18"/>
                <w:szCs w:val="18"/>
                <w:color w:val="auto"/>
              </w:rPr>
              <w:t>Name:</w:t>
            </w:r>
          </w:p>
        </w:tc>
        <w:tc>
          <w:tcPr>
            <w:tcW w:w="4360" w:type="dxa"/>
            <w:vAlign w:val="bottom"/>
            <w:gridSpan w:val="2"/>
          </w:tcPr>
          <w:p>
            <w:pPr>
              <w:spacing w:after="0"/>
              <w:rPr>
                <w:sz w:val="20"/>
                <w:szCs w:val="20"/>
                <w:color w:val="auto"/>
              </w:rPr>
            </w:pPr>
            <w:r>
              <w:rPr>
                <w:rFonts w:ascii="Arial" w:cs="Arial" w:eastAsia="Arial" w:hAnsi="Arial"/>
                <w:sz w:val="18"/>
                <w:szCs w:val="18"/>
                <w:color w:val="auto"/>
              </w:rPr>
              <w:t>Brian Sheridan</w:t>
            </w:r>
          </w:p>
        </w:tc>
      </w:tr>
      <w:tr>
        <w:trPr>
          <w:trHeight w:val="230"/>
        </w:trPr>
        <w:tc>
          <w:tcPr>
            <w:tcW w:w="4040" w:type="dxa"/>
            <w:vAlign w:val="bottom"/>
          </w:tcPr>
          <w:p>
            <w:pPr>
              <w:spacing w:after="0"/>
              <w:rPr>
                <w:sz w:val="20"/>
                <w:szCs w:val="20"/>
                <w:color w:val="auto"/>
              </w:rPr>
            </w:pPr>
          </w:p>
        </w:tc>
        <w:tc>
          <w:tcPr>
            <w:tcW w:w="3020" w:type="dxa"/>
            <w:vAlign w:val="bottom"/>
          </w:tcPr>
          <w:p>
            <w:pPr>
              <w:ind w:left="2320"/>
              <w:spacing w:after="0"/>
              <w:rPr>
                <w:sz w:val="20"/>
                <w:szCs w:val="20"/>
                <w:color w:val="auto"/>
              </w:rPr>
            </w:pPr>
            <w:r>
              <w:rPr>
                <w:rFonts w:ascii="Arial" w:cs="Arial" w:eastAsia="Arial" w:hAnsi="Arial"/>
                <w:sz w:val="18"/>
                <w:szCs w:val="18"/>
                <w:color w:val="auto"/>
              </w:rPr>
              <w:t>Title</w:t>
            </w:r>
          </w:p>
        </w:tc>
        <w:tc>
          <w:tcPr>
            <w:tcW w:w="4360" w:type="dxa"/>
            <w:vAlign w:val="bottom"/>
            <w:gridSpan w:val="2"/>
          </w:tcPr>
          <w:p>
            <w:pPr>
              <w:spacing w:after="0"/>
              <w:rPr>
                <w:sz w:val="20"/>
                <w:szCs w:val="20"/>
                <w:color w:val="auto"/>
              </w:rPr>
            </w:pPr>
            <w:r>
              <w:rPr>
                <w:rFonts w:ascii="Arial" w:cs="Arial" w:eastAsia="Arial" w:hAnsi="Arial"/>
                <w:sz w:val="18"/>
                <w:szCs w:val="18"/>
                <w:color w:val="auto"/>
              </w:rPr>
              <w:t>Company Secretary</w:t>
            </w:r>
          </w:p>
        </w:tc>
      </w:tr>
      <w:tr>
        <w:trPr>
          <w:trHeight w:val="426"/>
        </w:trPr>
        <w:tc>
          <w:tcPr>
            <w:tcW w:w="40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96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5100" w:type="dxa"/>
            <w:vAlign w:val="bottom"/>
            <w:gridSpan w:val="3"/>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53"/>
        </w:trPr>
        <w:tc>
          <w:tcPr>
            <w:tcW w:w="88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5100" w:type="dxa"/>
            <w:vAlign w:val="bottom"/>
            <w:gridSpan w:val="3"/>
          </w:tcPr>
          <w:p>
            <w:pPr>
              <w:ind w:left="260"/>
              <w:spacing w:after="0"/>
              <w:rPr>
                <w:sz w:val="20"/>
                <w:szCs w:val="20"/>
                <w:color w:val="auto"/>
              </w:rPr>
            </w:pPr>
            <w:r>
              <w:rPr>
                <w:rFonts w:ascii="Arial" w:cs="Arial" w:eastAsia="Arial" w:hAnsi="Arial"/>
                <w:sz w:val="18"/>
                <w:szCs w:val="18"/>
                <w:color w:val="auto"/>
                <w:w w:val="92"/>
              </w:rPr>
              <w:t>Press Release issued by LivaNova PLC dated February 24, 2016</w:t>
            </w:r>
          </w:p>
        </w:tc>
      </w:tr>
    </w:tbl>
    <w:p>
      <w:pPr>
        <w:sectPr>
          <w:pgSz w:w="11900" w:h="16838" w:orient="portrait"/>
          <w:cols w:equalWidth="0" w:num="1">
            <w:col w:w="10039"/>
          </w:cols>
          <w:pgMar w:left="42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color w:val="FF5C39"/>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4404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40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FF5C39"/>
        </w:rPr>
        <w:t>PRESS RELEASE</w:t>
      </w:r>
    </w:p>
    <w:p>
      <w:pPr>
        <w:spacing w:after="0" w:line="209" w:lineRule="exact"/>
        <w:rPr>
          <w:sz w:val="20"/>
          <w:szCs w:val="20"/>
          <w:color w:val="auto"/>
        </w:rPr>
      </w:pPr>
    </w:p>
    <w:p>
      <w:pPr>
        <w:ind w:right="4380"/>
        <w:spacing w:after="0" w:line="457" w:lineRule="auto"/>
        <w:rPr>
          <w:sz w:val="20"/>
          <w:szCs w:val="20"/>
          <w:color w:val="auto"/>
        </w:rPr>
      </w:pPr>
      <w:r>
        <w:rPr>
          <w:rFonts w:ascii="Arial" w:cs="Arial" w:eastAsia="Arial" w:hAnsi="Arial"/>
          <w:sz w:val="25"/>
          <w:szCs w:val="25"/>
          <w:color w:val="FF5C39"/>
        </w:rPr>
        <w:t>LivaNova Reports 2015 Annual and Fourth Quarter Financial Results Provides Fiscal 2016 Guidance</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London, February 24, 2016; 6:00 AM CT – LivaNova PLC (NASDAQ:LIVN; LSE: LIVN) ("LivaNova" or the "Company"), a global medical technology company, today announced 2015 financial results (see Historical Financial Information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Other Recent Business Highlights</w:t>
      </w:r>
    </w:p>
    <w:p>
      <w:pPr>
        <w:spacing w:after="0" w:line="246" w:lineRule="exact"/>
        <w:rPr>
          <w:sz w:val="20"/>
          <w:szCs w:val="20"/>
          <w:color w:val="auto"/>
        </w:rPr>
      </w:pPr>
    </w:p>
    <w:p>
      <w:pPr>
        <w:ind w:left="660" w:right="20" w:hanging="328"/>
        <w:spacing w:after="0" w:line="182"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Worldwide sales on a combined basis</w:t>
      </w:r>
      <w:r>
        <w:rPr>
          <w:rFonts w:ascii="Arial" w:cs="Arial" w:eastAsia="Arial" w:hAnsi="Arial"/>
          <w:sz w:val="27"/>
          <w:szCs w:val="27"/>
          <w:color w:val="auto"/>
          <w:vertAlign w:val="superscript"/>
        </w:rPr>
        <w:t>1</w:t>
      </w:r>
      <w:r>
        <w:rPr>
          <w:rFonts w:ascii="Arial" w:cs="Arial" w:eastAsia="Arial" w:hAnsi="Arial"/>
          <w:sz w:val="17"/>
          <w:szCs w:val="17"/>
          <w:color w:val="auto"/>
        </w:rPr>
        <w:t xml:space="preserve"> for the three months ended December 31, 2015 were $318 million, an increase of 3.1% on a constant currency</w:t>
      </w:r>
      <w:r>
        <w:rPr>
          <w:rFonts w:ascii="Arial" w:cs="Arial" w:eastAsia="Arial" w:hAnsi="Arial"/>
          <w:sz w:val="27"/>
          <w:szCs w:val="27"/>
          <w:color w:val="auto"/>
          <w:vertAlign w:val="superscript"/>
        </w:rPr>
        <w:t>2</w:t>
      </w:r>
      <w:r>
        <w:rPr>
          <w:rFonts w:ascii="Arial" w:cs="Arial" w:eastAsia="Arial" w:hAnsi="Arial"/>
          <w:sz w:val="17"/>
          <w:szCs w:val="17"/>
          <w:color w:val="auto"/>
        </w:rPr>
        <w:t xml:space="preserve"> basis as compared to the previous year. On an as reported basis, sales declined by 3.6% for the above period.</w:t>
      </w:r>
    </w:p>
    <w:p>
      <w:pPr>
        <w:ind w:left="660" w:hanging="328"/>
        <w:spacing w:after="0" w:line="18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For the twelve months ended December 31, 2015</w:t>
      </w:r>
      <w:r>
        <w:rPr>
          <w:rFonts w:ascii="Arial" w:cs="Arial" w:eastAsia="Arial" w:hAnsi="Arial"/>
          <w:sz w:val="30"/>
          <w:szCs w:val="30"/>
          <w:color w:val="auto"/>
          <w:vertAlign w:val="superscript"/>
        </w:rPr>
        <w:t>3</w:t>
      </w:r>
      <w:r>
        <w:rPr>
          <w:rFonts w:ascii="Arial" w:cs="Arial" w:eastAsia="Arial" w:hAnsi="Arial"/>
          <w:sz w:val="18"/>
          <w:szCs w:val="18"/>
          <w:color w:val="auto"/>
        </w:rPr>
        <w:t>, worldwide sales on a combined basis were $1.2 billion, an increase of 2.7% on a constant currency basis over the comparable periods in 2014, and declined by 6.7% on an as reported basis.</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FDA approvals of Perceval sutureless valve and CROWN PRT aortic valve.</w:t>
      </w:r>
    </w:p>
    <w:p>
      <w:pPr>
        <w:spacing w:after="0" w:line="36"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Regulatory approval in Japan of KORA 250, MRI compatible pacemaker.</w:t>
      </w:r>
    </w:p>
    <w:p>
      <w:pPr>
        <w:spacing w:after="0" w:line="2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European &amp; Japanese launch of Platinium range of ICDs and CRT-Ds.</w:t>
      </w:r>
    </w:p>
    <w:p>
      <w:pPr>
        <w:spacing w:after="0" w:line="23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"Overall, our fourth quarter sales results demonstrated the expected improvement over both the prior quarter and the comparable period in the prior year on a constant currency basis. Cardiac Surgery improved in several areas, most notably in the U.S. and other developed markets. CRM sales improved over the prior quarter, and the initial results of the Platinium launch in Europe are encouraging. The Neuromodulation business unit continues to grow strongly, with the AspireSR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launch contributing substantially to results in addition to ongoing growth from new patients in the U.S. market," said André-Michel Ballester, Chief Executive Officer of LivaNova. "The recent regulatory approvals of the Perceval sutureless valve in the U.S. and KORA 250 fully MRI compatible pacemaker in Japan, along with the continued strong performance of AspireSR, provides a sound basis for our guidance today and solid growth is anticipated in fiscal 2016 and subsequent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20" w:hanging="112"/>
        <w:spacing w:after="0"/>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See the discussion of "Financial Alignment, Combined Sales &amp; Operating Results, Business Unit Structure and Constant Currency" below.</w:t>
      </w:r>
    </w:p>
    <w:p>
      <w:pPr>
        <w:ind w:right="180" w:firstLine="8"/>
        <w:spacing w:after="0" w:line="206" w:lineRule="auto"/>
        <w:tabs>
          <w:tab w:leader="none" w:pos="12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Unless otherwise noted, all sales growth rates in this release reflect comparable, constant currency growth. Constant currency growth measures the change in sales between the current and prior year periods using average exchange rates in effect during the applicable prior year period.</w:t>
      </w:r>
    </w:p>
    <w:p>
      <w:pPr>
        <w:spacing w:after="0"/>
        <w:rPr>
          <w:rFonts w:ascii="Arial" w:cs="Arial" w:eastAsia="Arial" w:hAnsi="Arial"/>
          <w:sz w:val="28"/>
          <w:szCs w:val="28"/>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See the discussion of "Financial Alignment, Combined Sales &amp; Operating Results, Business Unit Structure and Constant Currency"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"We expect to achieve both sales and earnings growth in order to deliver sustainable shareholder value. Further, I want to thank the teams that have been focused on both realizing potential synergies and implementing our integration plans. We remain firmly on track to achieve each of these objectives," continued Mr. Ballester.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Financial Information</w:t>
      </w:r>
      <w:r>
        <w:rPr>
          <w:rFonts w:ascii="Arial" w:cs="Arial" w:eastAsia="Arial" w:hAnsi="Arial"/>
          <w:sz w:val="30"/>
          <w:szCs w:val="30"/>
          <w:color w:val="auto"/>
          <w:vertAlign w:val="superscript"/>
        </w:rPr>
        <w:t>4</w:t>
      </w:r>
    </w:p>
    <w:p>
      <w:pPr>
        <w:spacing w:after="0" w:line="11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October 19, 2015, LivaNova was formed by the merger of Sorin S.p.A ("Sorin"), a leader in the treatment of cardiovascular diseases, and Cyberonics Inc. ("Cyberonics"), a medical device company with core expertise in neuromodulation. Today, LivaNova operates as one company with three Business Units: with Cardiac Surgery and Cardiac Rhythm Management ("CRM") (the successors to the legacy Sorin business) and Neuromodulation (the successor to the legacy Cyberonics business). These Business Units account for substantially all of the Company's sales during the periods referred to herein.</w:t>
      </w:r>
      <w:r>
        <w:rPr>
          <w:rFonts w:ascii="Arial" w:cs="Arial" w:eastAsia="Arial" w:hAnsi="Arial"/>
          <w:sz w:val="26"/>
          <w:szCs w:val="26"/>
          <w:color w:val="auto"/>
          <w:vertAlign w:val="superscript"/>
        </w:rPr>
        <w:t>5</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LivaNova is providing unaudited financial results for the fiscal period ended December 31, 2015 as follows:</w:t>
      </w:r>
    </w:p>
    <w:p>
      <w:pPr>
        <w:spacing w:after="0" w:line="23" w:lineRule="exact"/>
        <w:rPr>
          <w:sz w:val="20"/>
          <w:szCs w:val="20"/>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Statements of Operations for LivaNova for the Transitional Year from April 25, 2015 to December 31, 2015. The Transitional Year includes the results of legacy Cyberonics from April 25, 2015 to December 31, 2015 and the results of legacy Sorin from October 19, 2015 to December 31, 2015.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balance sheet as at December 31, 2015.</w:t>
      </w:r>
    </w:p>
    <w:p>
      <w:pPr>
        <w:spacing w:after="0" w:line="9" w:lineRule="exact"/>
        <w:rPr>
          <w:rFonts w:ascii="Arial" w:cs="Arial" w:eastAsia="Arial" w:hAnsi="Arial"/>
          <w:sz w:val="18"/>
          <w:szCs w:val="18"/>
          <w:color w:val="auto"/>
        </w:rPr>
      </w:pPr>
    </w:p>
    <w:p>
      <w:pPr>
        <w:ind w:left="660" w:hanging="328"/>
        <w:spacing w:after="0" w:line="18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for the three and twelve months ended December 31, 2015 for Cardiac Surgery and CRM business units, giving effect to the merger as if it had occurred at the beginning of each period presented.</w:t>
      </w:r>
    </w:p>
    <w:p>
      <w:pPr>
        <w:spacing w:after="0" w:line="14" w:lineRule="exact"/>
        <w:rPr>
          <w:rFonts w:ascii="Arial" w:cs="Arial" w:eastAsia="Arial" w:hAnsi="Arial"/>
          <w:sz w:val="18"/>
          <w:szCs w:val="18"/>
          <w:color w:val="auto"/>
        </w:rPr>
      </w:pPr>
    </w:p>
    <w:p>
      <w:pPr>
        <w:jc w:val="both"/>
        <w:ind w:left="660" w:hanging="328"/>
        <w:spacing w:after="0" w:line="20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for the periods commencing on September 26, 2015 and December 27, 2014, and ending on December 31, 2015 for Neuromodulation business unit.</w:t>
      </w:r>
      <w:r>
        <w:rPr>
          <w:rFonts w:ascii="Arial" w:cs="Arial" w:eastAsia="Arial" w:hAnsi="Arial"/>
          <w:sz w:val="30"/>
          <w:szCs w:val="30"/>
          <w:color w:val="auto"/>
          <w:vertAlign w:val="superscript"/>
        </w:rPr>
        <w:t>7</w:t>
      </w:r>
      <w:r>
        <w:rPr>
          <w:rFonts w:ascii="Arial" w:cs="Arial" w:eastAsia="Arial" w:hAnsi="Arial"/>
          <w:sz w:val="18"/>
          <w:szCs w:val="18"/>
          <w:color w:val="auto"/>
        </w:rPr>
        <w:t xml:space="preserve"> These periods will be referred to as the quarter, or three months ended December 31, 2015, and the twelve months, or year, ended December 31, 2015, of LivaNova, respectively, throughout this press release.</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for the above periods by geography, on the same combined basis.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Selected non-GAAP operating results for both legacy Cyberonics and legacy Sorin for each of the quarters ended March 31, 2015, June 30, 2015, September 30, 2015 and December 31, 2015 and for the twelve months ended December 31, 2015. These operating results have been adjusted for non-GAAP items.</w:t>
      </w:r>
    </w:p>
    <w:p>
      <w:pPr>
        <w:spacing w:after="0" w:line="1"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Combined selected non-GAAP operating results for LivaNova for each of the quarters ended March 31, 2015, June 30, 2015, September 30, 2015 and December 31, 2015, and for the twelve months ended December 31, 2015. These operating results have been adjusted for non-GAAP items.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sales and operating results for legacy Cyberonics for the March, June and September quarters represent results for the periods ended on March 27, June 26 and September 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hanging="112"/>
        <w:spacing w:after="0"/>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See the discussion of "Financial Alignment, Combined Sales &amp; Operating Results, Business Unit Structure and Constant Currency" below.</w:t>
      </w:r>
    </w:p>
    <w:p>
      <w:pPr>
        <w:ind w:right="340" w:firstLine="8"/>
        <w:spacing w:after="0" w:line="193" w:lineRule="auto"/>
        <w:tabs>
          <w:tab w:leader="none" w:pos="1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All financial results for the time period prior to October 19, 2015, the closing date of the merger, for the Company's Cardiac Surgery and CRM business units and Neuromodulation business unit reflect the financial results of legacy Sorin and Cyberonics, respectively.</w:t>
      </w:r>
    </w:p>
    <w:p>
      <w:pPr>
        <w:spacing w:after="0" w:line="181"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6</w:t>
      </w:r>
      <w:r>
        <w:rPr>
          <w:rFonts w:ascii="Arial" w:cs="Arial" w:eastAsia="Arial" w:hAnsi="Arial"/>
          <w:sz w:val="16"/>
          <w:szCs w:val="16"/>
          <w:color w:val="auto"/>
        </w:rPr>
        <w:t xml:space="preserve"> Legacy Sorin previously reported sales in Euros.</w:t>
      </w:r>
    </w:p>
    <w:p>
      <w:pPr>
        <w:spacing w:after="0"/>
        <w:rPr>
          <w:rFonts w:ascii="Arial" w:cs="Arial" w:eastAsia="Arial" w:hAnsi="Arial"/>
          <w:sz w:val="30"/>
          <w:szCs w:val="30"/>
          <w:color w:val="auto"/>
          <w:vertAlign w:val="superscript"/>
        </w:rPr>
      </w:pPr>
      <w:r>
        <w:rPr>
          <w:rFonts w:ascii="Arial" w:cs="Arial" w:eastAsia="Arial" w:hAnsi="Arial"/>
          <w:sz w:val="28"/>
          <w:szCs w:val="28"/>
          <w:color w:val="auto"/>
          <w:vertAlign w:val="superscript"/>
        </w:rPr>
        <w:t>7</w:t>
      </w:r>
      <w:r>
        <w:rPr>
          <w:rFonts w:ascii="Arial" w:cs="Arial" w:eastAsia="Arial" w:hAnsi="Arial"/>
          <w:sz w:val="17"/>
          <w:szCs w:val="17"/>
          <w:color w:val="auto"/>
        </w:rPr>
        <w:t xml:space="preserve"> Comparable periods in 2014 for the Neuromodulation Business Unit were the thirteen, and fifty-two, weeks, respectively, ended December 26, 2014</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Consolidated Profit &amp; Loss for the Transitional Year ended December 31, 2015</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reported a loss from operations of $29 million on sales of $416 million for the Transitional Period ended December 31, 2015. This period included a $24 million impact from the step-up in inventory and fixed assets, $67 million in merger, integration and restructuring expenses along with $23 million in accelerated equity compensation expenses and other expenses considered to be of a non-recurring nature. Management believes that, due to the timing of the merger referred to above, and the time period covered by the Transitional results, the results are not comparable to prior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December 31, 2015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Business Units, sales were as follows:</w:t>
      </w:r>
      <w:r>
        <w:rPr>
          <w:rFonts w:ascii="Arial" w:cs="Arial" w:eastAsia="Arial" w:hAnsi="Arial"/>
          <w:sz w:val="30"/>
          <w:szCs w:val="30"/>
          <w:color w:val="auto"/>
          <w:vertAlign w:val="superscript"/>
        </w:rPr>
        <w:t>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Cardiac Surgery (as a business unit of Sorin during part of the reported period)</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Cardiac Surgery sales, which include cardiopulmonary products and heart valves, were $165 million, representing a 4.2% increase on a constant currency basis. Sales in the comparable period of 2014 were $171 million, with currency changes adversely impacting reported sales by $13 million in 2015.</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 cardiopulmonary products, including heart-lung machines, oxygenators, and auto-transfusion machines, were $130 million, an increase of 6.0% on a constant currency basis as compared to the previous year period. Sales in the U.S. and other developed markets were particularly strong, growing by 14.5% over the comparable period in 2014.</w:t>
      </w:r>
    </w:p>
    <w:p>
      <w:pPr>
        <w:spacing w:after="0" w:line="208"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Heart valve sales, including tissue and mechanical heart valves, were $35 million, a decrease of 1.6% on a constant currency basis as compared to the same period the previous year. Sales of Perceval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Europe have resumed at an accelerated rate and the recent approval in the U.S. is expected to provide an impetus to growth in 2016.</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Neuromodulation (as a business unit of Cyberonics during part of the reported period)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Neuromodulation sales were $92 million in the fourth quarter, an increase of 25.9% on a constant currency basis. Sales in the comparable period of 2014 were $74 million, with currency changes adversely impacting sales by $1 million in 2015.</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should be noted that the change in fiscal calendar for Neuromodulation resulted in three additional business days during the period and the Company estimates this added 4% to 6% to the growth rate.</w:t>
      </w:r>
    </w:p>
    <w:p>
      <w:pPr>
        <w:spacing w:after="0" w:line="188" w:lineRule="exact"/>
        <w:rPr>
          <w:sz w:val="20"/>
          <w:szCs w:val="20"/>
          <w:color w:val="auto"/>
        </w:rPr>
      </w:pPr>
    </w:p>
    <w:p>
      <w:pPr>
        <w:jc w:val="both"/>
        <w:spacing w:after="0" w:line="184" w:lineRule="auto"/>
        <w:rPr>
          <w:sz w:val="20"/>
          <w:szCs w:val="20"/>
          <w:color w:val="auto"/>
        </w:rPr>
      </w:pPr>
      <w:r>
        <w:rPr>
          <w:rFonts w:ascii="Arial" w:cs="Arial" w:eastAsia="Arial" w:hAnsi="Arial"/>
          <w:sz w:val="18"/>
          <w:szCs w:val="18"/>
          <w:color w:val="auto"/>
        </w:rPr>
        <w:t>Growth was primarily driven by continued strong new patient adoption in the U.S. largely as a result of sales of AspireSR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following launch in June 2015, and sustained growth in international markets. Unit growth globally was approximately 13%, and the 70% adoption rate of AspireSR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U.S. market drove a favorable product mix and higher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996315</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hanging="112"/>
        <w:spacing w:after="0"/>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See the discussion of "Financial Alignment, Combined Sales &amp; Operating Results, Business Unit Structure and Constant Currency"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CRM (as a business unit of Sorin during part of the reported period)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CRM sales for the period totaled $61 million, a decrease of 19.2% on a constant currency basis. Sales in the comparable period of 2014 were $85 million, with currency changes adversely impacting reported sales by $8 million in 2015.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Excluding Japan and the US markets, CRM sales increased by approximately 1% on a constant currency basis. Following the recent approval of KORA 250, sales to Japan will resume in the first quarter of 2016.</w:t>
      </w:r>
    </w:p>
    <w:p>
      <w:pPr>
        <w:spacing w:after="0" w:line="197"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Planned shipments to Japan in the fourth quarter were again immaterial, in line with management's previously provided expectations, ahead of the launch of KORA 250</w:t>
      </w:r>
      <w:r>
        <w:rPr>
          <w:rFonts w:ascii="Arial" w:cs="Arial" w:eastAsia="Arial" w:hAnsi="Arial"/>
          <w:sz w:val="30"/>
          <w:szCs w:val="30"/>
          <w:color w:val="auto"/>
          <w:vertAlign w:val="superscript"/>
        </w:rPr>
        <w:t>®</w:t>
      </w:r>
      <w:r>
        <w:rPr>
          <w:rFonts w:ascii="Arial" w:cs="Arial" w:eastAsia="Arial" w:hAnsi="Arial"/>
          <w:sz w:val="18"/>
          <w:szCs w:val="18"/>
          <w:color w:val="auto"/>
        </w:rPr>
        <w:t>, which is anticipated to occur in the first quarter of 2016, and should support further regaining of market share. Sales in European markets improved, showing growth for the quarter following the Platinium</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launch in November.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Twelve months ended December 31, 2015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three Business Units, sales were as follows: </w:t>
      </w:r>
      <w:r>
        <w:rPr>
          <w:rFonts w:ascii="Arial" w:cs="Arial" w:eastAsia="Arial" w:hAnsi="Arial"/>
          <w:sz w:val="30"/>
          <w:szCs w:val="30"/>
          <w:color w:val="auto"/>
          <w:vertAlign w:val="superscript"/>
        </w:rPr>
        <w:t>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Cardiac Surgery (as a business unit of Sorin during part of the reported period)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Cardiac Surgery sales, which include cardiopulmonary products and heart valves, grew to $617 million, an increase of 3.3% on a constant currency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in the comparable period of 2014 were $664 million, with currency changes adversely impacting reported sales by $69 million in 2015.</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 cardiopulmonary products grew to $476 million, an increase of 4.8% on a constant currency basis as compared to the prior year period. Over the year, sales to emerging markets, Japan, Canada and Australia grew by 8.8% over the comparable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Heart valve sales, were $140 million, a decrease of 1.6% on a constant currency basis as compared to the same period last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Neuromodulation (as a business unit of Cyberonics during part of the reported period)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Neuromodulation net sales grew to $324 million, an increase of 13.9% on a constant currency basis. Sales in the comparable period of 2014 were $290 million, with currency changes adversely impacting sales by $6 million in 2015. The reported period includes a positive impact of 1% to 2% from the change in fiscal calendar to a December 31 year end.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Sales growth accelerated following the launch of AspireSR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U.S. market in June,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CRM (as a business unit of Sorin during part of the reported period)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CRM net sales for the period totaled $261 million, a decrease of 8.4% on a constant currency basis. Lower sales to Japan for the reasons previously discussed accounted for approximately half of this decrease. Sales in the comparable period of 2014 were $334 million, with currency changes adversely impacting sales by $45 million in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 for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note the following and refer to the Table on the last page of this release:</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All financial guidance referred to below is on an adjusted non-GAAP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See the discussion of "Financial Alignment, Combined Sales &amp; Operating Results, Business Unit Structure and Constant Currency"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660" w:hanging="328"/>
        <w:spacing w:after="0" w:line="293" w:lineRule="auto"/>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 expects substantial one-time expenses in its reported financial statements during 2016 related to the recent merger, including for purchase price accounting, amortization, merger, integration and restructuring expenses, and other one-time payments.</w:t>
      </w:r>
    </w:p>
    <w:p>
      <w:pPr>
        <w:spacing w:after="0" w:line="9" w:lineRule="exact"/>
        <w:rPr>
          <w:rFonts w:ascii="Arial" w:cs="Arial" w:eastAsia="Arial" w:hAnsi="Arial"/>
          <w:sz w:val="16"/>
          <w:szCs w:val="16"/>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All references to sales growth are on a constant currency basis.</w:t>
      </w:r>
    </w:p>
    <w:p>
      <w:pPr>
        <w:spacing w:after="0" w:line="36" w:lineRule="exact"/>
        <w:rPr>
          <w:rFonts w:ascii="Arial" w:cs="Arial" w:eastAsia="Arial" w:hAnsi="Arial"/>
          <w:sz w:val="18"/>
          <w:szCs w:val="18"/>
          <w:b w:val="1"/>
          <w:bCs w:val="1"/>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Adjusted non-GAAP income from operations, adjusted non-GAAP net income and adjusted non-GAAP diluted earnings per share exclude expenses relating to purchase price accounting, amortization, merger, integration and restructuring expenses, other one-time payments and equity compensation expense.</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Average Euro/Dollar exchange rate of $1.10.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Worldwide sales growth </w:t>
      </w:r>
      <w:r>
        <w:rPr>
          <w:rFonts w:ascii="Arial" w:cs="Arial" w:eastAsia="Arial" w:hAnsi="Arial"/>
          <w:sz w:val="18"/>
          <w:szCs w:val="18"/>
          <w:color w:val="auto"/>
        </w:rPr>
        <w:t>of between 3% and 5% over 2015. The assumptions used in establishing this range include:</w:t>
      </w:r>
    </w:p>
    <w:p>
      <w:pPr>
        <w:spacing w:after="0" w:line="256"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growth for each Business Unit is expected to be within the following ranges:</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Cardiac Surgery:  3% and 5%</w:t>
      </w:r>
    </w:p>
    <w:p>
      <w:pPr>
        <w:spacing w:after="0" w:line="306"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Neuromodulation:  9% and 11%</w:t>
      </w:r>
    </w:p>
    <w:p>
      <w:pPr>
        <w:spacing w:after="0" w:line="306" w:lineRule="exact"/>
        <w:rPr>
          <w:sz w:val="20"/>
          <w:szCs w:val="20"/>
          <w:color w:val="auto"/>
        </w:rPr>
      </w:pPr>
    </w:p>
    <w:p>
      <w:pPr>
        <w:ind w:left="980"/>
        <w:spacing w:after="0"/>
        <w:tabs>
          <w:tab w:leader="none" w:pos="1280" w:val="left"/>
          <w:tab w:leader="none" w:pos="2820" w:val="left"/>
        </w:tabs>
        <w:rPr>
          <w:sz w:val="20"/>
          <w:szCs w:val="20"/>
          <w:color w:val="auto"/>
        </w:rPr>
      </w:pPr>
      <w:r>
        <w:rPr>
          <w:rFonts w:ascii="Arial" w:cs="Arial" w:eastAsia="Arial" w:hAnsi="Arial"/>
          <w:sz w:val="18"/>
          <w:szCs w:val="18"/>
          <w:color w:val="auto"/>
        </w:rPr>
        <w:t>·</w:t>
        <w:tab/>
        <w:t>CRM:</w:t>
      </w:r>
      <w:r>
        <w:rPr>
          <w:sz w:val="20"/>
          <w:szCs w:val="20"/>
          <w:color w:val="auto"/>
        </w:rPr>
        <w:tab/>
      </w:r>
      <w:r>
        <w:rPr>
          <w:rFonts w:ascii="Arial" w:cs="Arial" w:eastAsia="Arial" w:hAnsi="Arial"/>
          <w:sz w:val="16"/>
          <w:szCs w:val="16"/>
          <w:color w:val="auto"/>
        </w:rPr>
        <w:t>1% and 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non-GAAP gross profit </w:t>
      </w:r>
      <w:r>
        <w:rPr>
          <w:rFonts w:ascii="Arial" w:cs="Arial" w:eastAsia="Arial" w:hAnsi="Arial"/>
          <w:sz w:val="18"/>
          <w:szCs w:val="18"/>
          <w:color w:val="auto"/>
        </w:rPr>
        <w:t>is expected to be between 64% and 65% of 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are expected to be between 11% and 12% of 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non-GAAP income from operations </w:t>
      </w:r>
      <w:r>
        <w:rPr>
          <w:rFonts w:ascii="Arial" w:cs="Arial" w:eastAsia="Arial" w:hAnsi="Arial"/>
          <w:sz w:val="18"/>
          <w:szCs w:val="18"/>
          <w:color w:val="auto"/>
        </w:rPr>
        <w:t>is expected to be in the range of $205 million to $230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Finance costs </w:t>
      </w:r>
      <w:r>
        <w:rPr>
          <w:rFonts w:ascii="Arial" w:cs="Arial" w:eastAsia="Arial" w:hAnsi="Arial"/>
          <w:sz w:val="18"/>
          <w:szCs w:val="18"/>
          <w:color w:val="auto"/>
        </w:rPr>
        <w:t>and the Company's share of</w:t>
      </w:r>
      <w:r>
        <w:rPr>
          <w:rFonts w:ascii="Arial" w:cs="Arial" w:eastAsia="Arial" w:hAnsi="Arial"/>
          <w:sz w:val="18"/>
          <w:szCs w:val="18"/>
          <w:b w:val="1"/>
          <w:bCs w:val="1"/>
          <w:color w:val="auto"/>
        </w:rPr>
        <w:t xml:space="preserve"> losses from Minority investments </w:t>
      </w:r>
      <w:r>
        <w:rPr>
          <w:rFonts w:ascii="Arial" w:cs="Arial" w:eastAsia="Arial" w:hAnsi="Arial"/>
          <w:sz w:val="18"/>
          <w:szCs w:val="18"/>
          <w:color w:val="auto"/>
        </w:rPr>
        <w:t>are expected to be approximately $20 million to $25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LivaNova anticipates an </w:t>
      </w:r>
      <w:r>
        <w:rPr>
          <w:rFonts w:ascii="Arial" w:cs="Arial" w:eastAsia="Arial" w:hAnsi="Arial"/>
          <w:sz w:val="18"/>
          <w:szCs w:val="18"/>
          <w:b w:val="1"/>
          <w:bCs w:val="1"/>
          <w:color w:val="auto"/>
        </w:rPr>
        <w:t>adjusted effective tax rate</w:t>
      </w:r>
      <w:r>
        <w:rPr>
          <w:rFonts w:ascii="Arial" w:cs="Arial" w:eastAsia="Arial" w:hAnsi="Arial"/>
          <w:sz w:val="18"/>
          <w:szCs w:val="18"/>
          <w:color w:val="auto"/>
        </w:rPr>
        <w:t xml:space="preserve"> of between 24% and 26%.</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Company anticipates that the </w:t>
      </w:r>
      <w:r>
        <w:rPr>
          <w:rFonts w:ascii="Arial" w:cs="Arial" w:eastAsia="Arial" w:hAnsi="Arial"/>
          <w:sz w:val="18"/>
          <w:szCs w:val="18"/>
          <w:b w:val="1"/>
          <w:bCs w:val="1"/>
          <w:color w:val="auto"/>
        </w:rPr>
        <w:t>number of shares</w:t>
      </w:r>
      <w:r>
        <w:rPr>
          <w:rFonts w:ascii="Arial" w:cs="Arial" w:eastAsia="Arial" w:hAnsi="Arial"/>
          <w:sz w:val="18"/>
          <w:szCs w:val="18"/>
          <w:color w:val="auto"/>
        </w:rPr>
        <w:t xml:space="preserve"> to be used for calculating adjusted earnings per share will be approximately 50 million on a fully diluted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non-GAAP diluted earnings per share </w:t>
      </w:r>
      <w:r>
        <w:rPr>
          <w:rFonts w:ascii="Arial" w:cs="Arial" w:eastAsia="Arial" w:hAnsi="Arial"/>
          <w:sz w:val="18"/>
          <w:szCs w:val="18"/>
          <w:color w:val="auto"/>
        </w:rPr>
        <w:t>(EPS) will be in the range of $2.95 to $3.15.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non-GAAP EBITDA </w:t>
      </w:r>
      <w:r>
        <w:rPr>
          <w:rFonts w:ascii="Arial" w:cs="Arial" w:eastAsia="Arial" w:hAnsi="Arial"/>
          <w:sz w:val="18"/>
          <w:szCs w:val="18"/>
          <w:color w:val="auto"/>
        </w:rPr>
        <w:t>is expected to be in the range of $235 million to $260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Webcast and Conference Call Instructions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conference call will be available to interested parties through a live audio webcast commencing at 8:00 AM Central time (9:00 AM Eastern Time, 2:00 pm GMT) and accessible through the Investor Relations section of the LivaNova corporate website at www.livanova.com. To listen to the conference call live by telephone, dial 877-809-8594 (if dialing from within the U.S.) or 440-996-5677 (if dialing from outside the U.S.). The conference ID is 6816970. Please click here for a list of available local international numbers for the call.</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24 hours of the webcast, a replay will be available under the "Events &amp; Presentations" section of the Investor Relations portion of the LivaNova website, where it will be archived and accessible for approximately 12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FF5C39"/>
        </w:rPr>
        <w:t>About LivaNova</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LivaNova PLC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patients, healthcare professionals, and healthcare systems. The Company employs approximately 4,500 employees worldwide and is headquartered in London, U.K. With a presence in more than 100 countries, LivaNova operates as three business units: Cardiac Rhythm Management, Cardiac Surgery, and Neuromodulation, with operating headquarters in Clamart (France), Mirandola (Italy) and Houston (U.S.), respectively.</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LivaNova is listed on NASDAQ and is admitted to the standard listing segment of the Official List of the UK's Financial Conduct Authority and to trading on the London Stock Exchange (LSE) under the ticker symbol "LIVN".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FF5C39"/>
        </w:rPr>
        <w:t>Financial Alignment, Combined Sales &amp; Operating Results, Business Unit Structure and Constant Currency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Cyberonics, the predecessor company to LivaNova, previously reported on a 52/53 week fiscal year calendar ending in April. With the formal change in the fiscal calendar to a fiscal year ended December 31, the historical Neuromodulation business unit sales have been aligned to correspond as closely as possible to calendar quarters.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LivaNova was a shell company with no business operations until the closing date of the merger on October 19, 2015, the sales results disclosed for periods up to and beyond that date are being provided on a combined basis, a non-GAAP formulation that combines the results of legacy Sorin and Cyberonics for the periods completed prior to the merger and periods that include results both before and after the closing of the merger. The Company believes that presenting the results of Sorin and Cyberonics in such a manner offers a meaningful representation to investors of the combined company's sales for these periods.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Non-GAAP operating results, unaudited, have been included for each of the quarters ended March 31, 2015, June 30, 2015, September 30, 2015 and December 31, 2015 and for the year ended December 31, 2015. These results have been prepared by management and adjusted for non-GAAP items as if the merger had occurred on January 1, 2015 but should not be considered as an alternative to Proforma Income Statements to be provided in accordance with SEC filings. Certain adjustments to legacy Sorin operating results have occurred in order to present the results in US dollars and to align these results as closely as possible to the presentation of LivaNova financial results. Company management uses these measurements as aids in monitoring the Company's ongoing financial performance from quarter to quarter and year to year on a regular basis and for benchmarking against other medical technology companies. Management believes that the presentation of these results provides a meaningful representation of the combined company's operating results for the periods presented.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The sales and operating results for legacy Cyberonics for the quarters ended March 31, June 30 and September 30 were aligned to provide comparative information. The actual periods ended on March 27, June 26 and September 25 respectively.</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LivaNova (as the successor to Sorin and Cyberonics on a combined basis) operates under a Business Unit structure with Cardiac Surgery, Neuromodulation and CRM accounting for substantially all of the sales during the periods referred to herein. The combined company also operates a New Ventures group, dedicated to developing new technologies, particularly in the areas of heart failure, sleep apnea and percutaneous mitral valve.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Unless otherwise noted, all sales growth rates in this release reflect comparable, constant currency growth. Constant currency growth measures the change in sales between current and prior year periods using average exchange rates in effect during the applicable prior year period. Management believes that referring to comparable, constant currency growth is a more useful way to evaluate the sales performance of the newly formed LivaNova and its business units, and to compare the sales performance of current periods to prior periods on a consistent basis. A reconciliation of this information is attached to this business update.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FF5C39"/>
        </w:rPr>
        <w:t>Use of Non-GAAP Financial Measures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press release, management has disclosed financial measurements that present financial information not necessarily in accordance with Generally Accepted Accounting Principles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similarly-titled measures used by other companies. These non-GAAP financial measures should be considered along with, but not as alternatives to, the operating performance measure as prescribed by GAAP.</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 year periods using average exchange rates in effect during the applicable prior year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FF5C39"/>
        </w:rPr>
        <w:t>Safe harbor statement</w:t>
      </w:r>
    </w:p>
    <w:p>
      <w:pPr>
        <w:spacing w:after="0" w:line="25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including in reference to the reported financial information for the Company's legacy Sorin and Cyberonics businesses.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the Company believes to be reasonable, but are inherently uncertain. As a result, our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 Investors are cautioned that all such statements involve risks and uncertainties, including without limitation, statements concerning developing novel opportunities in heart failure, sleep apnea and percutaneous mitral valve, creating new innovative solutions that benefit patients, healthcare professionals, and healthcare systems, and building significant shareholder value. Important factors that may cause actual results to differ include, but are not limited to: (i) risks that the businesses of Cyberonics and Sorin (together, the "combined companies") will not be integrated successfully or that the combined companies will not realize estimated cost savings, value of certain tax assets, synergies and growth, or that such benefits may take longer to realize than expected; (ii) the inability of LivaNova to meet expectations regarding the timing, completion and accounting of tax treatments; (iii) risks relating to unanticipated costs of integration, including operating costs, customer loss or business disruption being greater than expected;</w:t>
      </w:r>
    </w:p>
    <w:p>
      <w:pPr>
        <w:jc w:val="both"/>
        <w:ind w:firstLine="8"/>
        <w:spacing w:after="0" w:line="267" w:lineRule="auto"/>
        <w:tabs>
          <w:tab w:leader="none" w:pos="317"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organizational and governance structure; (v) reductions in customer spending, a slowdown in customer payments and changes in customer demand for products and services; (vi) unanticipated changes relating to competitive factors in the industries in which LivaNova operates; (vii) the ability to hire and retain key personnel; (viii) the ability to attract new customers and retain existing customers in the manner anticipated; (ix) the reliance on and integration of information technology systems; (x) changes in legislation or governmental regulations affecting LivaNova; (xi) international, national or local economic, social or political conditions that could adversely affect LivaNova, its partners or its customers; (xii) conditions in the credit markets; (xiii) business and other financial risks inherent to the industries in which LivaNova operates; (xiv) risks associated with assumptions made in connection with critical accounting estimates and legal proceedings; (xv) LivaNova's international operations, which are subject to the risks of currency fluctuations and foreign exchange controls; (xvi)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parties' businesses, including those described in the "Risk Factors" section of the Registration Statement on Form S-4, Annual Reports on Form 10-K, Quarterly Reports on Form 10-Q, Current Reports on Form 8-K and other documents filed from time to time with the United States Securities and Exchange Commission by LivaNova.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color w:val="auto"/>
              </w:rPr>
              <w:t>For more information, please visit www.livanova.com</w:t>
            </w:r>
            <w:r>
              <w:rPr>
                <w:rFonts w:ascii="Arial" w:cs="Arial" w:eastAsia="Arial" w:hAnsi="Arial"/>
                <w:sz w:val="18"/>
                <w:szCs w:val="18"/>
                <w:b w:val="1"/>
                <w:bCs w:val="1"/>
                <w:color w:val="auto"/>
              </w:rPr>
              <w:t>,</w:t>
            </w:r>
            <w:r>
              <w:rPr>
                <w:rFonts w:ascii="Arial" w:cs="Arial" w:eastAsia="Arial" w:hAnsi="Arial"/>
                <w:sz w:val="18"/>
                <w:szCs w:val="18"/>
                <w:color w:val="auto"/>
              </w:rPr>
              <w:t xml:space="preserve"> or contact:</w:t>
            </w:r>
          </w:p>
        </w:tc>
        <w:tc>
          <w:tcPr>
            <w:tcW w:w="6200" w:type="dxa"/>
            <w:vAlign w:val="bottom"/>
          </w:tcPr>
          <w:p>
            <w:pPr>
              <w:spacing w:after="0"/>
              <w:rPr>
                <w:sz w:val="20"/>
                <w:szCs w:val="20"/>
                <w:color w:val="auto"/>
              </w:rPr>
            </w:pPr>
          </w:p>
        </w:tc>
      </w:tr>
      <w:tr>
        <w:trPr>
          <w:trHeight w:val="324"/>
        </w:trPr>
        <w:tc>
          <w:tcPr>
            <w:tcW w:w="522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c>
          <w:tcPr>
            <w:tcW w:w="6200" w:type="dxa"/>
            <w:vAlign w:val="bottom"/>
          </w:tcPr>
          <w:p>
            <w:pPr>
              <w:ind w:left="500"/>
              <w:spacing w:after="0"/>
              <w:rPr>
                <w:sz w:val="20"/>
                <w:szCs w:val="20"/>
                <w:color w:val="auto"/>
              </w:rPr>
            </w:pPr>
            <w:r>
              <w:rPr>
                <w:rFonts w:ascii="Arial" w:cs="Arial" w:eastAsia="Arial" w:hAnsi="Arial"/>
                <w:sz w:val="18"/>
                <w:szCs w:val="18"/>
                <w:b w:val="1"/>
                <w:bCs w:val="1"/>
                <w:color w:val="auto"/>
              </w:rPr>
              <w:t>Investor Relations and Media:</w:t>
            </w:r>
          </w:p>
        </w:tc>
      </w:tr>
      <w:tr>
        <w:trPr>
          <w:trHeight w:val="418"/>
        </w:trPr>
        <w:tc>
          <w:tcPr>
            <w:tcW w:w="5220" w:type="dxa"/>
            <w:vAlign w:val="bottom"/>
          </w:tcPr>
          <w:p>
            <w:pPr>
              <w:spacing w:after="0"/>
              <w:rPr>
                <w:sz w:val="20"/>
                <w:szCs w:val="20"/>
                <w:color w:val="auto"/>
              </w:rPr>
            </w:pPr>
            <w:r>
              <w:rPr>
                <w:rFonts w:ascii="Arial" w:cs="Arial" w:eastAsia="Arial" w:hAnsi="Arial"/>
                <w:sz w:val="18"/>
                <w:szCs w:val="18"/>
                <w:b w:val="1"/>
                <w:bCs w:val="1"/>
                <w:color w:val="auto"/>
              </w:rPr>
              <w:t>Vivid Sehgal</w:t>
            </w:r>
          </w:p>
        </w:tc>
        <w:tc>
          <w:tcPr>
            <w:tcW w:w="6200" w:type="dxa"/>
            <w:vAlign w:val="bottom"/>
          </w:tcPr>
          <w:p>
            <w:pPr>
              <w:ind w:left="500"/>
              <w:spacing w:after="0"/>
              <w:rPr>
                <w:sz w:val="20"/>
                <w:szCs w:val="20"/>
                <w:color w:val="auto"/>
              </w:rPr>
            </w:pPr>
            <w:r>
              <w:rPr>
                <w:rFonts w:ascii="Arial" w:cs="Arial" w:eastAsia="Arial" w:hAnsi="Arial"/>
                <w:sz w:val="18"/>
                <w:szCs w:val="18"/>
                <w:b w:val="1"/>
                <w:bCs w:val="1"/>
                <w:color w:val="auto"/>
              </w:rPr>
              <w:t>Greg Browne</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200" w:type="dxa"/>
            <w:vAlign w:val="bottom"/>
          </w:tcPr>
          <w:p>
            <w:pPr>
              <w:ind w:left="500"/>
              <w:spacing w:after="0"/>
              <w:rPr>
                <w:sz w:val="20"/>
                <w:szCs w:val="20"/>
                <w:color w:val="auto"/>
              </w:rPr>
            </w:pPr>
            <w:r>
              <w:rPr>
                <w:rFonts w:ascii="Arial" w:cs="Arial" w:eastAsia="Arial" w:hAnsi="Arial"/>
                <w:sz w:val="18"/>
                <w:szCs w:val="18"/>
                <w:color w:val="auto"/>
              </w:rPr>
              <w:t>Senior Vice President, Finance</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Phone: +44 (0)203 786 5281</w:t>
            </w:r>
          </w:p>
        </w:tc>
        <w:tc>
          <w:tcPr>
            <w:tcW w:w="6200" w:type="dxa"/>
            <w:vAlign w:val="bottom"/>
          </w:tcPr>
          <w:p>
            <w:pPr>
              <w:ind w:left="500"/>
              <w:spacing w:after="0"/>
              <w:rPr>
                <w:sz w:val="20"/>
                <w:szCs w:val="20"/>
                <w:color w:val="auto"/>
              </w:rPr>
            </w:pPr>
            <w:r>
              <w:rPr>
                <w:rFonts w:ascii="Arial" w:cs="Arial" w:eastAsia="Arial" w:hAnsi="Arial"/>
                <w:sz w:val="18"/>
                <w:szCs w:val="18"/>
                <w:color w:val="auto"/>
              </w:rPr>
              <w:t>Phone: +1 (281) 228-7262</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Fax: +44 (0)203 786 5291</w:t>
            </w:r>
          </w:p>
        </w:tc>
        <w:tc>
          <w:tcPr>
            <w:tcW w:w="6200" w:type="dxa"/>
            <w:vAlign w:val="bottom"/>
          </w:tcPr>
          <w:p>
            <w:pPr>
              <w:ind w:left="500"/>
              <w:spacing w:after="0"/>
              <w:rPr>
                <w:sz w:val="20"/>
                <w:szCs w:val="20"/>
                <w:color w:val="auto"/>
              </w:rPr>
            </w:pPr>
            <w:r>
              <w:rPr>
                <w:rFonts w:ascii="Arial" w:cs="Arial" w:eastAsia="Arial" w:hAnsi="Arial"/>
                <w:sz w:val="18"/>
                <w:szCs w:val="18"/>
                <w:color w:val="auto"/>
              </w:rPr>
              <w:t>Fax: +1 (281) 218-9332</w:t>
            </w:r>
          </w:p>
        </w:tc>
      </w:tr>
      <w:tr>
        <w:trPr>
          <w:trHeight w:val="243"/>
        </w:trPr>
        <w:tc>
          <w:tcPr>
            <w:tcW w:w="5220" w:type="dxa"/>
            <w:vAlign w:val="bottom"/>
          </w:tcPr>
          <w:p>
            <w:pPr>
              <w:spacing w:after="0"/>
              <w:rPr>
                <w:sz w:val="20"/>
                <w:szCs w:val="20"/>
                <w:color w:val="auto"/>
              </w:rPr>
            </w:pPr>
            <w:r>
              <w:rPr>
                <w:rFonts w:ascii="Arial" w:cs="Arial" w:eastAsia="Arial" w:hAnsi="Arial"/>
                <w:sz w:val="18"/>
                <w:szCs w:val="18"/>
                <w:b w:val="1"/>
                <w:bCs w:val="1"/>
                <w:color w:val="auto"/>
              </w:rPr>
              <w:t>e-mail: investor.relations@livanova.com</w:t>
            </w:r>
          </w:p>
        </w:tc>
        <w:tc>
          <w:tcPr>
            <w:tcW w:w="6200" w:type="dxa"/>
            <w:vAlign w:val="bottom"/>
          </w:tcPr>
          <w:p>
            <w:pPr>
              <w:ind w:left="500"/>
              <w:spacing w:after="0"/>
              <w:rPr>
                <w:sz w:val="20"/>
                <w:szCs w:val="20"/>
                <w:color w:val="auto"/>
              </w:rPr>
            </w:pPr>
            <w:r>
              <w:rPr>
                <w:rFonts w:ascii="Arial" w:cs="Arial" w:eastAsia="Arial" w:hAnsi="Arial"/>
                <w:sz w:val="18"/>
                <w:szCs w:val="18"/>
                <w:b w:val="1"/>
                <w:bCs w:val="1"/>
                <w:color w:val="auto"/>
              </w:rPr>
              <w:t>e-mail: corporate.communications@livanova.com</w:t>
            </w:r>
          </w:p>
        </w:tc>
      </w:tr>
      <w:tr>
        <w:trPr>
          <w:trHeight w:val="582"/>
        </w:trPr>
        <w:tc>
          <w:tcPr>
            <w:tcW w:w="5220" w:type="dxa"/>
            <w:vAlign w:val="bottom"/>
          </w:tcPr>
          <w:p>
            <w:pPr>
              <w:spacing w:after="0"/>
              <w:rPr>
                <w:sz w:val="24"/>
                <w:szCs w:val="24"/>
                <w:color w:val="auto"/>
              </w:rPr>
            </w:pPr>
          </w:p>
        </w:tc>
        <w:tc>
          <w:tcPr>
            <w:tcW w:w="6200" w:type="dxa"/>
            <w:vAlign w:val="bottom"/>
          </w:tcPr>
          <w:p>
            <w:pPr>
              <w:ind w:left="460"/>
              <w:spacing w:after="0"/>
              <w:rPr>
                <w:sz w:val="20"/>
                <w:szCs w:val="20"/>
                <w:color w:val="auto"/>
              </w:rPr>
            </w:pPr>
            <w:r>
              <w:rPr>
                <w:rFonts w:ascii="Arial" w:cs="Arial" w:eastAsia="Arial" w:hAnsi="Arial"/>
                <w:sz w:val="14"/>
                <w:szCs w:val="14"/>
                <w:color w:val="auto"/>
              </w:rPr>
              <w:t>8</w:t>
            </w:r>
          </w:p>
        </w:tc>
      </w:tr>
      <w:tr>
        <w:trPr>
          <w:trHeight w:val="46"/>
        </w:trPr>
        <w:tc>
          <w:tcPr>
            <w:tcW w:w="5220" w:type="dxa"/>
            <w:vAlign w:val="bottom"/>
            <w:tcBorders>
              <w:bottom w:val="single" w:sz="8" w:color="auto"/>
            </w:tcBorders>
          </w:tcPr>
          <w:p>
            <w:pPr>
              <w:spacing w:after="0"/>
              <w:rPr>
                <w:sz w:val="4"/>
                <w:szCs w:val="4"/>
                <w:color w:val="auto"/>
              </w:rPr>
            </w:pPr>
          </w:p>
        </w:tc>
        <w:tc>
          <w:tcPr>
            <w:tcW w:w="62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line="210" w:lineRule="auto"/>
        <w:rPr>
          <w:sz w:val="20"/>
          <w:szCs w:val="20"/>
          <w:color w:val="auto"/>
        </w:rPr>
      </w:pPr>
      <w:r>
        <w:rPr>
          <w:rFonts w:ascii="Arial" w:cs="Arial" w:eastAsia="Arial" w:hAnsi="Arial"/>
          <w:sz w:val="18"/>
          <w:szCs w:val="18"/>
          <w:b w:val="1"/>
          <w:bCs w:val="1"/>
          <w:color w:val="auto"/>
        </w:rPr>
        <w:t>LIVANOVA PLC AND SUBSIDIARIES PRELIMINARY CONSOLIDATED STATEMENTS OF OPERATIONS</w:t>
      </w:r>
      <w:r>
        <w:rPr>
          <w:rFonts w:ascii="Arial" w:cs="Arial" w:eastAsia="Arial" w:hAnsi="Arial"/>
          <w:sz w:val="30"/>
          <w:szCs w:val="30"/>
          <w:b w:val="1"/>
          <w:bCs w:val="1"/>
          <w:color w:val="auto"/>
          <w:vertAlign w:val="superscript"/>
        </w:rPr>
        <w:t>10</w:t>
      </w:r>
      <w:r>
        <w:rPr>
          <w:rFonts w:ascii="Arial" w:cs="Arial" w:eastAsia="Arial" w:hAnsi="Arial"/>
          <w:sz w:val="18"/>
          <w:szCs w:val="18"/>
          <w:b w:val="1"/>
          <w:bCs w:val="1"/>
          <w:color w:val="auto"/>
        </w:rPr>
        <w:t xml:space="preserve"> U.S. dollars 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For the transitional</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year: April 25, 2015 to</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tcPr>
          <w:p>
            <w:pPr>
              <w:jc w:val="right"/>
              <w:ind w:right="570"/>
              <w:spacing w:after="0"/>
              <w:rPr>
                <w:sz w:val="20"/>
                <w:szCs w:val="20"/>
                <w:color w:val="auto"/>
              </w:rPr>
            </w:pPr>
            <w:r>
              <w:rPr>
                <w:rFonts w:ascii="Arial" w:cs="Arial" w:eastAsia="Arial" w:hAnsi="Arial"/>
                <w:sz w:val="18"/>
                <w:szCs w:val="18"/>
                <w:b w:val="1"/>
                <w:bCs w:val="1"/>
                <w:color w:val="auto"/>
              </w:rPr>
              <w:t>Fiscal Year Ended</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December 31, 2015</w:t>
            </w: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0" w:type="dxa"/>
            <w:vAlign w:val="bottom"/>
          </w:tcPr>
          <w:p>
            <w:pPr>
              <w:jc w:val="right"/>
              <w:ind w:right="710"/>
              <w:spacing w:after="0"/>
              <w:rPr>
                <w:sz w:val="20"/>
                <w:szCs w:val="20"/>
                <w:color w:val="auto"/>
              </w:rPr>
            </w:pPr>
            <w:r>
              <w:rPr>
                <w:rFonts w:ascii="Arial" w:cs="Arial" w:eastAsia="Arial" w:hAnsi="Arial"/>
                <w:sz w:val="18"/>
                <w:szCs w:val="18"/>
                <w:b w:val="1"/>
                <w:bCs w:val="1"/>
                <w:color w:val="auto"/>
              </w:rPr>
              <w:t>April 24, 2015</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(Unaudited)</w:t>
            </w: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34"/>
        </w:trPr>
        <w:tc>
          <w:tcPr>
            <w:tcW w:w="5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0"/>
        </w:trPr>
        <w:tc>
          <w:tcPr>
            <w:tcW w:w="54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CFF"/>
            </w:tcBorders>
            <w:shd w:val="clear" w:color="auto" w:fill="CCECFF"/>
          </w:tcPr>
          <w:p>
            <w:pPr>
              <w:jc w:val="right"/>
              <w:ind w:right="11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CFF"/>
            </w:tcBorders>
            <w:shd w:val="clear" w:color="auto" w:fill="CCECFF"/>
          </w:tcPr>
          <w:p>
            <w:pPr>
              <w:jc w:val="right"/>
              <w:ind w:right="90"/>
              <w:spacing w:after="0"/>
              <w:rPr>
                <w:sz w:val="20"/>
                <w:szCs w:val="20"/>
                <w:color w:val="auto"/>
              </w:rPr>
            </w:pPr>
            <w:r>
              <w:rPr>
                <w:rFonts w:ascii="Arial" w:cs="Arial" w:eastAsia="Arial" w:hAnsi="Arial"/>
                <w:sz w:val="18"/>
                <w:szCs w:val="18"/>
                <w:color w:val="auto"/>
              </w:rPr>
              <w:t>415,707</w:t>
            </w:r>
          </w:p>
        </w:tc>
        <w:tc>
          <w:tcPr>
            <w:tcW w:w="900" w:type="dxa"/>
            <w:vAlign w:val="bottom"/>
            <w:tcBorders>
              <w:bottom w:val="single" w:sz="8" w:color="CCECFF"/>
            </w:tcBorders>
            <w:gridSpan w:val="2"/>
            <w:shd w:val="clear" w:color="auto" w:fill="CCECFF"/>
          </w:tcPr>
          <w:p>
            <w:pPr>
              <w:jc w:val="right"/>
              <w:ind w:right="250"/>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291,558</w:t>
            </w:r>
          </w:p>
        </w:tc>
      </w:tr>
      <w:tr>
        <w:trPr>
          <w:trHeight w:val="270"/>
        </w:trPr>
        <w:tc>
          <w:tcPr>
            <w:tcW w:w="54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3"/>
                <w:szCs w:val="23"/>
                <w:color w:val="auto"/>
              </w:rPr>
            </w:pP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149,181</w:t>
            </w: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27,311</w:t>
            </w:r>
          </w:p>
        </w:tc>
      </w:tr>
      <w:tr>
        <w:trPr>
          <w:trHeight w:val="34"/>
        </w:trPr>
        <w:tc>
          <w:tcPr>
            <w:tcW w:w="5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77"/>
        </w:trPr>
        <w:tc>
          <w:tcPr>
            <w:tcW w:w="54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CFF"/>
          </w:tcPr>
          <w:p>
            <w:pPr>
              <w:spacing w:after="0"/>
              <w:rPr>
                <w:sz w:val="24"/>
                <w:szCs w:val="24"/>
                <w:color w:val="auto"/>
              </w:rPr>
            </w:pPr>
          </w:p>
        </w:tc>
        <w:tc>
          <w:tcPr>
            <w:tcW w:w="240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rPr>
              <w:t>266,526</w:t>
            </w:r>
          </w:p>
        </w:tc>
        <w:tc>
          <w:tcPr>
            <w:tcW w:w="440" w:type="dxa"/>
            <w:vAlign w:val="bottom"/>
            <w:tcBorders>
              <w:bottom w:val="single" w:sz="8" w:color="CCECFF"/>
            </w:tcBorders>
            <w:shd w:val="clear" w:color="auto" w:fill="CCECFF"/>
          </w:tcPr>
          <w:p>
            <w:pPr>
              <w:spacing w:after="0"/>
              <w:rPr>
                <w:sz w:val="24"/>
                <w:szCs w:val="24"/>
                <w:color w:val="auto"/>
              </w:rPr>
            </w:pPr>
          </w:p>
        </w:tc>
        <w:tc>
          <w:tcPr>
            <w:tcW w:w="460" w:type="dxa"/>
            <w:vAlign w:val="bottom"/>
            <w:tcBorders>
              <w:bottom w:val="single" w:sz="8" w:color="auto"/>
            </w:tcBorders>
            <w:shd w:val="clear" w:color="auto" w:fill="CCECFF"/>
          </w:tcPr>
          <w:p>
            <w:pPr>
              <w:spacing w:after="0"/>
              <w:rPr>
                <w:sz w:val="24"/>
                <w:szCs w:val="24"/>
                <w:color w:val="auto"/>
              </w:rPr>
            </w:pPr>
          </w:p>
        </w:tc>
        <w:tc>
          <w:tcPr>
            <w:tcW w:w="240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264,247</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5400" w:type="dxa"/>
            <w:vAlign w:val="bottom"/>
            <w:tcBorders>
              <w:bottom w:val="single" w:sz="8" w:color="CCECFF"/>
            </w:tcBorders>
            <w:shd w:val="clear" w:color="auto" w:fill="CCECFF"/>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CFF"/>
            </w:tcBorders>
            <w:shd w:val="clear" w:color="auto" w:fill="CCECFF"/>
          </w:tcPr>
          <w:p>
            <w:pPr>
              <w:spacing w:after="0"/>
              <w:rPr>
                <w:sz w:val="21"/>
                <w:szCs w:val="21"/>
                <w:color w:val="auto"/>
              </w:rPr>
            </w:pPr>
          </w:p>
        </w:tc>
        <w:tc>
          <w:tcPr>
            <w:tcW w:w="2400" w:type="dxa"/>
            <w:vAlign w:val="bottom"/>
            <w:tcBorders>
              <w:bottom w:val="single" w:sz="8" w:color="CCECFF"/>
            </w:tcBorders>
            <w:shd w:val="clear" w:color="auto" w:fill="CCECFF"/>
          </w:tcPr>
          <w:p>
            <w:pPr>
              <w:jc w:val="right"/>
              <w:ind w:right="90"/>
              <w:spacing w:after="0"/>
              <w:rPr>
                <w:sz w:val="20"/>
                <w:szCs w:val="20"/>
                <w:color w:val="auto"/>
              </w:rPr>
            </w:pPr>
            <w:r>
              <w:rPr>
                <w:rFonts w:ascii="Arial" w:cs="Arial" w:eastAsia="Arial" w:hAnsi="Arial"/>
                <w:sz w:val="18"/>
                <w:szCs w:val="18"/>
                <w:color w:val="auto"/>
              </w:rPr>
              <w:t>173,065</w:t>
            </w:r>
          </w:p>
        </w:tc>
        <w:tc>
          <w:tcPr>
            <w:tcW w:w="44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spacing w:after="0"/>
              <w:rPr>
                <w:sz w:val="21"/>
                <w:szCs w:val="21"/>
                <w:color w:val="auto"/>
              </w:rPr>
            </w:pPr>
          </w:p>
        </w:tc>
        <w:tc>
          <w:tcPr>
            <w:tcW w:w="24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123,619</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51,931</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43,284</w:t>
            </w: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5400" w:type="dxa"/>
            <w:vAlign w:val="bottom"/>
            <w:tcBorders>
              <w:bottom w:val="single" w:sz="8" w:color="CCECFF"/>
            </w:tcBorders>
            <w:shd w:val="clear" w:color="auto" w:fill="CCECFF"/>
          </w:tcPr>
          <w:p>
            <w:pPr>
              <w:ind w:left="220"/>
              <w:spacing w:after="0"/>
              <w:rPr>
                <w:sz w:val="20"/>
                <w:szCs w:val="20"/>
                <w:color w:val="auto"/>
              </w:rPr>
            </w:pPr>
            <w:r>
              <w:rPr>
                <w:rFonts w:ascii="Arial" w:cs="Arial" w:eastAsia="Arial" w:hAnsi="Arial"/>
                <w:sz w:val="18"/>
                <w:szCs w:val="18"/>
                <w:color w:val="auto"/>
              </w:rPr>
              <w:t>Merger related</w:t>
            </w:r>
          </w:p>
        </w:tc>
        <w:tc>
          <w:tcPr>
            <w:tcW w:w="320" w:type="dxa"/>
            <w:vAlign w:val="bottom"/>
            <w:tcBorders>
              <w:bottom w:val="single" w:sz="8" w:color="CCECFF"/>
            </w:tcBorders>
            <w:shd w:val="clear" w:color="auto" w:fill="CCECFF"/>
          </w:tcPr>
          <w:p>
            <w:pPr>
              <w:spacing w:after="0"/>
              <w:rPr>
                <w:sz w:val="21"/>
                <w:szCs w:val="21"/>
                <w:color w:val="auto"/>
              </w:rPr>
            </w:pPr>
          </w:p>
        </w:tc>
        <w:tc>
          <w:tcPr>
            <w:tcW w:w="2400" w:type="dxa"/>
            <w:vAlign w:val="bottom"/>
            <w:tcBorders>
              <w:bottom w:val="single" w:sz="8" w:color="CCECFF"/>
            </w:tcBorders>
            <w:shd w:val="clear" w:color="auto" w:fill="CCECFF"/>
          </w:tcPr>
          <w:p>
            <w:pPr>
              <w:jc w:val="right"/>
              <w:ind w:right="90"/>
              <w:spacing w:after="0"/>
              <w:rPr>
                <w:sz w:val="20"/>
                <w:szCs w:val="20"/>
                <w:color w:val="auto"/>
              </w:rPr>
            </w:pPr>
            <w:r>
              <w:rPr>
                <w:rFonts w:ascii="Arial" w:cs="Arial" w:eastAsia="Arial" w:hAnsi="Arial"/>
                <w:sz w:val="18"/>
                <w:szCs w:val="18"/>
                <w:color w:val="auto"/>
              </w:rPr>
              <w:t>42,098</w:t>
            </w:r>
          </w:p>
        </w:tc>
        <w:tc>
          <w:tcPr>
            <w:tcW w:w="44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spacing w:after="0"/>
              <w:rPr>
                <w:sz w:val="21"/>
                <w:szCs w:val="21"/>
                <w:color w:val="auto"/>
              </w:rPr>
            </w:pPr>
          </w:p>
        </w:tc>
        <w:tc>
          <w:tcPr>
            <w:tcW w:w="24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8,692</w:t>
            </w: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Integration</w:t>
            </w:r>
          </w:p>
        </w:tc>
        <w:tc>
          <w:tcPr>
            <w:tcW w:w="320" w:type="dxa"/>
            <w:vAlign w:val="bottom"/>
          </w:tcPr>
          <w:p>
            <w:pPr>
              <w:spacing w:after="0"/>
              <w:rPr>
                <w:sz w:val="21"/>
                <w:szCs w:val="21"/>
                <w:color w:val="auto"/>
              </w:rPr>
            </w:pP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13,689</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7"/>
        </w:trPr>
        <w:tc>
          <w:tcPr>
            <w:tcW w:w="5400" w:type="dxa"/>
            <w:vAlign w:val="bottom"/>
            <w:tcBorders>
              <w:bottom w:val="single" w:sz="8" w:color="CCECFF"/>
            </w:tcBorders>
            <w:shd w:val="clear" w:color="auto" w:fill="CCECFF"/>
          </w:tcPr>
          <w:p>
            <w:pPr>
              <w:ind w:left="220"/>
              <w:spacing w:after="0"/>
              <w:rPr>
                <w:sz w:val="20"/>
                <w:szCs w:val="20"/>
                <w:color w:val="auto"/>
              </w:rPr>
            </w:pPr>
            <w:r>
              <w:rPr>
                <w:rFonts w:ascii="Arial" w:cs="Arial" w:eastAsia="Arial" w:hAnsi="Arial"/>
                <w:sz w:val="18"/>
                <w:szCs w:val="18"/>
                <w:color w:val="auto"/>
              </w:rPr>
              <w:t>Restructuring</w:t>
            </w:r>
          </w:p>
        </w:tc>
        <w:tc>
          <w:tcPr>
            <w:tcW w:w="320" w:type="dxa"/>
            <w:vAlign w:val="bottom"/>
            <w:tcBorders>
              <w:bottom w:val="single" w:sz="8" w:color="auto"/>
            </w:tcBorders>
            <w:shd w:val="clear" w:color="auto" w:fill="CCECFF"/>
          </w:tcPr>
          <w:p>
            <w:pPr>
              <w:spacing w:after="0"/>
              <w:rPr>
                <w:sz w:val="24"/>
                <w:szCs w:val="24"/>
                <w:color w:val="auto"/>
              </w:rPr>
            </w:pPr>
          </w:p>
        </w:tc>
        <w:tc>
          <w:tcPr>
            <w:tcW w:w="240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rPr>
              <w:t>11,323</w:t>
            </w:r>
          </w:p>
        </w:tc>
        <w:tc>
          <w:tcPr>
            <w:tcW w:w="440" w:type="dxa"/>
            <w:vAlign w:val="bottom"/>
            <w:tcBorders>
              <w:bottom w:val="single" w:sz="8" w:color="CCECFF"/>
            </w:tcBorders>
            <w:shd w:val="clear" w:color="auto" w:fill="CCECFF"/>
          </w:tcPr>
          <w:p>
            <w:pPr>
              <w:spacing w:after="0"/>
              <w:rPr>
                <w:sz w:val="24"/>
                <w:szCs w:val="24"/>
                <w:color w:val="auto"/>
              </w:rPr>
            </w:pPr>
          </w:p>
        </w:tc>
        <w:tc>
          <w:tcPr>
            <w:tcW w:w="460" w:type="dxa"/>
            <w:vAlign w:val="bottom"/>
            <w:tcBorders>
              <w:bottom w:val="single" w:sz="8" w:color="auto"/>
            </w:tcBorders>
            <w:shd w:val="clear" w:color="auto" w:fill="CCECFF"/>
          </w:tcPr>
          <w:p>
            <w:pPr>
              <w:spacing w:after="0"/>
              <w:rPr>
                <w:sz w:val="24"/>
                <w:szCs w:val="24"/>
                <w:color w:val="auto"/>
              </w:rPr>
            </w:pPr>
          </w:p>
        </w:tc>
        <w:tc>
          <w:tcPr>
            <w:tcW w:w="240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r>
      <w:tr>
        <w:trPr>
          <w:trHeight w:val="277"/>
        </w:trPr>
        <w:tc>
          <w:tcPr>
            <w:tcW w:w="540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292,106</w:t>
            </w:r>
          </w:p>
        </w:tc>
        <w:tc>
          <w:tcPr>
            <w:tcW w:w="4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175,595</w:t>
            </w:r>
          </w:p>
        </w:tc>
      </w:tr>
      <w:tr>
        <w:trPr>
          <w:trHeight w:val="250"/>
        </w:trPr>
        <w:tc>
          <w:tcPr>
            <w:tcW w:w="5400" w:type="dxa"/>
            <w:vAlign w:val="bottom"/>
            <w:tcBorders>
              <w:bottom w:val="single" w:sz="8" w:color="CCECFF"/>
            </w:tcBorders>
            <w:shd w:val="clear" w:color="auto" w:fill="CCECFF"/>
          </w:tcPr>
          <w:p>
            <w:pPr>
              <w:ind w:left="46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CFF"/>
            </w:tcBorders>
            <w:shd w:val="clear" w:color="auto" w:fill="CCECFF"/>
          </w:tcPr>
          <w:p>
            <w:pPr>
              <w:spacing w:after="0"/>
              <w:rPr>
                <w:sz w:val="21"/>
                <w:szCs w:val="21"/>
                <w:color w:val="auto"/>
              </w:rPr>
            </w:pPr>
          </w:p>
        </w:tc>
        <w:tc>
          <w:tcPr>
            <w:tcW w:w="24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(25,580 )</w:t>
            </w:r>
          </w:p>
        </w:tc>
        <w:tc>
          <w:tcPr>
            <w:tcW w:w="44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spacing w:after="0"/>
              <w:rPr>
                <w:sz w:val="21"/>
                <w:szCs w:val="21"/>
                <w:color w:val="auto"/>
              </w:rPr>
            </w:pPr>
          </w:p>
        </w:tc>
        <w:tc>
          <w:tcPr>
            <w:tcW w:w="24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88,652</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50"/>
        </w:trPr>
        <w:tc>
          <w:tcPr>
            <w:tcW w:w="54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Interest income (expense), net</w:t>
            </w:r>
          </w:p>
        </w:tc>
        <w:tc>
          <w:tcPr>
            <w:tcW w:w="320" w:type="dxa"/>
            <w:vAlign w:val="bottom"/>
            <w:tcBorders>
              <w:bottom w:val="single" w:sz="8" w:color="CCECFF"/>
            </w:tcBorders>
            <w:shd w:val="clear" w:color="auto" w:fill="CCECFF"/>
          </w:tcPr>
          <w:p>
            <w:pPr>
              <w:spacing w:after="0"/>
              <w:rPr>
                <w:sz w:val="21"/>
                <w:szCs w:val="21"/>
                <w:color w:val="auto"/>
              </w:rPr>
            </w:pPr>
          </w:p>
        </w:tc>
        <w:tc>
          <w:tcPr>
            <w:tcW w:w="24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(1,117 )</w:t>
            </w:r>
          </w:p>
        </w:tc>
        <w:tc>
          <w:tcPr>
            <w:tcW w:w="44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spacing w:after="0"/>
              <w:rPr>
                <w:sz w:val="21"/>
                <w:szCs w:val="21"/>
                <w:color w:val="auto"/>
              </w:rPr>
            </w:pPr>
          </w:p>
        </w:tc>
        <w:tc>
          <w:tcPr>
            <w:tcW w:w="24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163</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Impairment of investment</w:t>
            </w:r>
          </w:p>
        </w:tc>
        <w:tc>
          <w:tcPr>
            <w:tcW w:w="32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(5,062 )</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304"/>
        </w:trPr>
        <w:tc>
          <w:tcPr>
            <w:tcW w:w="54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Loss from equity method investments</w:t>
            </w:r>
          </w:p>
        </w:tc>
        <w:tc>
          <w:tcPr>
            <w:tcW w:w="320" w:type="dxa"/>
            <w:vAlign w:val="bottom"/>
            <w:tcBorders>
              <w:bottom w:val="single" w:sz="8" w:color="CCECFF"/>
            </w:tcBorders>
            <w:shd w:val="clear" w:color="auto" w:fill="CCECFF"/>
          </w:tcPr>
          <w:p>
            <w:pPr>
              <w:spacing w:after="0"/>
              <w:rPr>
                <w:sz w:val="24"/>
                <w:szCs w:val="24"/>
                <w:color w:val="auto"/>
              </w:rPr>
            </w:pPr>
          </w:p>
        </w:tc>
        <w:tc>
          <w:tcPr>
            <w:tcW w:w="24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(3,308 )</w:t>
            </w:r>
          </w:p>
        </w:tc>
        <w:tc>
          <w:tcPr>
            <w:tcW w:w="440" w:type="dxa"/>
            <w:vAlign w:val="bottom"/>
            <w:tcBorders>
              <w:bottom w:val="single" w:sz="8" w:color="CCECFF"/>
            </w:tcBorders>
            <w:shd w:val="clear" w:color="auto" w:fill="CCECFF"/>
          </w:tcPr>
          <w:p>
            <w:pPr>
              <w:spacing w:after="0"/>
              <w:rPr>
                <w:sz w:val="24"/>
                <w:szCs w:val="24"/>
                <w:color w:val="auto"/>
              </w:rPr>
            </w:pPr>
          </w:p>
        </w:tc>
        <w:tc>
          <w:tcPr>
            <w:tcW w:w="460" w:type="dxa"/>
            <w:vAlign w:val="bottom"/>
            <w:tcBorders>
              <w:bottom w:val="single" w:sz="8" w:color="CCECFF"/>
            </w:tcBorders>
            <w:shd w:val="clear" w:color="auto" w:fill="CCECFF"/>
          </w:tcPr>
          <w:p>
            <w:pPr>
              <w:spacing w:after="0"/>
              <w:rPr>
                <w:sz w:val="24"/>
                <w:szCs w:val="24"/>
                <w:color w:val="auto"/>
              </w:rPr>
            </w:pPr>
          </w:p>
        </w:tc>
        <w:tc>
          <w:tcPr>
            <w:tcW w:w="24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r>
      <w:tr>
        <w:trPr>
          <w:trHeight w:val="277"/>
        </w:trPr>
        <w:tc>
          <w:tcPr>
            <w:tcW w:w="54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(7,522 )</w:t>
            </w:r>
          </w:p>
        </w:tc>
        <w:tc>
          <w:tcPr>
            <w:tcW w:w="4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479</w:t>
            </w:r>
          </w:p>
        </w:tc>
      </w:tr>
      <w:tr>
        <w:trPr>
          <w:trHeight w:val="250"/>
        </w:trPr>
        <w:tc>
          <w:tcPr>
            <w:tcW w:w="54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CCECFF"/>
            </w:tcBorders>
            <w:shd w:val="clear" w:color="auto" w:fill="CCECFF"/>
          </w:tcPr>
          <w:p>
            <w:pPr>
              <w:spacing w:after="0"/>
              <w:rPr>
                <w:sz w:val="21"/>
                <w:szCs w:val="21"/>
                <w:color w:val="auto"/>
              </w:rPr>
            </w:pPr>
          </w:p>
        </w:tc>
        <w:tc>
          <w:tcPr>
            <w:tcW w:w="24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(42,589 )</w:t>
            </w:r>
          </w:p>
        </w:tc>
        <w:tc>
          <w:tcPr>
            <w:tcW w:w="44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spacing w:after="0"/>
              <w:rPr>
                <w:sz w:val="21"/>
                <w:szCs w:val="21"/>
                <w:color w:val="auto"/>
              </w:rPr>
            </w:pPr>
          </w:p>
        </w:tc>
        <w:tc>
          <w:tcPr>
            <w:tcW w:w="24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89,294</w:t>
            </w:r>
          </w:p>
        </w:tc>
      </w:tr>
      <w:tr>
        <w:trPr>
          <w:trHeight w:val="277"/>
        </w:trPr>
        <w:tc>
          <w:tcPr>
            <w:tcW w:w="54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(12,976 )</w:t>
            </w:r>
          </w:p>
        </w:tc>
        <w:tc>
          <w:tcPr>
            <w:tcW w:w="4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31,447</w:t>
            </w:r>
          </w:p>
        </w:tc>
      </w:tr>
      <w:tr>
        <w:trPr>
          <w:trHeight w:val="311"/>
        </w:trPr>
        <w:tc>
          <w:tcPr>
            <w:tcW w:w="540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(29,613 )</w:t>
            </w:r>
          </w:p>
        </w:tc>
        <w:tc>
          <w:tcPr>
            <w:tcW w:w="440" w:type="dxa"/>
            <w:vAlign w:val="bottom"/>
            <w:tcBorders>
              <w:bottom w:val="single" w:sz="8" w:color="CCECFF"/>
            </w:tcBorders>
            <w:shd w:val="clear" w:color="auto" w:fill="CCECFF"/>
          </w:tcPr>
          <w:p>
            <w:pPr>
              <w:spacing w:after="0"/>
              <w:rPr>
                <w:sz w:val="24"/>
                <w:szCs w:val="24"/>
                <w:color w:val="auto"/>
              </w:rPr>
            </w:pPr>
          </w:p>
        </w:tc>
        <w:tc>
          <w:tcPr>
            <w:tcW w:w="460" w:type="dxa"/>
            <w:vAlign w:val="bottom"/>
            <w:tcBorders>
              <w:bottom w:val="single" w:sz="8" w:color="auto"/>
            </w:tcBorders>
            <w:shd w:val="clear" w:color="auto" w:fill="CCECFF"/>
          </w:tcPr>
          <w:p>
            <w:pPr>
              <w:jc w:val="right"/>
              <w:ind w:right="25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57,847</w:t>
            </w:r>
          </w:p>
        </w:tc>
      </w:tr>
      <w:tr>
        <w:trPr>
          <w:trHeight w:val="264"/>
        </w:trPr>
        <w:tc>
          <w:tcPr>
            <w:tcW w:w="5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900" w:type="dxa"/>
            <w:vAlign w:val="bottom"/>
            <w:gridSpan w:val="2"/>
          </w:tcPr>
          <w:p>
            <w:pPr>
              <w:spacing w:after="0"/>
              <w:rPr>
                <w:sz w:val="22"/>
                <w:szCs w:val="22"/>
                <w:color w:val="auto"/>
              </w:rPr>
            </w:pPr>
          </w:p>
        </w:tc>
        <w:tc>
          <w:tcPr>
            <w:tcW w:w="2400" w:type="dxa"/>
            <w:vAlign w:val="bottom"/>
          </w:tcPr>
          <w:p>
            <w:pPr>
              <w:spacing w:after="0"/>
              <w:rPr>
                <w:sz w:val="22"/>
                <w:szCs w:val="22"/>
                <w:color w:val="auto"/>
              </w:rPr>
            </w:pPr>
          </w:p>
        </w:tc>
      </w:tr>
      <w:tr>
        <w:trPr>
          <w:trHeight w:val="250"/>
        </w:trPr>
        <w:tc>
          <w:tcPr>
            <w:tcW w:w="54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Basic income (loss) per share</w:t>
            </w:r>
          </w:p>
        </w:tc>
        <w:tc>
          <w:tcPr>
            <w:tcW w:w="320" w:type="dxa"/>
            <w:vAlign w:val="bottom"/>
            <w:tcBorders>
              <w:bottom w:val="single" w:sz="8" w:color="CCECFF"/>
            </w:tcBorders>
            <w:shd w:val="clear" w:color="auto" w:fill="CCEC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4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(0.90 )</w:t>
            </w:r>
          </w:p>
        </w:tc>
        <w:tc>
          <w:tcPr>
            <w:tcW w:w="900" w:type="dxa"/>
            <w:vAlign w:val="bottom"/>
            <w:tcBorders>
              <w:bottom w:val="single" w:sz="8" w:color="CCECFF"/>
            </w:tcBorders>
            <w:gridSpan w:val="2"/>
            <w:shd w:val="clear" w:color="auto" w:fill="CCECFF"/>
          </w:tcPr>
          <w:p>
            <w:pPr>
              <w:jc w:val="right"/>
              <w:ind w:right="250"/>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2.19</w:t>
            </w:r>
          </w:p>
        </w:tc>
      </w:tr>
      <w:tr>
        <w:trPr>
          <w:trHeight w:val="270"/>
        </w:trPr>
        <w:tc>
          <w:tcPr>
            <w:tcW w:w="540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(0.90 )</w:t>
            </w:r>
          </w:p>
        </w:tc>
        <w:tc>
          <w:tcPr>
            <w:tcW w:w="9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2.17</w:t>
            </w:r>
          </w:p>
        </w:tc>
      </w:tr>
      <w:tr>
        <w:trPr>
          <w:trHeight w:val="21"/>
        </w:trPr>
        <w:tc>
          <w:tcPr>
            <w:tcW w:w="5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40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2400" w:type="dxa"/>
            <w:vAlign w:val="bottom"/>
            <w:shd w:val="clear" w:color="auto" w:fill="CCECFF"/>
          </w:tcPr>
          <w:p>
            <w:pPr>
              <w:spacing w:after="0"/>
              <w:rPr>
                <w:sz w:val="22"/>
                <w:szCs w:val="22"/>
                <w:color w:val="auto"/>
              </w:rPr>
            </w:pPr>
          </w:p>
        </w:tc>
        <w:tc>
          <w:tcPr>
            <w:tcW w:w="440" w:type="dxa"/>
            <w:vAlign w:val="bottom"/>
            <w:shd w:val="clear" w:color="auto" w:fill="CCECFF"/>
          </w:tcPr>
          <w:p>
            <w:pPr>
              <w:spacing w:after="0"/>
              <w:rPr>
                <w:sz w:val="22"/>
                <w:szCs w:val="22"/>
                <w:color w:val="auto"/>
              </w:rPr>
            </w:pPr>
          </w:p>
        </w:tc>
        <w:tc>
          <w:tcPr>
            <w:tcW w:w="460" w:type="dxa"/>
            <w:vAlign w:val="bottom"/>
            <w:shd w:val="clear" w:color="auto" w:fill="CCECFF"/>
          </w:tcPr>
          <w:p>
            <w:pPr>
              <w:spacing w:after="0"/>
              <w:rPr>
                <w:sz w:val="22"/>
                <w:szCs w:val="22"/>
                <w:color w:val="auto"/>
              </w:rPr>
            </w:pPr>
          </w:p>
        </w:tc>
        <w:tc>
          <w:tcPr>
            <w:tcW w:w="2400" w:type="dxa"/>
            <w:vAlign w:val="bottom"/>
            <w:shd w:val="clear" w:color="auto" w:fill="CCECFF"/>
          </w:tcPr>
          <w:p>
            <w:pPr>
              <w:spacing w:after="0"/>
              <w:rPr>
                <w:sz w:val="22"/>
                <w:szCs w:val="22"/>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Shares used in computing basic income (loss) per share</w:t>
            </w:r>
          </w:p>
        </w:tc>
        <w:tc>
          <w:tcPr>
            <w:tcW w:w="320" w:type="dxa"/>
            <w:vAlign w:val="bottom"/>
          </w:tcPr>
          <w:p>
            <w:pPr>
              <w:spacing w:after="0"/>
              <w:rPr>
                <w:sz w:val="21"/>
                <w:szCs w:val="21"/>
                <w:color w:val="auto"/>
              </w:rPr>
            </w:pP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32,721,837</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26,391,064</w:t>
            </w: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5400" w:type="dxa"/>
            <w:vAlign w:val="bottom"/>
            <w:shd w:val="clear" w:color="auto" w:fill="CCECFF"/>
          </w:tcPr>
          <w:p>
            <w:pPr>
              <w:ind w:left="40"/>
              <w:spacing w:after="0"/>
              <w:rPr>
                <w:sz w:val="20"/>
                <w:szCs w:val="20"/>
                <w:color w:val="auto"/>
              </w:rPr>
            </w:pPr>
            <w:r>
              <w:rPr>
                <w:rFonts w:ascii="Arial" w:cs="Arial" w:eastAsia="Arial" w:hAnsi="Arial"/>
                <w:sz w:val="18"/>
                <w:szCs w:val="18"/>
                <w:color w:val="auto"/>
              </w:rPr>
              <w:t>Shares used in computing diluted income (loss) per share</w:t>
            </w:r>
          </w:p>
        </w:tc>
        <w:tc>
          <w:tcPr>
            <w:tcW w:w="320" w:type="dxa"/>
            <w:vAlign w:val="bottom"/>
            <w:shd w:val="clear" w:color="auto" w:fill="CCECFF"/>
          </w:tcPr>
          <w:p>
            <w:pPr>
              <w:spacing w:after="0"/>
              <w:rPr>
                <w:sz w:val="21"/>
                <w:szCs w:val="21"/>
                <w:color w:val="auto"/>
              </w:rPr>
            </w:pPr>
          </w:p>
        </w:tc>
        <w:tc>
          <w:tcPr>
            <w:tcW w:w="240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rPr>
              <w:t>32,721,837</w:t>
            </w:r>
          </w:p>
        </w:tc>
        <w:tc>
          <w:tcPr>
            <w:tcW w:w="440" w:type="dxa"/>
            <w:vAlign w:val="bottom"/>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c>
          <w:tcPr>
            <w:tcW w:w="24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26,625,721</w:t>
            </w:r>
          </w:p>
        </w:tc>
      </w:tr>
      <w:tr>
        <w:trPr>
          <w:trHeight w:val="27"/>
        </w:trPr>
        <w:tc>
          <w:tcPr>
            <w:tcW w:w="5400" w:type="dxa"/>
            <w:vAlign w:val="bottom"/>
            <w:shd w:val="clear" w:color="auto" w:fill="CCECFF"/>
          </w:tcPr>
          <w:p>
            <w:pPr>
              <w:spacing w:after="0"/>
              <w:rPr>
                <w:sz w:val="2"/>
                <w:szCs w:val="2"/>
                <w:color w:val="auto"/>
              </w:rPr>
            </w:pPr>
          </w:p>
        </w:tc>
        <w:tc>
          <w:tcPr>
            <w:tcW w:w="320" w:type="dxa"/>
            <w:vAlign w:val="bottom"/>
            <w:shd w:val="clear" w:color="auto" w:fill="CCECFF"/>
          </w:tcPr>
          <w:p>
            <w:pPr>
              <w:spacing w:after="0"/>
              <w:rPr>
                <w:sz w:val="2"/>
                <w:szCs w:val="2"/>
                <w:color w:val="auto"/>
              </w:rPr>
            </w:pPr>
          </w:p>
        </w:tc>
        <w:tc>
          <w:tcPr>
            <w:tcW w:w="2400" w:type="dxa"/>
            <w:vAlign w:val="bottom"/>
            <w:shd w:val="clear" w:color="auto" w:fill="CCECFF"/>
          </w:tcPr>
          <w:p>
            <w:pPr>
              <w:spacing w:after="0"/>
              <w:rPr>
                <w:sz w:val="2"/>
                <w:szCs w:val="2"/>
                <w:color w:val="auto"/>
              </w:rPr>
            </w:pPr>
          </w:p>
        </w:tc>
        <w:tc>
          <w:tcPr>
            <w:tcW w:w="440" w:type="dxa"/>
            <w:vAlign w:val="bottom"/>
            <w:shd w:val="clear" w:color="auto" w:fill="CCECFF"/>
          </w:tcPr>
          <w:p>
            <w:pPr>
              <w:spacing w:after="0"/>
              <w:rPr>
                <w:sz w:val="2"/>
                <w:szCs w:val="2"/>
                <w:color w:val="auto"/>
              </w:rPr>
            </w:pPr>
          </w:p>
        </w:tc>
        <w:tc>
          <w:tcPr>
            <w:tcW w:w="460" w:type="dxa"/>
            <w:vAlign w:val="bottom"/>
            <w:shd w:val="clear" w:color="auto" w:fill="CCECFF"/>
          </w:tcPr>
          <w:p>
            <w:pPr>
              <w:spacing w:after="0"/>
              <w:rPr>
                <w:sz w:val="2"/>
                <w:szCs w:val="2"/>
                <w:color w:val="auto"/>
              </w:rPr>
            </w:pPr>
          </w:p>
        </w:tc>
        <w:tc>
          <w:tcPr>
            <w:tcW w:w="2400" w:type="dxa"/>
            <w:vAlign w:val="bottom"/>
            <w:shd w:val="clear" w:color="auto" w:fill="CCEC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16465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The Consolidated Statements of Operations presented above include the following:</w:t>
      </w:r>
    </w:p>
    <w:p>
      <w:pPr>
        <w:spacing w:after="0" w:line="201" w:lineRule="exact"/>
        <w:rPr>
          <w:rFonts w:ascii="Arial" w:cs="Arial" w:eastAsia="Arial" w:hAnsi="Arial"/>
          <w:sz w:val="25"/>
          <w:szCs w:val="25"/>
          <w:color w:val="auto"/>
          <w:vertAlign w:val="superscript"/>
        </w:rPr>
      </w:pPr>
    </w:p>
    <w:p>
      <w:pPr>
        <w:ind w:left="660" w:right="2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the Transitional Year: legacy Cyberonics for the period from April 25, 2015 to December 31, 2015 and for legacy Sorin, the period from October 19, 2015 to December 31,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the Fiscal Year ended April 24, 2015: legacy Cyberonics only, being the Predecessor company to LivaNova.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8580" w:type="dxa"/>
            <w:vAlign w:val="bottom"/>
          </w:tcPr>
          <w:p>
            <w:pPr>
              <w:jc w:val="center"/>
              <w:ind w:left="2770"/>
              <w:spacing w:after="0"/>
              <w:rPr>
                <w:sz w:val="20"/>
                <w:szCs w:val="20"/>
                <w:color w:val="auto"/>
              </w:rPr>
            </w:pPr>
            <w:r>
              <w:rPr>
                <w:rFonts w:ascii="Arial" w:cs="Arial" w:eastAsia="Arial" w:hAnsi="Arial"/>
                <w:sz w:val="18"/>
                <w:szCs w:val="18"/>
                <w:b w:val="1"/>
                <w:bCs w:val="1"/>
                <w:color w:val="auto"/>
              </w:rPr>
              <w:t>LIVANOVA PLC AND SUBSIDIARIES</w:t>
            </w:r>
          </w:p>
        </w:tc>
        <w:tc>
          <w:tcPr>
            <w:tcW w:w="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jc w:val="center"/>
              <w:ind w:left="2770"/>
              <w:spacing w:after="0"/>
              <w:rPr>
                <w:sz w:val="20"/>
                <w:szCs w:val="20"/>
                <w:color w:val="auto"/>
              </w:rPr>
            </w:pPr>
            <w:r>
              <w:rPr>
                <w:rFonts w:ascii="Arial" w:cs="Arial" w:eastAsia="Arial" w:hAnsi="Arial"/>
                <w:sz w:val="18"/>
                <w:szCs w:val="18"/>
                <w:b w:val="1"/>
                <w:bCs w:val="1"/>
                <w:color w:val="auto"/>
              </w:rPr>
              <w:t>PRELIMINARY CONDENSED CONSOLIDATED BALANCE SHEETS</w:t>
            </w:r>
          </w:p>
        </w:tc>
        <w:tc>
          <w:tcPr>
            <w:tcW w:w="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jc w:val="center"/>
              <w:ind w:left="2770"/>
              <w:spacing w:after="0"/>
              <w:rPr>
                <w:sz w:val="20"/>
                <w:szCs w:val="20"/>
                <w:color w:val="auto"/>
              </w:rPr>
            </w:pPr>
            <w:r>
              <w:rPr>
                <w:rFonts w:ascii="Arial" w:cs="Arial" w:eastAsia="Arial" w:hAnsi="Arial"/>
                <w:sz w:val="18"/>
                <w:szCs w:val="18"/>
                <w:b w:val="1"/>
                <w:bCs w:val="1"/>
                <w:color w:val="auto"/>
                <w:w w:val="88"/>
              </w:rPr>
              <w:t>U.S. dollars in thousands</w:t>
            </w:r>
          </w:p>
        </w:tc>
        <w:tc>
          <w:tcPr>
            <w:tcW w:w="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Pr>
          <w:p>
            <w:pPr>
              <w:jc w:val="center"/>
              <w:ind w:left="2750"/>
              <w:spacing w:after="0"/>
              <w:rPr>
                <w:sz w:val="20"/>
                <w:szCs w:val="20"/>
                <w:color w:val="auto"/>
              </w:rPr>
            </w:pPr>
            <w:r>
              <w:rPr>
                <w:rFonts w:ascii="Arial" w:cs="Arial" w:eastAsia="Arial" w:hAnsi="Arial"/>
                <w:sz w:val="18"/>
                <w:szCs w:val="18"/>
                <w:b w:val="1"/>
                <w:bCs w:val="1"/>
                <w:color w:val="auto"/>
                <w:w w:val="93"/>
              </w:rPr>
              <w:t>(Unaudited)</w:t>
            </w:r>
          </w:p>
        </w:tc>
        <w:tc>
          <w:tcPr>
            <w:tcW w:w="4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8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2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58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CFF"/>
            </w:tcBorders>
            <w:shd w:val="clear" w:color="auto" w:fill="CCECFF"/>
          </w:tcPr>
          <w:p>
            <w:pPr>
              <w:ind w:left="36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CFF"/>
            </w:tcBorders>
            <w:shd w:val="clear" w:color="auto" w:fill="CCECFF"/>
          </w:tcPr>
          <w:p>
            <w:pPr>
              <w:jc w:val="right"/>
              <w:ind w:right="2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112,613</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6,997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CFF"/>
            </w:tcBorders>
            <w:shd w:val="clear" w:color="auto" w:fill="CCECFF"/>
          </w:tcPr>
          <w:p>
            <w:pPr>
              <w:ind w:left="360"/>
              <w:spacing w:after="0"/>
              <w:rPr>
                <w:sz w:val="20"/>
                <w:szCs w:val="20"/>
                <w:color w:val="auto"/>
              </w:rPr>
            </w:pPr>
            <w:r>
              <w:rPr>
                <w:rFonts w:ascii="Arial" w:cs="Arial" w:eastAsia="Arial" w:hAnsi="Arial"/>
                <w:sz w:val="18"/>
                <w:szCs w:val="18"/>
                <w:color w:val="auto"/>
              </w:rPr>
              <w:t>Accounts receivable, net</w:t>
            </w:r>
          </w:p>
        </w:tc>
        <w:tc>
          <w:tcPr>
            <w:tcW w:w="420" w:type="dxa"/>
            <w:vAlign w:val="bottom"/>
            <w:tcBorders>
              <w:bottom w:val="single" w:sz="8" w:color="CCECFF"/>
            </w:tcBorders>
            <w:shd w:val="clear" w:color="auto" w:fill="CCECFF"/>
          </w:tcPr>
          <w:p>
            <w:pPr>
              <w:spacing w:after="0"/>
              <w:rPr>
                <w:sz w:val="21"/>
                <w:szCs w:val="21"/>
                <w:color w:val="auto"/>
              </w:rPr>
            </w:pPr>
          </w:p>
        </w:tc>
        <w:tc>
          <w:tcPr>
            <w:tcW w:w="23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272,352</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212,448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CFF"/>
            </w:tcBorders>
            <w:shd w:val="clear" w:color="auto" w:fill="CCECFF"/>
          </w:tcPr>
          <w:p>
            <w:pPr>
              <w:ind w:left="360"/>
              <w:spacing w:after="0"/>
              <w:rPr>
                <w:sz w:val="20"/>
                <w:szCs w:val="20"/>
                <w:color w:val="auto"/>
              </w:rPr>
            </w:pPr>
            <w:r>
              <w:rPr>
                <w:rFonts w:ascii="Arial" w:cs="Arial" w:eastAsia="Arial" w:hAnsi="Arial"/>
                <w:sz w:val="18"/>
                <w:szCs w:val="18"/>
                <w:color w:val="auto"/>
              </w:rPr>
              <w:t>Deferred and prepaid income taxes</w:t>
            </w:r>
          </w:p>
        </w:tc>
        <w:tc>
          <w:tcPr>
            <w:tcW w:w="420" w:type="dxa"/>
            <w:vAlign w:val="bottom"/>
            <w:tcBorders>
              <w:bottom w:val="single" w:sz="8" w:color="CCECFF"/>
            </w:tcBorders>
            <w:shd w:val="clear" w:color="auto" w:fill="CCECFF"/>
          </w:tcPr>
          <w:p>
            <w:pPr>
              <w:spacing w:after="0"/>
              <w:rPr>
                <w:sz w:val="21"/>
                <w:szCs w:val="21"/>
                <w:color w:val="auto"/>
              </w:rPr>
            </w:pPr>
          </w:p>
        </w:tc>
        <w:tc>
          <w:tcPr>
            <w:tcW w:w="23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42,425</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5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CCECFF"/>
            </w:tcBorders>
            <w:shd w:val="clear" w:color="auto" w:fill="CCECFF"/>
          </w:tcPr>
          <w:p>
            <w:pPr>
              <w:spacing w:after="0"/>
              <w:rPr>
                <w:sz w:val="21"/>
                <w:szCs w:val="21"/>
                <w:color w:val="auto"/>
              </w:rPr>
            </w:pPr>
          </w:p>
        </w:tc>
        <w:tc>
          <w:tcPr>
            <w:tcW w:w="23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673,414</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244,587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CFF"/>
            </w:tcBorders>
            <w:shd w:val="clear" w:color="auto" w:fill="CCECFF"/>
          </w:tcPr>
          <w:p>
            <w:pPr>
              <w:spacing w:after="0"/>
              <w:rPr>
                <w:sz w:val="21"/>
                <w:szCs w:val="21"/>
                <w:color w:val="auto"/>
              </w:rPr>
            </w:pPr>
          </w:p>
        </w:tc>
        <w:tc>
          <w:tcPr>
            <w:tcW w:w="23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742,221</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658,942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Investments</w:t>
            </w:r>
          </w:p>
        </w:tc>
        <w:tc>
          <w:tcPr>
            <w:tcW w:w="420" w:type="dxa"/>
            <w:vAlign w:val="bottom"/>
            <w:tcBorders>
              <w:bottom w:val="single" w:sz="8" w:color="CCECFF"/>
            </w:tcBorders>
            <w:shd w:val="clear" w:color="auto" w:fill="CCECFF"/>
          </w:tcPr>
          <w:p>
            <w:pPr>
              <w:spacing w:after="0"/>
              <w:rPr>
                <w:sz w:val="21"/>
                <w:szCs w:val="21"/>
                <w:color w:val="auto"/>
              </w:rPr>
            </w:pPr>
          </w:p>
        </w:tc>
        <w:tc>
          <w:tcPr>
            <w:tcW w:w="23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77,486</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assets non-current, net</w:t>
            </w:r>
          </w:p>
        </w:tc>
        <w:tc>
          <w:tcPr>
            <w:tcW w:w="4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153,509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5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shd w:val="clear" w:color="auto" w:fill="CCECFF"/>
          </w:tcPr>
          <w:p>
            <w:pPr>
              <w:spacing w:after="0"/>
              <w:rPr>
                <w:sz w:val="24"/>
                <w:szCs w:val="24"/>
                <w:color w:val="auto"/>
              </w:rPr>
            </w:pPr>
          </w:p>
        </w:tc>
        <w:tc>
          <w:tcPr>
            <w:tcW w:w="2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5,445</w:t>
            </w:r>
          </w:p>
        </w:tc>
        <w:tc>
          <w:tcPr>
            <w:tcW w:w="12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2,555,604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bottom w:val="single" w:sz="8" w:color="CCECFF"/>
            </w:tcBorders>
            <w:shd w:val="clear" w:color="auto" w:fill="CCECFF"/>
          </w:tcPr>
          <w:p>
            <w:pPr>
              <w:spacing w:after="0"/>
              <w:rPr>
                <w:sz w:val="21"/>
                <w:szCs w:val="21"/>
                <w:color w:val="auto"/>
              </w:rPr>
            </w:pPr>
          </w:p>
        </w:tc>
        <w:tc>
          <w:tcPr>
            <w:tcW w:w="230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4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Current debt obligations</w:t>
            </w:r>
          </w:p>
        </w:tc>
        <w:tc>
          <w:tcPr>
            <w:tcW w:w="420" w:type="dxa"/>
            <w:vAlign w:val="bottom"/>
            <w:tcBorders>
              <w:bottom w:val="single" w:sz="8" w:color="CCECFF"/>
            </w:tcBorders>
            <w:shd w:val="clear" w:color="auto" w:fill="CCECFF"/>
          </w:tcPr>
          <w:p>
            <w:pPr>
              <w:spacing w:after="0"/>
              <w:rPr>
                <w:sz w:val="21"/>
                <w:szCs w:val="21"/>
                <w:color w:val="auto"/>
              </w:rPr>
            </w:pPr>
          </w:p>
        </w:tc>
        <w:tc>
          <w:tcPr>
            <w:tcW w:w="23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107,007</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109,588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Accrued liabilities</w:t>
            </w:r>
          </w:p>
        </w:tc>
        <w:tc>
          <w:tcPr>
            <w:tcW w:w="420" w:type="dxa"/>
            <w:vAlign w:val="bottom"/>
            <w:tcBorders>
              <w:bottom w:val="single" w:sz="8" w:color="CCECFF"/>
            </w:tcBorders>
            <w:shd w:val="clear" w:color="auto" w:fill="CCECFF"/>
          </w:tcPr>
          <w:p>
            <w:pPr>
              <w:spacing w:after="0"/>
              <w:rPr>
                <w:sz w:val="21"/>
                <w:szCs w:val="21"/>
                <w:color w:val="auto"/>
              </w:rPr>
            </w:pPr>
          </w:p>
        </w:tc>
        <w:tc>
          <w:tcPr>
            <w:tcW w:w="23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56,013</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32,481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5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Accrued employee compensation and related benefits liability</w:t>
            </w:r>
          </w:p>
        </w:tc>
        <w:tc>
          <w:tcPr>
            <w:tcW w:w="420" w:type="dxa"/>
            <w:vAlign w:val="bottom"/>
            <w:tcBorders>
              <w:bottom w:val="single" w:sz="8" w:color="auto"/>
            </w:tcBorders>
            <w:shd w:val="clear" w:color="auto" w:fill="CCECFF"/>
          </w:tcPr>
          <w:p>
            <w:pPr>
              <w:spacing w:after="0"/>
              <w:rPr>
                <w:sz w:val="24"/>
                <w:szCs w:val="24"/>
                <w:color w:val="auto"/>
              </w:rPr>
            </w:pPr>
          </w:p>
        </w:tc>
        <w:tc>
          <w:tcPr>
            <w:tcW w:w="2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59,814</w:t>
            </w:r>
          </w:p>
        </w:tc>
        <w:tc>
          <w:tcPr>
            <w:tcW w:w="120" w:type="dxa"/>
            <w:vAlign w:val="bottom"/>
            <w:tcBorders>
              <w:bottom w:val="single" w:sz="8" w:color="auto"/>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364,903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Long-term debt obligations</w:t>
            </w:r>
          </w:p>
        </w:tc>
        <w:tc>
          <w:tcPr>
            <w:tcW w:w="420" w:type="dxa"/>
            <w:vAlign w:val="bottom"/>
            <w:tcBorders>
              <w:bottom w:val="single" w:sz="8" w:color="CCECFF"/>
            </w:tcBorders>
            <w:shd w:val="clear" w:color="auto" w:fill="CCECFF"/>
          </w:tcPr>
          <w:p>
            <w:pPr>
              <w:spacing w:after="0"/>
              <w:rPr>
                <w:sz w:val="21"/>
                <w:szCs w:val="21"/>
                <w:color w:val="auto"/>
              </w:rPr>
            </w:pPr>
          </w:p>
        </w:tc>
        <w:tc>
          <w:tcPr>
            <w:tcW w:w="23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91,791</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deferred income taxes liability</w:t>
            </w:r>
          </w:p>
        </w:tc>
        <w:tc>
          <w:tcPr>
            <w:tcW w:w="4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232,348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Long-term employee compensation and related benefits liability</w:t>
            </w:r>
          </w:p>
        </w:tc>
        <w:tc>
          <w:tcPr>
            <w:tcW w:w="420" w:type="dxa"/>
            <w:vAlign w:val="bottom"/>
            <w:tcBorders>
              <w:bottom w:val="single" w:sz="8" w:color="CCECFF"/>
            </w:tcBorders>
            <w:shd w:val="clear" w:color="auto" w:fill="CCECFF"/>
          </w:tcPr>
          <w:p>
            <w:pPr>
              <w:spacing w:after="0"/>
              <w:rPr>
                <w:sz w:val="21"/>
                <w:szCs w:val="21"/>
                <w:color w:val="auto"/>
              </w:rPr>
            </w:pPr>
          </w:p>
        </w:tc>
        <w:tc>
          <w:tcPr>
            <w:tcW w:w="23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31,139</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23,961</w:t>
            </w:r>
          </w:p>
        </w:tc>
        <w:tc>
          <w:tcPr>
            <w:tcW w:w="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CCECFF"/>
            </w:tcBorders>
            <w:shd w:val="clear" w:color="auto" w:fill="CCECFF"/>
          </w:tcPr>
          <w:p>
            <w:pPr>
              <w:spacing w:after="0"/>
              <w:rPr>
                <w:sz w:val="21"/>
                <w:szCs w:val="21"/>
                <w:color w:val="auto"/>
              </w:rPr>
            </w:pPr>
          </w:p>
        </w:tc>
        <w:tc>
          <w:tcPr>
            <w:tcW w:w="23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744,142</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58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1,811,462</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580" w:type="dxa"/>
            <w:vAlign w:val="bottom"/>
            <w:tcBorders>
              <w:bottom w:val="single" w:sz="8" w:color="CCECFF"/>
            </w:tcBorders>
            <w:shd w:val="clear" w:color="auto" w:fill="CCEC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2,555,604</w:t>
            </w:r>
          </w:p>
        </w:tc>
        <w:tc>
          <w:tcPr>
            <w:tcW w:w="120" w:type="dxa"/>
            <w:vAlign w:val="bottom"/>
            <w:tcBorders>
              <w:bottom w:val="single" w:sz="8" w:color="auto"/>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LIVANOVA PLC</w:t>
      </w:r>
    </w:p>
    <w:p>
      <w:pPr>
        <w:jc w:val="center"/>
        <w:spacing w:after="0" w:line="182" w:lineRule="auto"/>
        <w:rPr>
          <w:sz w:val="20"/>
          <w:szCs w:val="20"/>
          <w:color w:val="auto"/>
        </w:rPr>
      </w:pPr>
      <w:r>
        <w:rPr>
          <w:rFonts w:ascii="Arial" w:cs="Arial" w:eastAsia="Arial" w:hAnsi="Arial"/>
          <w:sz w:val="17"/>
          <w:szCs w:val="17"/>
          <w:b w:val="1"/>
          <w:bCs w:val="1"/>
          <w:color w:val="auto"/>
        </w:rPr>
        <w:t>FOURTH QUARTER RECONCILIATION</w:t>
      </w:r>
      <w:r>
        <w:rPr>
          <w:rFonts w:ascii="Arial" w:cs="Arial" w:eastAsia="Arial" w:hAnsi="Arial"/>
          <w:sz w:val="28"/>
          <w:szCs w:val="28"/>
          <w:b w:val="1"/>
          <w:bCs w:val="1"/>
          <w:color w:val="auto"/>
          <w:vertAlign w:val="superscript"/>
        </w:rPr>
        <w:t>11</w:t>
      </w:r>
      <w:r>
        <w:rPr>
          <w:rFonts w:ascii="Arial" w:cs="Arial" w:eastAsia="Arial" w:hAnsi="Arial"/>
          <w:sz w:val="17"/>
          <w:szCs w:val="17"/>
          <w:b w:val="1"/>
          <w:bCs w:val="1"/>
          <w:color w:val="auto"/>
        </w:rPr>
        <w:t xml:space="preserve"> OF WORLDWIDE GROWTH TO COMPARABLE CONSTANT CURRENCY GROWTH</w:t>
      </w:r>
      <w:r>
        <w:rPr>
          <w:rFonts w:ascii="Arial" w:cs="Arial" w:eastAsia="Arial" w:hAnsi="Arial"/>
          <w:sz w:val="28"/>
          <w:szCs w:val="28"/>
          <w:b w:val="1"/>
          <w:bCs w:val="1"/>
          <w:color w:val="auto"/>
          <w:vertAlign w:val="superscript"/>
        </w:rPr>
        <w:t>12,13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Negative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Combined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Currency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LivaNova</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Combined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Impact 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Comparable</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4"/>
              </w:rPr>
              <w:t>Fourth</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Fourth</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5"/>
              </w:rPr>
              <w:t>Current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Constant</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quarter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6"/>
              </w:rPr>
              <w:t>quarter</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Currency</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Sorin</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Cyberonics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Growth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4"/>
              </w:rPr>
              <w:t>Sales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Growth</w:t>
            </w:r>
          </w:p>
        </w:tc>
        <w:tc>
          <w:tcPr>
            <w:tcW w:w="0" w:type="dxa"/>
            <w:vAlign w:val="bottom"/>
          </w:tcPr>
          <w:p>
            <w:pPr>
              <w:spacing w:after="0"/>
              <w:rPr>
                <w:sz w:val="1"/>
                <w:szCs w:val="1"/>
                <w:color w:val="auto"/>
              </w:rPr>
            </w:pPr>
          </w:p>
        </w:tc>
      </w:tr>
      <w:tr>
        <w:trPr>
          <w:trHeight w:val="34"/>
        </w:trPr>
        <w:tc>
          <w:tcPr>
            <w:tcW w:w="1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5"/>
        </w:trPr>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3"/>
              </w:rPr>
              <w:t>Three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months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December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7"/>
              </w:rPr>
              <w:t>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600" w:type="dxa"/>
            <w:vAlign w:val="bottom"/>
            <w:vMerge w:val="restart"/>
          </w:tcPr>
          <w:p>
            <w:pPr>
              <w:spacing w:after="0"/>
              <w:rPr>
                <w:sz w:val="20"/>
                <w:szCs w:val="20"/>
                <w:color w:val="auto"/>
              </w:rPr>
            </w:pPr>
            <w:r>
              <w:rPr>
                <w:rFonts w:ascii="Arial" w:cs="Arial" w:eastAsia="Arial" w:hAnsi="Arial"/>
                <w:sz w:val="18"/>
                <w:szCs w:val="18"/>
                <w:b w:val="1"/>
                <w:bCs w:val="1"/>
                <w:color w:val="auto"/>
              </w:rPr>
              <w:t>Cardiac Surgery</w:t>
            </w: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1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600" w:type="dxa"/>
            <w:vAlign w:val="bottom"/>
          </w:tcPr>
          <w:p>
            <w:pPr>
              <w:ind w:left="160"/>
              <w:spacing w:after="0"/>
              <w:rPr>
                <w:sz w:val="20"/>
                <w:szCs w:val="20"/>
                <w:color w:val="auto"/>
              </w:rPr>
            </w:pPr>
            <w:r>
              <w:rPr>
                <w:rFonts w:ascii="Arial" w:cs="Arial" w:eastAsia="Arial" w:hAnsi="Arial"/>
                <w:sz w:val="18"/>
                <w:szCs w:val="18"/>
                <w:b w:val="1"/>
                <w:bCs w:val="1"/>
                <w:color w:val="auto"/>
              </w:rPr>
              <w:t>Cardio</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80"/>
              <w:spacing w:after="0"/>
              <w:rPr>
                <w:sz w:val="20"/>
                <w:szCs w:val="20"/>
                <w:color w:val="auto"/>
              </w:rPr>
            </w:pPr>
            <w:r>
              <w:rPr>
                <w:rFonts w:ascii="Arial" w:cs="Arial" w:eastAsia="Arial" w:hAnsi="Arial"/>
                <w:sz w:val="18"/>
                <w:szCs w:val="18"/>
                <w:b w:val="1"/>
                <w:bCs w:val="1"/>
                <w:color w:val="auto"/>
              </w:rPr>
              <w:t>Pulmonary</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129,963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129,963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131,655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1600" w:type="dxa"/>
            <w:vAlign w:val="bottom"/>
          </w:tcPr>
          <w:p>
            <w:pPr>
              <w:ind w:left="160"/>
              <w:spacing w:after="0"/>
              <w:rPr>
                <w:sz w:val="20"/>
                <w:szCs w:val="20"/>
                <w:color w:val="auto"/>
              </w:rPr>
            </w:pPr>
            <w:r>
              <w:rPr>
                <w:rFonts w:ascii="Arial" w:cs="Arial" w:eastAsia="Arial" w:hAnsi="Arial"/>
                <w:sz w:val="18"/>
                <w:szCs w:val="18"/>
                <w:b w:val="1"/>
                <w:bCs w:val="1"/>
                <w:color w:val="auto"/>
              </w:rPr>
              <w:t>Heart Valves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34,917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34,917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39,139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3,586</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95"/>
        </w:trPr>
        <w:tc>
          <w:tcPr>
            <w:tcW w:w="1600" w:type="dxa"/>
            <w:vAlign w:val="bottom"/>
          </w:tcPr>
          <w:p>
            <w:pPr>
              <w:spacing w:after="0"/>
              <w:rPr>
                <w:sz w:val="20"/>
                <w:szCs w:val="20"/>
                <w:color w:val="auto"/>
              </w:rPr>
            </w:pPr>
            <w:r>
              <w:rPr>
                <w:rFonts w:ascii="Arial" w:cs="Arial" w:eastAsia="Arial" w:hAnsi="Arial"/>
                <w:sz w:val="18"/>
                <w:szCs w:val="18"/>
                <w:b w:val="1"/>
                <w:bCs w:val="1"/>
                <w:color w:val="auto"/>
              </w:rPr>
              <w:t>Cardiac Surgery</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164,879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164,879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170,793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13,134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540"/>
        </w:trPr>
        <w:tc>
          <w:tcPr>
            <w:tcW w:w="1600" w:type="dxa"/>
            <w:vAlign w:val="bottom"/>
          </w:tcPr>
          <w:p>
            <w:pPr>
              <w:spacing w:after="0"/>
              <w:rPr>
                <w:sz w:val="20"/>
                <w:szCs w:val="20"/>
                <w:color w:val="auto"/>
              </w:rPr>
            </w:pPr>
            <w:r>
              <w:rPr>
                <w:rFonts w:ascii="Arial" w:cs="Arial" w:eastAsia="Arial" w:hAnsi="Arial"/>
                <w:sz w:val="18"/>
                <w:szCs w:val="18"/>
                <w:b w:val="1"/>
                <w:bCs w:val="1"/>
                <w:color w:val="auto"/>
              </w:rPr>
              <w:t>CRM</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60,669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60,669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84,541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7,604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540"/>
        </w:trPr>
        <w:tc>
          <w:tcPr>
            <w:tcW w:w="160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91,516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91,516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73,620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540"/>
        </w:trPr>
        <w:tc>
          <w:tcPr>
            <w:tcW w:w="16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1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317,993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226,477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91,516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329,711</w:t>
            </w:r>
          </w:p>
        </w:tc>
        <w:tc>
          <w:tcPr>
            <w:tcW w:w="16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(3.6)%   $</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22,006</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1646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The sales results presented are unaudited.</w:t>
      </w:r>
    </w:p>
    <w:p>
      <w:pPr>
        <w:spacing w:after="0" w:line="1" w:lineRule="exact"/>
        <w:rPr>
          <w:rFonts w:ascii="Arial" w:cs="Arial" w:eastAsia="Arial" w:hAnsi="Arial"/>
          <w:sz w:val="25"/>
          <w:szCs w:val="25"/>
          <w:color w:val="auto"/>
          <w:vertAlign w:val="superscript"/>
        </w:rPr>
      </w:pPr>
    </w:p>
    <w:p>
      <w:pPr>
        <w:ind w:right="60" w:firstLine="8"/>
        <w:spacing w:after="0" w:line="236" w:lineRule="auto"/>
        <w:tabs>
          <w:tab w:leader="none" w:pos="195"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Management believes that referring to constant currency growth rates is a more appropriate way to evaluate operational performance. Constant currency growth, a non-GAAP financial measure, measures the change in sales between current and prior year periods using average foreign exchange rates during the corresponding prior year period.</w:t>
      </w:r>
    </w:p>
    <w:p>
      <w:pPr>
        <w:spacing w:after="0" w:line="2" w:lineRule="exact"/>
        <w:rPr>
          <w:rFonts w:ascii="Arial" w:cs="Arial" w:eastAsia="Arial" w:hAnsi="Arial"/>
          <w:sz w:val="25"/>
          <w:szCs w:val="25"/>
          <w:color w:val="auto"/>
          <w:vertAlign w:val="superscript"/>
        </w:rPr>
      </w:pPr>
    </w:p>
    <w:p>
      <w:pPr>
        <w:ind w:left="200" w:hanging="192"/>
        <w:spacing w:after="0" w:line="180" w:lineRule="auto"/>
        <w:tabs>
          <w:tab w:leader="none" w:pos="20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Numbers may not add due to rounding.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LIVANOVA PLC</w:t>
      </w:r>
    </w:p>
    <w:p>
      <w:pPr>
        <w:jc w:val="center"/>
        <w:spacing w:after="0" w:line="182" w:lineRule="auto"/>
        <w:rPr>
          <w:sz w:val="20"/>
          <w:szCs w:val="20"/>
          <w:color w:val="auto"/>
        </w:rPr>
      </w:pPr>
      <w:r>
        <w:rPr>
          <w:rFonts w:ascii="Arial" w:cs="Arial" w:eastAsia="Arial" w:hAnsi="Arial"/>
          <w:sz w:val="17"/>
          <w:szCs w:val="17"/>
          <w:b w:val="1"/>
          <w:bCs w:val="1"/>
          <w:color w:val="auto"/>
        </w:rPr>
        <w:t>TWELVE MONTHS RECONCILIATION</w:t>
      </w:r>
      <w:r>
        <w:rPr>
          <w:rFonts w:ascii="Arial" w:cs="Arial" w:eastAsia="Arial" w:hAnsi="Arial"/>
          <w:sz w:val="28"/>
          <w:szCs w:val="28"/>
          <w:b w:val="1"/>
          <w:bCs w:val="1"/>
          <w:color w:val="auto"/>
          <w:vertAlign w:val="superscript"/>
        </w:rPr>
        <w:t>14</w:t>
      </w:r>
      <w:r>
        <w:rPr>
          <w:rFonts w:ascii="Arial" w:cs="Arial" w:eastAsia="Arial" w:hAnsi="Arial"/>
          <w:sz w:val="17"/>
          <w:szCs w:val="17"/>
          <w:b w:val="1"/>
          <w:bCs w:val="1"/>
          <w:color w:val="auto"/>
        </w:rPr>
        <w:t xml:space="preserve"> OF WORLDWIDE GROWTH TO COMPARABLE CONSTANT CURRENCY GROWTH</w:t>
      </w:r>
      <w:r>
        <w:rPr>
          <w:rFonts w:ascii="Arial" w:cs="Arial" w:eastAsia="Arial" w:hAnsi="Arial"/>
          <w:sz w:val="28"/>
          <w:szCs w:val="28"/>
          <w:b w:val="1"/>
          <w:bCs w:val="1"/>
          <w:color w:val="auto"/>
          <w:vertAlign w:val="superscript"/>
        </w:rPr>
        <w:t>15,16</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 $ in thousands)</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Negative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Currency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4"/>
              </w:rPr>
              <w:t>Impact 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Comparable</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Combined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Constant</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LivaNova</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Combined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Currency</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Sorin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Cyberonics</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Growth</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4"/>
              </w:rPr>
              <w:t>Sales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Growth</w:t>
            </w:r>
          </w:p>
        </w:tc>
        <w:tc>
          <w:tcPr>
            <w:tcW w:w="0" w:type="dxa"/>
            <w:vAlign w:val="bottom"/>
          </w:tcPr>
          <w:p>
            <w:pPr>
              <w:spacing w:after="0"/>
              <w:rPr>
                <w:sz w:val="1"/>
                <w:szCs w:val="1"/>
                <w:color w:val="auto"/>
              </w:rPr>
            </w:pPr>
          </w:p>
        </w:tc>
      </w:tr>
      <w:tr>
        <w:trPr>
          <w:trHeight w:val="34"/>
        </w:trPr>
        <w:tc>
          <w:tcPr>
            <w:tcW w:w="1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5"/>
        </w:trPr>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Twelve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months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600" w:type="dxa"/>
            <w:vAlign w:val="bottom"/>
            <w:vMerge w:val="restart"/>
          </w:tcPr>
          <w:p>
            <w:pPr>
              <w:spacing w:after="0"/>
              <w:rPr>
                <w:sz w:val="20"/>
                <w:szCs w:val="20"/>
                <w:color w:val="auto"/>
              </w:rPr>
            </w:pPr>
            <w:r>
              <w:rPr>
                <w:rFonts w:ascii="Arial" w:cs="Arial" w:eastAsia="Arial" w:hAnsi="Arial"/>
                <w:sz w:val="18"/>
                <w:szCs w:val="18"/>
                <w:b w:val="1"/>
                <w:bCs w:val="1"/>
                <w:color w:val="auto"/>
              </w:rPr>
              <w:t>Cardiac Surgery</w:t>
            </w: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1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600" w:type="dxa"/>
            <w:vAlign w:val="bottom"/>
          </w:tcPr>
          <w:p>
            <w:pPr>
              <w:ind w:left="160"/>
              <w:spacing w:after="0"/>
              <w:rPr>
                <w:sz w:val="20"/>
                <w:szCs w:val="20"/>
                <w:color w:val="auto"/>
              </w:rPr>
            </w:pPr>
            <w:r>
              <w:rPr>
                <w:rFonts w:ascii="Arial" w:cs="Arial" w:eastAsia="Arial" w:hAnsi="Arial"/>
                <w:sz w:val="18"/>
                <w:szCs w:val="18"/>
                <w:b w:val="1"/>
                <w:bCs w:val="1"/>
                <w:color w:val="auto"/>
              </w:rPr>
              <w:t>Cardio</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80"/>
              <w:spacing w:after="0"/>
              <w:rPr>
                <w:sz w:val="20"/>
                <w:szCs w:val="20"/>
                <w:color w:val="auto"/>
              </w:rPr>
            </w:pPr>
            <w:r>
              <w:rPr>
                <w:rFonts w:ascii="Arial" w:cs="Arial" w:eastAsia="Arial" w:hAnsi="Arial"/>
                <w:sz w:val="18"/>
                <w:szCs w:val="18"/>
                <w:b w:val="1"/>
                <w:bCs w:val="1"/>
                <w:color w:val="auto"/>
              </w:rPr>
              <w:t>Pulmonary</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476,394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476,394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503,814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51,638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1600" w:type="dxa"/>
            <w:vAlign w:val="bottom"/>
          </w:tcPr>
          <w:p>
            <w:pPr>
              <w:ind w:left="160"/>
              <w:spacing w:after="0"/>
              <w:rPr>
                <w:sz w:val="20"/>
                <w:szCs w:val="20"/>
                <w:color w:val="auto"/>
              </w:rPr>
            </w:pPr>
            <w:r>
              <w:rPr>
                <w:rFonts w:ascii="Arial" w:cs="Arial" w:eastAsia="Arial" w:hAnsi="Arial"/>
                <w:sz w:val="18"/>
                <w:szCs w:val="18"/>
                <w:b w:val="1"/>
                <w:bCs w:val="1"/>
                <w:color w:val="auto"/>
              </w:rPr>
              <w:t>Heart Valves</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140,210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140,210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160,493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17,769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95"/>
        </w:trPr>
        <w:tc>
          <w:tcPr>
            <w:tcW w:w="1600" w:type="dxa"/>
            <w:vAlign w:val="bottom"/>
          </w:tcPr>
          <w:p>
            <w:pPr>
              <w:spacing w:after="0"/>
              <w:rPr>
                <w:sz w:val="20"/>
                <w:szCs w:val="20"/>
                <w:color w:val="auto"/>
              </w:rPr>
            </w:pPr>
            <w:r>
              <w:rPr>
                <w:rFonts w:ascii="Arial" w:cs="Arial" w:eastAsia="Arial" w:hAnsi="Arial"/>
                <w:sz w:val="18"/>
                <w:szCs w:val="18"/>
                <w:b w:val="1"/>
                <w:bCs w:val="1"/>
                <w:color w:val="auto"/>
              </w:rPr>
              <w:t>Cardiac  Surgery</w:t>
            </w: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616,604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616,604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664,307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69,407</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540"/>
        </w:trPr>
        <w:tc>
          <w:tcPr>
            <w:tcW w:w="1600" w:type="dxa"/>
            <w:vAlign w:val="bottom"/>
          </w:tcPr>
          <w:p>
            <w:pPr>
              <w:spacing w:after="0"/>
              <w:rPr>
                <w:sz w:val="20"/>
                <w:szCs w:val="20"/>
                <w:color w:val="auto"/>
              </w:rPr>
            </w:pPr>
            <w:r>
              <w:rPr>
                <w:rFonts w:ascii="Arial" w:cs="Arial" w:eastAsia="Arial" w:hAnsi="Arial"/>
                <w:sz w:val="18"/>
                <w:szCs w:val="18"/>
                <w:b w:val="1"/>
                <w:bCs w:val="1"/>
                <w:color w:val="auto"/>
              </w:rPr>
              <w:t>CRM</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260,513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260,513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333,993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45,267</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540"/>
        </w:trPr>
        <w:tc>
          <w:tcPr>
            <w:tcW w:w="160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324,341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324,341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290,209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6,351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540"/>
        </w:trPr>
        <w:tc>
          <w:tcPr>
            <w:tcW w:w="16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3,264</w:t>
            </w:r>
          </w:p>
        </w:tc>
        <w:tc>
          <w:tcPr>
            <w:tcW w:w="260" w:type="dxa"/>
            <w:vAlign w:val="bottom"/>
          </w:tcPr>
          <w:p>
            <w:pPr>
              <w:spacing w:after="0"/>
              <w:rPr>
                <w:sz w:val="24"/>
                <w:szCs w:val="24"/>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1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1,204,637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880,296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324,341</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   1,291,773</w:t>
            </w:r>
          </w:p>
        </w:tc>
        <w:tc>
          <w:tcPr>
            <w:tcW w:w="14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(6.7)%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121,641</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16465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The sales results presented are unaudited.</w:t>
      </w:r>
    </w:p>
    <w:p>
      <w:pPr>
        <w:spacing w:after="0" w:line="1" w:lineRule="exact"/>
        <w:rPr>
          <w:rFonts w:ascii="Arial" w:cs="Arial" w:eastAsia="Arial" w:hAnsi="Arial"/>
          <w:sz w:val="25"/>
          <w:szCs w:val="25"/>
          <w:color w:val="auto"/>
          <w:vertAlign w:val="superscript"/>
        </w:rPr>
      </w:pPr>
    </w:p>
    <w:p>
      <w:pPr>
        <w:ind w:right="60" w:firstLine="8"/>
        <w:spacing w:after="0" w:line="236" w:lineRule="auto"/>
        <w:tabs>
          <w:tab w:leader="none" w:pos="195"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Management believes that referring to constant currency growth rates is a more appropriate way to evaluate operational performance. Constant currency growth, a non-GAAP financial measure, measures the change in sales between current and prior year periods using average foreign exchange rates during the corresponding prior year period.</w:t>
      </w:r>
    </w:p>
    <w:p>
      <w:pPr>
        <w:spacing w:after="0" w:line="2" w:lineRule="exact"/>
        <w:rPr>
          <w:rFonts w:ascii="Arial" w:cs="Arial" w:eastAsia="Arial" w:hAnsi="Arial"/>
          <w:sz w:val="25"/>
          <w:szCs w:val="25"/>
          <w:color w:val="auto"/>
          <w:vertAlign w:val="superscript"/>
        </w:rPr>
      </w:pPr>
    </w:p>
    <w:p>
      <w:pPr>
        <w:ind w:left="200" w:hanging="192"/>
        <w:spacing w:after="0" w:line="180" w:lineRule="auto"/>
        <w:tabs>
          <w:tab w:leader="none" w:pos="20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Numbers may not add due to rounding.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LIVANOVA PLC</w:t>
      </w:r>
    </w:p>
    <w:p>
      <w:pPr>
        <w:jc w:val="center"/>
        <w:spacing w:after="0" w:line="182" w:lineRule="auto"/>
        <w:rPr>
          <w:sz w:val="20"/>
          <w:szCs w:val="20"/>
          <w:color w:val="auto"/>
        </w:rPr>
      </w:pPr>
      <w:r>
        <w:rPr>
          <w:rFonts w:ascii="Arial" w:cs="Arial" w:eastAsia="Arial" w:hAnsi="Arial"/>
          <w:sz w:val="17"/>
          <w:szCs w:val="17"/>
          <w:b w:val="1"/>
          <w:bCs w:val="1"/>
          <w:color w:val="auto"/>
        </w:rPr>
        <w:t>COMBINED SALES</w:t>
      </w:r>
      <w:r>
        <w:rPr>
          <w:rFonts w:ascii="Arial" w:cs="Arial" w:eastAsia="Arial" w:hAnsi="Arial"/>
          <w:sz w:val="28"/>
          <w:szCs w:val="28"/>
          <w:b w:val="1"/>
          <w:bCs w:val="1"/>
          <w:color w:val="auto"/>
          <w:vertAlign w:val="superscript"/>
        </w:rPr>
        <w:t>17</w:t>
      </w:r>
      <w:r>
        <w:rPr>
          <w:rFonts w:ascii="Arial" w:cs="Arial" w:eastAsia="Arial" w:hAnsi="Arial"/>
          <w:sz w:val="17"/>
          <w:szCs w:val="17"/>
          <w:b w:val="1"/>
          <w:bCs w:val="1"/>
          <w:color w:val="auto"/>
        </w:rPr>
        <w:t xml:space="preserve"> BY GEOGRAPHY FOR QUARTER ENDED DECEMBER 31, 2015</w:t>
      </w:r>
      <w:r>
        <w:rPr>
          <w:rFonts w:ascii="Arial" w:cs="Arial" w:eastAsia="Arial" w:hAnsi="Arial"/>
          <w:sz w:val="28"/>
          <w:szCs w:val="28"/>
          <w:b w:val="1"/>
          <w:bCs w:val="1"/>
          <w:color w:val="auto"/>
          <w:vertAlign w:val="superscript"/>
        </w:rPr>
        <w:t>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as reported)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4"/>
              </w:rPr>
              <w:t>Europe</w:t>
            </w:r>
            <w:r>
              <w:rPr>
                <w:rFonts w:ascii="Arial" w:cs="Arial" w:eastAsia="Arial" w:hAnsi="Arial"/>
                <w:sz w:val="30"/>
                <w:szCs w:val="30"/>
                <w:b w:val="1"/>
                <w:bCs w:val="1"/>
                <w:color w:val="auto"/>
                <w:w w:val="94"/>
                <w:vertAlign w:val="superscript"/>
              </w:rPr>
              <w:t>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Rest of</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6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US</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World</w:t>
            </w:r>
          </w:p>
        </w:tc>
        <w:tc>
          <w:tcPr>
            <w:tcW w:w="3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Cardiac Surgery</w:t>
            </w:r>
          </w:p>
        </w:tc>
        <w:tc>
          <w:tcPr>
            <w:tcW w:w="360" w:type="dxa"/>
            <w:vAlign w:val="bottom"/>
            <w:tcBorders>
              <w:bottom w:val="single" w:sz="8" w:color="CCECFF"/>
            </w:tcBorders>
            <w:shd w:val="clear" w:color="auto" w:fill="CCECFF"/>
          </w:tcPr>
          <w:p>
            <w:pPr>
              <w:spacing w:after="0"/>
              <w:rPr>
                <w:sz w:val="21"/>
                <w:szCs w:val="21"/>
                <w:color w:val="auto"/>
              </w:rPr>
            </w:pPr>
          </w:p>
        </w:tc>
        <w:tc>
          <w:tcPr>
            <w:tcW w:w="104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1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CCECFF"/>
            </w:tcBorders>
            <w:shd w:val="clear" w:color="auto" w:fill="CCECFF"/>
          </w:tcPr>
          <w:p>
            <w:pPr>
              <w:spacing w:after="0"/>
              <w:rPr>
                <w:sz w:val="21"/>
                <w:szCs w:val="21"/>
                <w:color w:val="auto"/>
              </w:rPr>
            </w:pPr>
          </w:p>
        </w:tc>
        <w:tc>
          <w:tcPr>
            <w:tcW w:w="102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CCECFF"/>
            </w:tcBorders>
            <w:shd w:val="clear" w:color="auto" w:fill="CCECFF"/>
          </w:tcPr>
          <w:p>
            <w:pPr>
              <w:spacing w:after="0"/>
              <w:rPr>
                <w:sz w:val="21"/>
                <w:szCs w:val="21"/>
                <w:color w:val="auto"/>
              </w:rPr>
            </w:pPr>
          </w:p>
        </w:tc>
        <w:tc>
          <w:tcPr>
            <w:tcW w:w="128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80"/>
              <w:spacing w:after="0"/>
              <w:rPr>
                <w:sz w:val="20"/>
                <w:szCs w:val="20"/>
                <w:color w:val="auto"/>
              </w:rPr>
            </w:pPr>
            <w:r>
              <w:rPr>
                <w:rFonts w:ascii="Arial" w:cs="Arial" w:eastAsia="Arial" w:hAnsi="Arial"/>
                <w:sz w:val="18"/>
                <w:szCs w:val="18"/>
                <w:color w:val="auto"/>
              </w:rPr>
              <w:t>Cardio Pulmonary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45,921</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35,551</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48,491</w:t>
            </w:r>
          </w:p>
        </w:tc>
        <w:tc>
          <w:tcPr>
            <w:tcW w:w="7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129,963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680" w:type="dxa"/>
            <w:vAlign w:val="bottom"/>
            <w:tcBorders>
              <w:bottom w:val="single" w:sz="8" w:color="CCECFF"/>
            </w:tcBorders>
            <w:shd w:val="clear" w:color="auto" w:fill="CCECFF"/>
          </w:tcPr>
          <w:p>
            <w:pPr>
              <w:ind w:left="480"/>
              <w:spacing w:after="0"/>
              <w:rPr>
                <w:sz w:val="20"/>
                <w:szCs w:val="20"/>
                <w:color w:val="auto"/>
              </w:rPr>
            </w:pPr>
            <w:r>
              <w:rPr>
                <w:rFonts w:ascii="Arial" w:cs="Arial" w:eastAsia="Arial" w:hAnsi="Arial"/>
                <w:sz w:val="18"/>
                <w:szCs w:val="18"/>
                <w:color w:val="auto"/>
              </w:rPr>
              <w:t>Heart Valves</w:t>
            </w:r>
          </w:p>
        </w:tc>
        <w:tc>
          <w:tcPr>
            <w:tcW w:w="360" w:type="dxa"/>
            <w:vAlign w:val="bottom"/>
            <w:tcBorders>
              <w:bottom w:val="single" w:sz="8" w:color="auto"/>
            </w:tcBorders>
            <w:shd w:val="clear" w:color="auto" w:fill="CCECFF"/>
          </w:tcPr>
          <w:p>
            <w:pPr>
              <w:spacing w:after="0"/>
              <w:rPr>
                <w:sz w:val="24"/>
                <w:szCs w:val="24"/>
                <w:color w:val="auto"/>
              </w:rPr>
            </w:pPr>
          </w:p>
        </w:tc>
        <w:tc>
          <w:tcPr>
            <w:tcW w:w="10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5,762</w:t>
            </w:r>
          </w:p>
        </w:tc>
        <w:tc>
          <w:tcPr>
            <w:tcW w:w="3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spacing w:after="0"/>
              <w:rPr>
                <w:sz w:val="24"/>
                <w:szCs w:val="24"/>
                <w:color w:val="auto"/>
              </w:rPr>
            </w:pPr>
          </w:p>
        </w:tc>
        <w:tc>
          <w:tcPr>
            <w:tcW w:w="11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10,907</w:t>
            </w:r>
          </w:p>
        </w:tc>
        <w:tc>
          <w:tcPr>
            <w:tcW w:w="280" w:type="dxa"/>
            <w:vAlign w:val="bottom"/>
            <w:tcBorders>
              <w:bottom w:val="single" w:sz="8" w:color="CCECFF"/>
            </w:tcBorders>
            <w:shd w:val="clear" w:color="auto" w:fill="CCECFF"/>
          </w:tcPr>
          <w:p>
            <w:pPr>
              <w:spacing w:after="0"/>
              <w:rPr>
                <w:sz w:val="24"/>
                <w:szCs w:val="24"/>
                <w:color w:val="auto"/>
              </w:rPr>
            </w:pPr>
          </w:p>
        </w:tc>
        <w:tc>
          <w:tcPr>
            <w:tcW w:w="380" w:type="dxa"/>
            <w:vAlign w:val="bottom"/>
            <w:tcBorders>
              <w:bottom w:val="single" w:sz="8" w:color="auto"/>
            </w:tcBorders>
            <w:shd w:val="clear" w:color="auto" w:fill="CCECFF"/>
          </w:tcPr>
          <w:p>
            <w:pPr>
              <w:spacing w:after="0"/>
              <w:rPr>
                <w:sz w:val="24"/>
                <w:szCs w:val="24"/>
                <w:color w:val="auto"/>
              </w:rPr>
            </w:pPr>
          </w:p>
        </w:tc>
        <w:tc>
          <w:tcPr>
            <w:tcW w:w="10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rPr>
              <w:t>18,248</w:t>
            </w:r>
          </w:p>
        </w:tc>
        <w:tc>
          <w:tcPr>
            <w:tcW w:w="320" w:type="dxa"/>
            <w:vAlign w:val="bottom"/>
            <w:tcBorders>
              <w:bottom w:val="single" w:sz="8" w:color="CCECFF"/>
            </w:tcBorders>
            <w:shd w:val="clear" w:color="auto" w:fill="CCECFF"/>
          </w:tcPr>
          <w:p>
            <w:pPr>
              <w:spacing w:after="0"/>
              <w:rPr>
                <w:sz w:val="24"/>
                <w:szCs w:val="24"/>
                <w:color w:val="auto"/>
              </w:rPr>
            </w:pPr>
          </w:p>
        </w:tc>
        <w:tc>
          <w:tcPr>
            <w:tcW w:w="380" w:type="dxa"/>
            <w:vAlign w:val="bottom"/>
            <w:tcBorders>
              <w:bottom w:val="single" w:sz="8" w:color="auto"/>
            </w:tcBorders>
            <w:shd w:val="clear" w:color="auto" w:fill="CCECFF"/>
          </w:tcPr>
          <w:p>
            <w:pPr>
              <w:spacing w:after="0"/>
              <w:rPr>
                <w:sz w:val="24"/>
                <w:szCs w:val="24"/>
                <w:color w:val="auto"/>
              </w:rPr>
            </w:pPr>
          </w:p>
        </w:tc>
        <w:tc>
          <w:tcPr>
            <w:tcW w:w="128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34,917</w:t>
            </w: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Cardiac Surgery Total</w:t>
            </w:r>
          </w:p>
        </w:tc>
        <w:tc>
          <w:tcPr>
            <w:tcW w:w="360" w:type="dxa"/>
            <w:vAlign w:val="bottom"/>
            <w:tcBorders>
              <w:bottom w:val="single" w:sz="8" w:color="CCECFF"/>
            </w:tcBorders>
            <w:shd w:val="clear" w:color="auto" w:fill="CCECFF"/>
          </w:tcPr>
          <w:p>
            <w:pPr>
              <w:spacing w:after="0"/>
              <w:rPr>
                <w:sz w:val="21"/>
                <w:szCs w:val="21"/>
                <w:color w:val="auto"/>
              </w:rPr>
            </w:pPr>
          </w:p>
        </w:tc>
        <w:tc>
          <w:tcPr>
            <w:tcW w:w="10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51,682</w:t>
            </w:r>
          </w:p>
        </w:tc>
        <w:tc>
          <w:tcPr>
            <w:tcW w:w="3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1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46,458</w:t>
            </w:r>
          </w:p>
        </w:tc>
        <w:tc>
          <w:tcPr>
            <w:tcW w:w="28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CCECFF"/>
            </w:tcBorders>
            <w:shd w:val="clear" w:color="auto" w:fill="CCECFF"/>
          </w:tcPr>
          <w:p>
            <w:pPr>
              <w:spacing w:after="0"/>
              <w:rPr>
                <w:sz w:val="21"/>
                <w:szCs w:val="21"/>
                <w:color w:val="auto"/>
              </w:rPr>
            </w:pPr>
          </w:p>
        </w:tc>
        <w:tc>
          <w:tcPr>
            <w:tcW w:w="1020" w:type="dxa"/>
            <w:vAlign w:val="bottom"/>
            <w:tcBorders>
              <w:bottom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rPr>
              <w:t>66,739</w:t>
            </w:r>
          </w:p>
        </w:tc>
        <w:tc>
          <w:tcPr>
            <w:tcW w:w="32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CCECFF"/>
            </w:tcBorders>
            <w:shd w:val="clear" w:color="auto" w:fill="CCECFF"/>
          </w:tcPr>
          <w:p>
            <w:pPr>
              <w:spacing w:after="0"/>
              <w:rPr>
                <w:sz w:val="21"/>
                <w:szCs w:val="21"/>
                <w:color w:val="auto"/>
              </w:rPr>
            </w:pPr>
          </w:p>
        </w:tc>
        <w:tc>
          <w:tcPr>
            <w:tcW w:w="128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164,879</w:t>
            </w: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CRM</w:t>
            </w:r>
          </w:p>
        </w:tc>
        <w:tc>
          <w:tcPr>
            <w:tcW w:w="360" w:type="dxa"/>
            <w:vAlign w:val="bottom"/>
            <w:tcBorders>
              <w:bottom w:val="single" w:sz="8" w:color="CCECFF"/>
            </w:tcBorders>
            <w:shd w:val="clear" w:color="auto" w:fill="CCECFF"/>
          </w:tcPr>
          <w:p>
            <w:pPr>
              <w:spacing w:after="0"/>
              <w:rPr>
                <w:sz w:val="21"/>
                <w:szCs w:val="21"/>
                <w:color w:val="auto"/>
              </w:rPr>
            </w:pPr>
          </w:p>
        </w:tc>
        <w:tc>
          <w:tcPr>
            <w:tcW w:w="10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3,129</w:t>
            </w:r>
          </w:p>
        </w:tc>
        <w:tc>
          <w:tcPr>
            <w:tcW w:w="3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1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50,529</w:t>
            </w:r>
          </w:p>
        </w:tc>
        <w:tc>
          <w:tcPr>
            <w:tcW w:w="28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CCECFF"/>
            </w:tcBorders>
            <w:shd w:val="clear" w:color="auto" w:fill="CCECFF"/>
          </w:tcPr>
          <w:p>
            <w:pPr>
              <w:spacing w:after="0"/>
              <w:rPr>
                <w:sz w:val="21"/>
                <w:szCs w:val="21"/>
                <w:color w:val="auto"/>
              </w:rPr>
            </w:pPr>
          </w:p>
        </w:tc>
        <w:tc>
          <w:tcPr>
            <w:tcW w:w="1020" w:type="dxa"/>
            <w:vAlign w:val="bottom"/>
            <w:tcBorders>
              <w:bottom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rPr>
              <w:t>7,011</w:t>
            </w:r>
          </w:p>
        </w:tc>
        <w:tc>
          <w:tcPr>
            <w:tcW w:w="32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CCECFF"/>
            </w:tcBorders>
            <w:shd w:val="clear" w:color="auto" w:fill="CCECFF"/>
          </w:tcPr>
          <w:p>
            <w:pPr>
              <w:spacing w:after="0"/>
              <w:rPr>
                <w:sz w:val="21"/>
                <w:szCs w:val="21"/>
                <w:color w:val="auto"/>
              </w:rPr>
            </w:pPr>
          </w:p>
        </w:tc>
        <w:tc>
          <w:tcPr>
            <w:tcW w:w="128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60,669</w:t>
            </w: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Neuromodulation</w:t>
            </w:r>
          </w:p>
        </w:tc>
        <w:tc>
          <w:tcPr>
            <w:tcW w:w="360" w:type="dxa"/>
            <w:vAlign w:val="bottom"/>
            <w:tcBorders>
              <w:bottom w:val="single" w:sz="8" w:color="CCECFF"/>
            </w:tcBorders>
            <w:shd w:val="clear" w:color="auto" w:fill="CCECFF"/>
          </w:tcPr>
          <w:p>
            <w:pPr>
              <w:spacing w:after="0"/>
              <w:rPr>
                <w:sz w:val="21"/>
                <w:szCs w:val="21"/>
                <w:color w:val="auto"/>
              </w:rPr>
            </w:pPr>
          </w:p>
        </w:tc>
        <w:tc>
          <w:tcPr>
            <w:tcW w:w="10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76,830</w:t>
            </w:r>
          </w:p>
        </w:tc>
        <w:tc>
          <w:tcPr>
            <w:tcW w:w="3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1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9,191</w:t>
            </w:r>
          </w:p>
        </w:tc>
        <w:tc>
          <w:tcPr>
            <w:tcW w:w="28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CCECFF"/>
            </w:tcBorders>
            <w:shd w:val="clear" w:color="auto" w:fill="CCECFF"/>
          </w:tcPr>
          <w:p>
            <w:pPr>
              <w:spacing w:after="0"/>
              <w:rPr>
                <w:sz w:val="21"/>
                <w:szCs w:val="21"/>
                <w:color w:val="auto"/>
              </w:rPr>
            </w:pPr>
          </w:p>
        </w:tc>
        <w:tc>
          <w:tcPr>
            <w:tcW w:w="1020" w:type="dxa"/>
            <w:vAlign w:val="bottom"/>
            <w:tcBorders>
              <w:bottom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rPr>
              <w:t>5,495</w:t>
            </w:r>
          </w:p>
        </w:tc>
        <w:tc>
          <w:tcPr>
            <w:tcW w:w="32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CCECFF"/>
            </w:tcBorders>
            <w:shd w:val="clear" w:color="auto" w:fill="CCECFF"/>
          </w:tcPr>
          <w:p>
            <w:pPr>
              <w:spacing w:after="0"/>
              <w:rPr>
                <w:sz w:val="21"/>
                <w:szCs w:val="21"/>
                <w:color w:val="auto"/>
              </w:rPr>
            </w:pPr>
          </w:p>
        </w:tc>
        <w:tc>
          <w:tcPr>
            <w:tcW w:w="128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91,516</w:t>
            </w: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6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CFF"/>
          </w:tcPr>
          <w:p>
            <w:pPr>
              <w:spacing w:after="0"/>
              <w:rPr>
                <w:sz w:val="24"/>
                <w:szCs w:val="24"/>
                <w:color w:val="auto"/>
              </w:rPr>
            </w:pPr>
          </w:p>
        </w:tc>
        <w:tc>
          <w:tcPr>
            <w:tcW w:w="10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spacing w:after="0"/>
              <w:rPr>
                <w:sz w:val="24"/>
                <w:szCs w:val="24"/>
                <w:color w:val="auto"/>
              </w:rPr>
            </w:pPr>
          </w:p>
        </w:tc>
        <w:tc>
          <w:tcPr>
            <w:tcW w:w="11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929</w:t>
            </w:r>
          </w:p>
        </w:tc>
        <w:tc>
          <w:tcPr>
            <w:tcW w:w="280" w:type="dxa"/>
            <w:vAlign w:val="bottom"/>
            <w:tcBorders>
              <w:bottom w:val="single" w:sz="8" w:color="CCECFF"/>
            </w:tcBorders>
            <w:shd w:val="clear" w:color="auto" w:fill="CCECFF"/>
          </w:tcPr>
          <w:p>
            <w:pPr>
              <w:spacing w:after="0"/>
              <w:rPr>
                <w:sz w:val="24"/>
                <w:szCs w:val="24"/>
                <w:color w:val="auto"/>
              </w:rPr>
            </w:pPr>
          </w:p>
        </w:tc>
        <w:tc>
          <w:tcPr>
            <w:tcW w:w="380" w:type="dxa"/>
            <w:vAlign w:val="bottom"/>
            <w:tcBorders>
              <w:bottom w:val="single" w:sz="8" w:color="auto"/>
            </w:tcBorders>
            <w:shd w:val="clear" w:color="auto" w:fill="CCECFF"/>
          </w:tcPr>
          <w:p>
            <w:pPr>
              <w:spacing w:after="0"/>
              <w:rPr>
                <w:sz w:val="24"/>
                <w:szCs w:val="24"/>
                <w:color w:val="auto"/>
              </w:rPr>
            </w:pPr>
          </w:p>
        </w:tc>
        <w:tc>
          <w:tcPr>
            <w:tcW w:w="10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CFF"/>
            </w:tcBorders>
            <w:shd w:val="clear" w:color="auto" w:fill="CCECFF"/>
          </w:tcPr>
          <w:p>
            <w:pPr>
              <w:spacing w:after="0"/>
              <w:rPr>
                <w:sz w:val="24"/>
                <w:szCs w:val="24"/>
                <w:color w:val="auto"/>
              </w:rPr>
            </w:pPr>
          </w:p>
        </w:tc>
        <w:tc>
          <w:tcPr>
            <w:tcW w:w="380" w:type="dxa"/>
            <w:vAlign w:val="bottom"/>
            <w:tcBorders>
              <w:bottom w:val="single" w:sz="8" w:color="auto"/>
            </w:tcBorders>
            <w:shd w:val="clear" w:color="auto" w:fill="CCECFF"/>
          </w:tcPr>
          <w:p>
            <w:pPr>
              <w:spacing w:after="0"/>
              <w:rPr>
                <w:sz w:val="24"/>
                <w:szCs w:val="24"/>
                <w:color w:val="auto"/>
              </w:rPr>
            </w:pPr>
          </w:p>
        </w:tc>
        <w:tc>
          <w:tcPr>
            <w:tcW w:w="128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gridSpan w:val="2"/>
          </w:tcPr>
          <w:p>
            <w:pPr>
              <w:spacing w:after="0"/>
              <w:rPr>
                <w:sz w:val="23"/>
                <w:szCs w:val="23"/>
                <w:color w:val="auto"/>
              </w:rPr>
            </w:pPr>
          </w:p>
        </w:tc>
        <w:tc>
          <w:tcPr>
            <w:tcW w:w="1020" w:type="dxa"/>
            <w:vAlign w:val="bottom"/>
          </w:tcPr>
          <w:p>
            <w:pPr>
              <w:spacing w:after="0"/>
              <w:rPr>
                <w:sz w:val="23"/>
                <w:szCs w:val="23"/>
                <w:color w:val="auto"/>
              </w:rPr>
            </w:pPr>
          </w:p>
        </w:tc>
        <w:tc>
          <w:tcPr>
            <w:tcW w:w="700" w:type="dxa"/>
            <w:vAlign w:val="bottom"/>
            <w:gridSpan w:val="2"/>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468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131,641</w:t>
            </w:r>
          </w:p>
        </w:tc>
        <w:tc>
          <w:tcPr>
            <w:tcW w:w="3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107,107</w:t>
            </w:r>
          </w:p>
        </w:tc>
        <w:tc>
          <w:tcPr>
            <w:tcW w:w="280" w:type="dxa"/>
            <w:vAlign w:val="bottom"/>
            <w:tcBorders>
              <w:bottom w:val="single" w:sz="8" w:color="CCECFF"/>
            </w:tcBorders>
            <w:shd w:val="clear" w:color="auto" w:fill="CCECFF"/>
          </w:tcPr>
          <w:p>
            <w:pPr>
              <w:spacing w:after="0"/>
              <w:rPr>
                <w:sz w:val="24"/>
                <w:szCs w:val="24"/>
                <w:color w:val="auto"/>
              </w:rPr>
            </w:pPr>
          </w:p>
        </w:tc>
        <w:tc>
          <w:tcPr>
            <w:tcW w:w="380" w:type="dxa"/>
            <w:vAlign w:val="bottom"/>
            <w:tcBorders>
              <w:bottom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rPr>
              <w:t>79,245</w:t>
            </w:r>
          </w:p>
        </w:tc>
        <w:tc>
          <w:tcPr>
            <w:tcW w:w="320" w:type="dxa"/>
            <w:vAlign w:val="bottom"/>
            <w:tcBorders>
              <w:bottom w:val="single" w:sz="8" w:color="CCECFF"/>
            </w:tcBorders>
            <w:shd w:val="clear" w:color="auto" w:fill="CCECFF"/>
          </w:tcPr>
          <w:p>
            <w:pPr>
              <w:spacing w:after="0"/>
              <w:rPr>
                <w:sz w:val="24"/>
                <w:szCs w:val="24"/>
                <w:color w:val="auto"/>
              </w:rPr>
            </w:pPr>
          </w:p>
        </w:tc>
        <w:tc>
          <w:tcPr>
            <w:tcW w:w="380" w:type="dxa"/>
            <w:vAlign w:val="bottom"/>
            <w:tcBorders>
              <w:bottom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317,993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6465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The sales results presented are unaudited.</w:t>
      </w:r>
    </w:p>
    <w:p>
      <w:pPr>
        <w:spacing w:after="0" w:line="1"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Numbers may not add due to rounding.</w:t>
      </w:r>
    </w:p>
    <w:p>
      <w:pPr>
        <w:spacing w:after="0" w:line="2" w:lineRule="exact"/>
        <w:rPr>
          <w:rFonts w:ascii="Arial" w:cs="Arial" w:eastAsia="Arial" w:hAnsi="Arial"/>
          <w:sz w:val="24"/>
          <w:szCs w:val="24"/>
          <w:color w:val="auto"/>
          <w:vertAlign w:val="superscript"/>
        </w:rPr>
      </w:pPr>
    </w:p>
    <w:p>
      <w:pPr>
        <w:ind w:right="40" w:firstLine="8"/>
        <w:spacing w:after="0" w:line="219" w:lineRule="auto"/>
        <w:tabs>
          <w:tab w:leader="none" w:pos="195"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Includes those countries in Europe where LivaNova has a direct sales presence. Countries where sales are made through distributors are included in Rest of World.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
        <w:spacing w:after="0"/>
        <w:rPr>
          <w:sz w:val="20"/>
          <w:szCs w:val="20"/>
          <w:color w:val="auto"/>
        </w:rPr>
      </w:pPr>
      <w:r>
        <w:rPr>
          <w:rFonts w:ascii="Arial" w:cs="Arial" w:eastAsia="Arial" w:hAnsi="Arial"/>
          <w:sz w:val="18"/>
          <w:szCs w:val="18"/>
          <w:color w:val="auto"/>
        </w:rPr>
        <w:t>Cardiac Surgery</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Cardio Pulmonary</w:t>
      </w:r>
    </w:p>
    <w:p>
      <w:pPr>
        <w:spacing w:after="0" w:line="90" w:lineRule="exact"/>
        <w:rPr>
          <w:sz w:val="20"/>
          <w:szCs w:val="20"/>
          <w:color w:val="auto"/>
        </w:rPr>
      </w:pPr>
    </w:p>
    <w:p>
      <w:pPr>
        <w:ind w:left="472"/>
        <w:spacing w:after="0"/>
        <w:rPr>
          <w:sz w:val="20"/>
          <w:szCs w:val="20"/>
          <w:color w:val="auto"/>
        </w:rPr>
      </w:pPr>
      <w:r>
        <w:rPr>
          <w:rFonts w:ascii="Arial" w:cs="Arial" w:eastAsia="Arial" w:hAnsi="Arial"/>
          <w:sz w:val="18"/>
          <w:szCs w:val="18"/>
          <w:color w:val="auto"/>
        </w:rPr>
        <w:t>Heart Valves</w:t>
      </w:r>
    </w:p>
    <w:p>
      <w:pPr>
        <w:spacing w:after="0" w:line="333" w:lineRule="exact"/>
        <w:rPr>
          <w:sz w:val="20"/>
          <w:szCs w:val="20"/>
          <w:color w:val="auto"/>
        </w:rPr>
      </w:pPr>
    </w:p>
    <w:p>
      <w:pPr>
        <w:ind w:left="32"/>
        <w:spacing w:after="0"/>
        <w:rPr>
          <w:sz w:val="20"/>
          <w:szCs w:val="20"/>
          <w:color w:val="auto"/>
        </w:rPr>
      </w:pPr>
      <w:r>
        <w:rPr>
          <w:rFonts w:ascii="Arial" w:cs="Arial" w:eastAsia="Arial" w:hAnsi="Arial"/>
          <w:sz w:val="18"/>
          <w:szCs w:val="18"/>
          <w:color w:val="auto"/>
        </w:rPr>
        <w:t>Cardiac Surgery Total</w:t>
      </w:r>
    </w:p>
    <w:p>
      <w:pPr>
        <w:spacing w:after="0" w:line="333" w:lineRule="exact"/>
        <w:rPr>
          <w:sz w:val="20"/>
          <w:szCs w:val="20"/>
          <w:color w:val="auto"/>
        </w:rPr>
      </w:pPr>
    </w:p>
    <w:p>
      <w:pPr>
        <w:ind w:left="32"/>
        <w:spacing w:after="0"/>
        <w:rPr>
          <w:sz w:val="20"/>
          <w:szCs w:val="20"/>
          <w:color w:val="auto"/>
        </w:rPr>
      </w:pPr>
      <w:r>
        <w:rPr>
          <w:rFonts w:ascii="Arial" w:cs="Arial" w:eastAsia="Arial" w:hAnsi="Arial"/>
          <w:sz w:val="18"/>
          <w:szCs w:val="18"/>
          <w:color w:val="auto"/>
        </w:rPr>
        <w:t>CRM</w:t>
      </w:r>
    </w:p>
    <w:p>
      <w:pPr>
        <w:spacing w:after="0" w:line="333" w:lineRule="exact"/>
        <w:rPr>
          <w:sz w:val="20"/>
          <w:szCs w:val="20"/>
          <w:color w:val="auto"/>
        </w:rPr>
      </w:pPr>
    </w:p>
    <w:p>
      <w:pPr>
        <w:ind w:left="32"/>
        <w:spacing w:after="0"/>
        <w:rPr>
          <w:sz w:val="20"/>
          <w:szCs w:val="20"/>
          <w:color w:val="auto"/>
        </w:rPr>
      </w:pPr>
      <w:r>
        <w:rPr>
          <w:rFonts w:ascii="Arial" w:cs="Arial" w:eastAsia="Arial" w:hAnsi="Arial"/>
          <w:sz w:val="18"/>
          <w:szCs w:val="18"/>
          <w:color w:val="auto"/>
        </w:rPr>
        <w:t>Neuromodulation</w:t>
      </w:r>
    </w:p>
    <w:p>
      <w:pPr>
        <w:spacing w:after="0" w:line="360" w:lineRule="exact"/>
        <w:rPr>
          <w:sz w:val="20"/>
          <w:szCs w:val="20"/>
          <w:color w:val="auto"/>
        </w:rPr>
      </w:pPr>
    </w:p>
    <w:p>
      <w:pPr>
        <w:ind w:left="32"/>
        <w:spacing w:after="0"/>
        <w:rPr>
          <w:sz w:val="20"/>
          <w:szCs w:val="20"/>
          <w:color w:val="auto"/>
        </w:rPr>
      </w:pPr>
      <w:r>
        <w:rPr>
          <w:rFonts w:ascii="Arial" w:cs="Arial" w:eastAsia="Arial" w:hAnsi="Arial"/>
          <w:sz w:val="18"/>
          <w:szCs w:val="18"/>
          <w:color w:val="auto"/>
        </w:rPr>
        <w:t>Other</w:t>
      </w:r>
    </w:p>
    <w:p>
      <w:pPr>
        <w:spacing w:after="0" w:line="387" w:lineRule="exact"/>
        <w:rPr>
          <w:sz w:val="20"/>
          <w:szCs w:val="20"/>
          <w:color w:val="auto"/>
        </w:rPr>
      </w:pPr>
    </w:p>
    <w:p>
      <w:pPr>
        <w:ind w:left="32"/>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735330</wp:posOffset>
            </wp:positionV>
            <wp:extent cx="16465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280"/>
        <w:spacing w:after="0"/>
        <w:rPr>
          <w:sz w:val="20"/>
          <w:szCs w:val="20"/>
          <w:color w:val="auto"/>
        </w:rPr>
      </w:pPr>
      <w:r>
        <w:rPr>
          <w:rFonts w:ascii="Arial" w:cs="Arial" w:eastAsia="Arial" w:hAnsi="Arial"/>
          <w:sz w:val="18"/>
          <w:szCs w:val="18"/>
          <w:b w:val="1"/>
          <w:bCs w:val="1"/>
          <w:color w:val="auto"/>
        </w:rPr>
        <w:t>LIVANOVA PLC</w:t>
      </w:r>
    </w:p>
    <w:p>
      <w:pPr>
        <w:jc w:val="center"/>
        <w:ind w:right="2280"/>
        <w:spacing w:after="0" w:line="182" w:lineRule="auto"/>
        <w:rPr>
          <w:sz w:val="20"/>
          <w:szCs w:val="20"/>
          <w:color w:val="auto"/>
        </w:rPr>
      </w:pPr>
      <w:r>
        <w:rPr>
          <w:rFonts w:ascii="Arial" w:cs="Arial" w:eastAsia="Arial" w:hAnsi="Arial"/>
          <w:sz w:val="17"/>
          <w:szCs w:val="17"/>
          <w:b w:val="1"/>
          <w:bCs w:val="1"/>
          <w:color w:val="auto"/>
        </w:rPr>
        <w:t>COMBINED SALES</w:t>
      </w:r>
      <w:r>
        <w:rPr>
          <w:rFonts w:ascii="Arial" w:cs="Arial" w:eastAsia="Arial" w:hAnsi="Arial"/>
          <w:sz w:val="28"/>
          <w:szCs w:val="28"/>
          <w:b w:val="1"/>
          <w:bCs w:val="1"/>
          <w:color w:val="auto"/>
          <w:vertAlign w:val="superscript"/>
        </w:rPr>
        <w:t>20</w:t>
      </w:r>
      <w:r>
        <w:rPr>
          <w:rFonts w:ascii="Arial" w:cs="Arial" w:eastAsia="Arial" w:hAnsi="Arial"/>
          <w:sz w:val="17"/>
          <w:szCs w:val="17"/>
          <w:b w:val="1"/>
          <w:bCs w:val="1"/>
          <w:color w:val="auto"/>
        </w:rPr>
        <w:t xml:space="preserve"> BY GEOGRAPHY FOR YEAR ENDED DECEMBER 31, 2015</w:t>
      </w:r>
      <w:r>
        <w:rPr>
          <w:rFonts w:ascii="Arial" w:cs="Arial" w:eastAsia="Arial" w:hAnsi="Arial"/>
          <w:sz w:val="28"/>
          <w:szCs w:val="28"/>
          <w:b w:val="1"/>
          <w:bCs w:val="1"/>
          <w:color w:val="auto"/>
          <w:vertAlign w:val="superscript"/>
        </w:rPr>
        <w:t>21</w:t>
      </w:r>
    </w:p>
    <w:p>
      <w:pPr>
        <w:spacing w:after="0" w:line="1" w:lineRule="exact"/>
        <w:rPr>
          <w:sz w:val="20"/>
          <w:szCs w:val="20"/>
          <w:color w:val="auto"/>
        </w:rPr>
      </w:pPr>
    </w:p>
    <w:p>
      <w:pPr>
        <w:jc w:val="center"/>
        <w:ind w:right="2280"/>
        <w:spacing w:after="0"/>
        <w:rPr>
          <w:sz w:val="20"/>
          <w:szCs w:val="20"/>
          <w:color w:val="auto"/>
        </w:rPr>
      </w:pPr>
      <w:r>
        <w:rPr>
          <w:rFonts w:ascii="Arial" w:cs="Arial" w:eastAsia="Arial" w:hAnsi="Arial"/>
          <w:sz w:val="18"/>
          <w:szCs w:val="18"/>
          <w:b w:val="1"/>
          <w:bCs w:val="1"/>
          <w:color w:val="auto"/>
        </w:rPr>
        <w:t>(US $ thousands, as reported)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38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7"/>
              </w:rPr>
              <w:t>Europe</w:t>
            </w:r>
            <w:r>
              <w:rPr>
                <w:rFonts w:ascii="Arial" w:cs="Arial" w:eastAsia="Arial" w:hAnsi="Arial"/>
                <w:sz w:val="30"/>
                <w:szCs w:val="30"/>
                <w:b w:val="1"/>
                <w:bCs w:val="1"/>
                <w:color w:val="auto"/>
                <w:w w:val="97"/>
                <w:vertAlign w:val="superscript"/>
              </w:rPr>
              <w:t>22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Rest of</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US</w:t>
            </w:r>
          </w:p>
        </w:tc>
        <w:tc>
          <w:tcPr>
            <w:tcW w:w="3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World</w:t>
            </w:r>
          </w:p>
        </w:tc>
        <w:tc>
          <w:tcPr>
            <w:tcW w:w="3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783"/>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161,651</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137,873</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176,870</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476,394</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25,212</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46,879</w:t>
            </w: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68,119</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140,210</w:t>
            </w:r>
          </w:p>
        </w:tc>
        <w:tc>
          <w:tcPr>
            <w:tcW w:w="0" w:type="dxa"/>
            <w:vAlign w:val="bottom"/>
          </w:tcPr>
          <w:p>
            <w:pPr>
              <w:spacing w:after="0"/>
              <w:rPr>
                <w:sz w:val="1"/>
                <w:szCs w:val="1"/>
                <w:color w:val="auto"/>
              </w:rPr>
            </w:pPr>
          </w:p>
        </w:tc>
      </w:tr>
      <w:tr>
        <w:trPr>
          <w:trHeight w:val="34"/>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38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186,863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184,752</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244,989</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616,604</w:t>
            </w:r>
          </w:p>
        </w:tc>
        <w:tc>
          <w:tcPr>
            <w:tcW w:w="0" w:type="dxa"/>
            <w:vAlign w:val="bottom"/>
          </w:tcPr>
          <w:p>
            <w:pPr>
              <w:spacing w:after="0"/>
              <w:rPr>
                <w:sz w:val="1"/>
                <w:szCs w:val="1"/>
                <w:color w:val="auto"/>
              </w:rPr>
            </w:pPr>
          </w:p>
        </w:tc>
      </w:tr>
      <w:tr>
        <w:trPr>
          <w:trHeight w:val="540"/>
        </w:trPr>
        <w:tc>
          <w:tcPr>
            <w:tcW w:w="38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15,532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198,570</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46,412</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260,513</w:t>
            </w:r>
          </w:p>
        </w:tc>
        <w:tc>
          <w:tcPr>
            <w:tcW w:w="0" w:type="dxa"/>
            <w:vAlign w:val="bottom"/>
          </w:tcPr>
          <w:p>
            <w:pPr>
              <w:spacing w:after="0"/>
              <w:rPr>
                <w:sz w:val="1"/>
                <w:szCs w:val="1"/>
                <w:color w:val="auto"/>
              </w:rPr>
            </w:pPr>
          </w:p>
        </w:tc>
      </w:tr>
      <w:tr>
        <w:trPr>
          <w:trHeight w:val="540"/>
        </w:trPr>
        <w:tc>
          <w:tcPr>
            <w:tcW w:w="38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268,816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35,184</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20,341</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324, 341</w:t>
            </w:r>
          </w:p>
        </w:tc>
        <w:tc>
          <w:tcPr>
            <w:tcW w:w="0" w:type="dxa"/>
            <w:vAlign w:val="bottom"/>
          </w:tcPr>
          <w:p>
            <w:pPr>
              <w:spacing w:after="0"/>
              <w:rPr>
                <w:sz w:val="1"/>
                <w:szCs w:val="1"/>
                <w:color w:val="auto"/>
              </w:rPr>
            </w:pPr>
          </w:p>
        </w:tc>
      </w:tr>
      <w:tr>
        <w:trPr>
          <w:trHeight w:val="540"/>
        </w:trPr>
        <w:tc>
          <w:tcPr>
            <w:tcW w:w="38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3,170</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34"/>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471,211</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421,676</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311,750</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1,204,637</w:t>
            </w:r>
          </w:p>
        </w:tc>
        <w:tc>
          <w:tcPr>
            <w:tcW w:w="0" w:type="dxa"/>
            <w:vAlign w:val="bottom"/>
          </w:tcPr>
          <w:p>
            <w:pPr>
              <w:spacing w:after="0"/>
              <w:rPr>
                <w:sz w:val="1"/>
                <w:szCs w:val="1"/>
                <w:color w:val="auto"/>
              </w:rPr>
            </w:pPr>
          </w:p>
        </w:tc>
      </w:tr>
      <w:tr>
        <w:trPr>
          <w:trHeight w:val="27"/>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-2297430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-1954530</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-1594485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-1251585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-908685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-565150</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-205105</wp:posOffset>
            </wp:positionV>
            <wp:extent cx="724662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92" w:space="480"/>
            <w:col w:w="9140"/>
          </w:cols>
          <w:pgMar w:left="248"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92" w:hanging="192"/>
        <w:spacing w:after="0"/>
        <w:tabs>
          <w:tab w:leader="none" w:pos="192"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The sales results presented are unaudited.</w:t>
      </w:r>
    </w:p>
    <w:p>
      <w:pPr>
        <w:spacing w:after="0" w:line="1" w:lineRule="exact"/>
        <w:rPr>
          <w:rFonts w:ascii="Arial" w:cs="Arial" w:eastAsia="Arial" w:hAnsi="Arial"/>
          <w:sz w:val="25"/>
          <w:szCs w:val="25"/>
          <w:color w:val="auto"/>
          <w:vertAlign w:val="superscript"/>
        </w:rPr>
      </w:pPr>
    </w:p>
    <w:p>
      <w:pPr>
        <w:ind w:left="192" w:hanging="192"/>
        <w:spacing w:after="0" w:line="186" w:lineRule="auto"/>
        <w:tabs>
          <w:tab w:leader="none" w:pos="192"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Numbers may not add due to rounding.</w:t>
      </w:r>
    </w:p>
    <w:p>
      <w:pPr>
        <w:spacing w:after="0" w:line="2" w:lineRule="exact"/>
        <w:rPr>
          <w:rFonts w:ascii="Arial" w:cs="Arial" w:eastAsia="Arial" w:hAnsi="Arial"/>
          <w:sz w:val="24"/>
          <w:szCs w:val="24"/>
          <w:color w:val="auto"/>
          <w:vertAlign w:val="superscript"/>
        </w:rPr>
      </w:pPr>
    </w:p>
    <w:p>
      <w:pPr>
        <w:ind w:left="-8" w:right="180" w:firstLine="8"/>
        <w:spacing w:after="0" w:line="219" w:lineRule="auto"/>
        <w:tabs>
          <w:tab w:leader="none" w:pos="187"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Includes those countries in Europe where LivaNova has a direct sales presence. Countries where sales are made through distributors are included in Rest of World.</w:t>
      </w:r>
    </w:p>
    <w:p>
      <w:pPr>
        <w:spacing w:after="0" w:line="157"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SELECTED NON-GAAP</w:t>
      </w:r>
      <w:r>
        <w:rPr>
          <w:rFonts w:ascii="Arial" w:cs="Arial" w:eastAsia="Arial" w:hAnsi="Arial"/>
          <w:sz w:val="30"/>
          <w:szCs w:val="30"/>
          <w:b w:val="1"/>
          <w:bCs w:val="1"/>
          <w:color w:val="auto"/>
          <w:vertAlign w:val="superscript"/>
        </w:rPr>
        <w:t>23</w:t>
      </w:r>
      <w:r>
        <w:rPr>
          <w:rFonts w:ascii="Arial" w:cs="Arial" w:eastAsia="Arial" w:hAnsi="Arial"/>
          <w:sz w:val="18"/>
          <w:szCs w:val="18"/>
          <w:b w:val="1"/>
          <w:bCs w:val="1"/>
          <w:color w:val="auto"/>
        </w:rPr>
        <w:t xml:space="preserve"> OPERATING RESULTS</w:t>
      </w:r>
      <w:r>
        <w:rPr>
          <w:rFonts w:ascii="Arial" w:cs="Arial" w:eastAsia="Arial" w:hAnsi="Arial"/>
          <w:sz w:val="30"/>
          <w:szCs w:val="30"/>
          <w:b w:val="1"/>
          <w:bCs w:val="1"/>
          <w:color w:val="auto"/>
          <w:vertAlign w:val="superscript"/>
        </w:rPr>
        <w:t>24,25</w:t>
      </w:r>
    </w:p>
    <w:p>
      <w:pPr>
        <w:jc w:val="center"/>
        <w:spacing w:after="0"/>
        <w:rPr>
          <w:sz w:val="20"/>
          <w:szCs w:val="20"/>
          <w:color w:val="auto"/>
        </w:rPr>
      </w:pPr>
      <w:r>
        <w:rPr>
          <w:rFonts w:ascii="Arial" w:cs="Arial" w:eastAsia="Arial" w:hAnsi="Arial"/>
          <w:sz w:val="18"/>
          <w:szCs w:val="18"/>
          <w:b w:val="1"/>
          <w:bCs w:val="1"/>
          <w:color w:val="auto"/>
        </w:rPr>
        <w:t>Q1 2015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Sorin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Cyberonics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LivaNova</w:t>
            </w:r>
          </w:p>
        </w:tc>
      </w:tr>
      <w:tr>
        <w:trPr>
          <w:trHeight w:val="34"/>
        </w:trPr>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Q1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Non-GAAP</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GAAP</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Non-GAAP</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GAAP</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Non-</w:t>
            </w:r>
          </w:p>
        </w:tc>
      </w:tr>
      <w:tr>
        <w:trPr>
          <w:trHeight w:val="234"/>
        </w:trPr>
        <w:tc>
          <w:tcPr>
            <w:tcW w:w="2500" w:type="dxa"/>
            <w:vAlign w:val="bottom"/>
            <w:gridSpan w:val="2"/>
          </w:tcPr>
          <w:p>
            <w:pPr>
              <w:ind w:left="62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FY15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Q1 FY15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Q1 FY15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Q1 FY15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GAAP</w:t>
            </w:r>
          </w:p>
        </w:tc>
      </w:tr>
      <w:tr>
        <w:trPr>
          <w:trHeight w:val="34"/>
        </w:trPr>
        <w:tc>
          <w:tcPr>
            <w:tcW w:w="2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0"/>
        </w:trPr>
        <w:tc>
          <w:tcPr>
            <w:tcW w:w="250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gridSpan w:val="2"/>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gridSpan w:val="2"/>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gridSpan w:val="2"/>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000" w:type="dxa"/>
            <w:vAlign w:val="bottom"/>
          </w:tcPr>
          <w:p>
            <w:pPr>
              <w:spacing w:after="0"/>
              <w:rPr>
                <w:sz w:val="23"/>
                <w:szCs w:val="23"/>
                <w:color w:val="auto"/>
              </w:rPr>
            </w:pPr>
          </w:p>
        </w:tc>
      </w:tr>
      <w:tr>
        <w:trPr>
          <w:trHeight w:val="243"/>
        </w:trPr>
        <w:tc>
          <w:tcPr>
            <w:tcW w:w="2360" w:type="dxa"/>
            <w:vAlign w:val="bottom"/>
            <w:shd w:val="clear" w:color="auto" w:fill="CCEC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CFF"/>
          </w:tcPr>
          <w:p>
            <w:pPr>
              <w:spacing w:after="0"/>
              <w:rPr>
                <w:sz w:val="21"/>
                <w:szCs w:val="21"/>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213,287</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213,287</w:t>
            </w:r>
          </w:p>
        </w:tc>
        <w:tc>
          <w:tcPr>
            <w:tcW w:w="3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70,419</w:t>
            </w:r>
          </w:p>
        </w:tc>
        <w:tc>
          <w:tcPr>
            <w:tcW w:w="3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70,149</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283,436</w:t>
            </w:r>
          </w:p>
        </w:tc>
      </w:tr>
      <w:tr>
        <w:trPr>
          <w:trHeight w:val="304"/>
        </w:trPr>
        <w:tc>
          <w:tcPr>
            <w:tcW w:w="236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spacing w:after="0"/>
              <w:rPr>
                <w:sz w:val="24"/>
                <w:szCs w:val="24"/>
                <w:color w:val="auto"/>
              </w:rPr>
            </w:pPr>
          </w:p>
        </w:tc>
        <w:tc>
          <w:tcPr>
            <w:tcW w:w="8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117,479</w:t>
            </w:r>
          </w:p>
        </w:tc>
        <w:tc>
          <w:tcPr>
            <w:tcW w:w="14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spacing w:after="0"/>
              <w:rPr>
                <w:sz w:val="24"/>
                <w:szCs w:val="24"/>
                <w:color w:val="auto"/>
              </w:rPr>
            </w:pPr>
          </w:p>
        </w:tc>
        <w:tc>
          <w:tcPr>
            <w:tcW w:w="116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auto"/>
            </w:tcBorders>
            <w:shd w:val="clear" w:color="auto" w:fill="CCECFF"/>
          </w:tcPr>
          <w:p>
            <w:pPr>
              <w:spacing w:after="0"/>
              <w:rPr>
                <w:sz w:val="24"/>
                <w:szCs w:val="24"/>
                <w:color w:val="auto"/>
              </w:rPr>
            </w:pPr>
          </w:p>
        </w:tc>
        <w:tc>
          <w:tcPr>
            <w:tcW w:w="90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rPr>
              <w:t>117,479</w:t>
            </w:r>
          </w:p>
        </w:tc>
        <w:tc>
          <w:tcPr>
            <w:tcW w:w="20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auto"/>
            </w:tcBorders>
            <w:shd w:val="clear" w:color="auto" w:fill="CCECFF"/>
          </w:tcPr>
          <w:p>
            <w:pPr>
              <w:spacing w:after="0"/>
              <w:rPr>
                <w:sz w:val="24"/>
                <w:szCs w:val="24"/>
                <w:color w:val="auto"/>
              </w:rPr>
            </w:pPr>
          </w:p>
        </w:tc>
        <w:tc>
          <w:tcPr>
            <w:tcW w:w="92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64,069</w:t>
            </w:r>
          </w:p>
        </w:tc>
        <w:tc>
          <w:tcPr>
            <w:tcW w:w="20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spacing w:after="0"/>
              <w:rPr>
                <w:sz w:val="24"/>
                <w:szCs w:val="24"/>
                <w:color w:val="auto"/>
              </w:rPr>
            </w:pPr>
          </w:p>
        </w:tc>
        <w:tc>
          <w:tcPr>
            <w:tcW w:w="116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153</w:t>
            </w:r>
          </w:p>
        </w:tc>
        <w:tc>
          <w:tcPr>
            <w:tcW w:w="16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spacing w:after="0"/>
              <w:rPr>
                <w:sz w:val="24"/>
                <w:szCs w:val="24"/>
                <w:color w:val="auto"/>
              </w:rPr>
            </w:pPr>
          </w:p>
        </w:tc>
        <w:tc>
          <w:tcPr>
            <w:tcW w:w="90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rPr>
              <w:t>64,222</w:t>
            </w:r>
          </w:p>
        </w:tc>
        <w:tc>
          <w:tcPr>
            <w:tcW w:w="16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auto"/>
            </w:tcBorders>
            <w:shd w:val="clear" w:color="auto" w:fill="CCECFF"/>
          </w:tcPr>
          <w:p>
            <w:pPr>
              <w:spacing w:after="0"/>
              <w:rPr>
                <w:sz w:val="24"/>
                <w:szCs w:val="24"/>
                <w:color w:val="auto"/>
              </w:rPr>
            </w:pPr>
          </w:p>
        </w:tc>
        <w:tc>
          <w:tcPr>
            <w:tcW w:w="100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181,701</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2500" w:type="dxa"/>
            <w:vAlign w:val="bottom"/>
            <w:gridSpan w:val="2"/>
            <w:shd w:val="clear" w:color="auto" w:fill="CCECFF"/>
          </w:tcPr>
          <w:p>
            <w:pPr>
              <w:ind w:left="280"/>
              <w:spacing w:after="0"/>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(29,149 )</w:t>
            </w: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r>
      <w:tr>
        <w:trPr>
          <w:trHeight w:val="237"/>
        </w:trPr>
        <w:tc>
          <w:tcPr>
            <w:tcW w:w="2500" w:type="dxa"/>
            <w:vAlign w:val="bottom"/>
            <w:tcBorders>
              <w:bottom w:val="single" w:sz="8" w:color="CCECFF"/>
            </w:tcBorders>
            <w:gridSpan w:val="2"/>
            <w:shd w:val="clear" w:color="auto" w:fill="CCECFF"/>
          </w:tcPr>
          <w:p>
            <w:pPr>
              <w:ind w:left="40"/>
              <w:spacing w:after="0"/>
              <w:rPr>
                <w:sz w:val="20"/>
                <w:szCs w:val="20"/>
                <w:color w:val="auto"/>
              </w:rPr>
            </w:pPr>
            <w:r>
              <w:rPr>
                <w:rFonts w:ascii="Arial" w:cs="Arial" w:eastAsia="Arial" w:hAnsi="Arial"/>
                <w:sz w:val="18"/>
                <w:szCs w:val="18"/>
                <w:color w:val="auto"/>
              </w:rPr>
              <w:t>administrative</w:t>
            </w:r>
          </w:p>
        </w:tc>
        <w:tc>
          <w:tcPr>
            <w:tcW w:w="14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(79,388 )</w:t>
            </w:r>
          </w:p>
        </w:tc>
        <w:tc>
          <w:tcPr>
            <w:tcW w:w="14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331</w:t>
            </w:r>
          </w:p>
        </w:tc>
        <w:tc>
          <w:tcPr>
            <w:tcW w:w="14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(79,057 )</w:t>
            </w:r>
          </w:p>
        </w:tc>
        <w:tc>
          <w:tcPr>
            <w:tcW w:w="20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(31,145 )</w:t>
            </w:r>
          </w:p>
        </w:tc>
        <w:tc>
          <w:tcPr>
            <w:tcW w:w="20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1,996</w:t>
            </w:r>
          </w:p>
        </w:tc>
        <w:tc>
          <w:tcPr>
            <w:tcW w:w="16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90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0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(108,206 )</w:t>
            </w:r>
          </w:p>
        </w:tc>
      </w:tr>
      <w:tr>
        <w:trPr>
          <w:trHeight w:val="243"/>
        </w:trPr>
        <w:tc>
          <w:tcPr>
            <w:tcW w:w="2500" w:type="dxa"/>
            <w:vAlign w:val="bottom"/>
            <w:gridSpan w:val="2"/>
          </w:tcPr>
          <w:p>
            <w:pPr>
              <w:ind w:left="280"/>
              <w:spacing w:after="0"/>
              <w:rPr>
                <w:sz w:val="20"/>
                <w:szCs w:val="20"/>
                <w:color w:val="auto"/>
              </w:rPr>
            </w:pPr>
            <w:r>
              <w:rPr>
                <w:rFonts w:ascii="Arial" w:cs="Arial" w:eastAsia="Arial" w:hAnsi="Arial"/>
                <w:sz w:val="18"/>
                <w:szCs w:val="18"/>
                <w:color w:val="auto"/>
                <w:w w:val="99"/>
              </w:rPr>
              <w:t>Research and development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(27,150 )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(27,150 )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(10,279 )</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(9,425 )</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(36,575 )</w:t>
            </w:r>
          </w:p>
        </w:tc>
      </w:tr>
      <w:tr>
        <w:trPr>
          <w:trHeight w:val="256"/>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Amortization of intangible</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(4,752 )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4,752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9"/>
        </w:trPr>
        <w:tc>
          <w:tcPr>
            <w:tcW w:w="2500" w:type="dxa"/>
            <w:vAlign w:val="bottom"/>
            <w:gridSpan w:val="2"/>
            <w:shd w:val="clear" w:color="auto" w:fill="CCECFF"/>
          </w:tcPr>
          <w:p>
            <w:pPr>
              <w:ind w:left="280"/>
              <w:spacing w:after="0"/>
              <w:rPr>
                <w:sz w:val="20"/>
                <w:szCs w:val="20"/>
                <w:color w:val="auto"/>
              </w:rPr>
            </w:pPr>
            <w:r>
              <w:rPr>
                <w:rFonts w:ascii="Arial" w:cs="Arial" w:eastAsia="Arial" w:hAnsi="Arial"/>
                <w:sz w:val="18"/>
                <w:szCs w:val="18"/>
                <w:color w:val="auto"/>
              </w:rPr>
              <w:t>Merger related &amp; other</w:t>
            </w:r>
          </w:p>
        </w:tc>
        <w:tc>
          <w:tcPr>
            <w:tcW w:w="14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r>
      <w:tr>
        <w:trPr>
          <w:trHeight w:val="267"/>
        </w:trPr>
        <w:tc>
          <w:tcPr>
            <w:tcW w:w="2500" w:type="dxa"/>
            <w:vAlign w:val="bottom"/>
            <w:gridSpan w:val="2"/>
            <w:shd w:val="clear" w:color="auto" w:fill="CCECFF"/>
          </w:tcPr>
          <w:p>
            <w:pPr>
              <w:ind w:left="40"/>
              <w:spacing w:after="0" w:line="266" w:lineRule="exact"/>
              <w:rPr>
                <w:sz w:val="20"/>
                <w:szCs w:val="20"/>
                <w:color w:val="auto"/>
              </w:rPr>
            </w:pPr>
            <w:r>
              <w:rPr>
                <w:rFonts w:ascii="Arial" w:cs="Arial" w:eastAsia="Arial" w:hAnsi="Arial"/>
                <w:sz w:val="18"/>
                <w:szCs w:val="18"/>
                <w:color w:val="auto"/>
              </w:rPr>
              <w:t>expenses</w:t>
            </w:r>
            <w:r>
              <w:rPr>
                <w:rFonts w:ascii="Arial" w:cs="Arial" w:eastAsia="Arial" w:hAnsi="Arial"/>
                <w:sz w:val="30"/>
                <w:szCs w:val="30"/>
                <w:color w:val="auto"/>
                <w:vertAlign w:val="superscript"/>
              </w:rPr>
              <w:t>26</w:t>
            </w:r>
          </w:p>
        </w:tc>
        <w:tc>
          <w:tcPr>
            <w:tcW w:w="140" w:type="dxa"/>
            <w:vAlign w:val="bottom"/>
            <w:shd w:val="clear" w:color="auto" w:fill="CCECFF"/>
          </w:tcPr>
          <w:p>
            <w:pPr>
              <w:spacing w:after="0"/>
              <w:rPr>
                <w:sz w:val="23"/>
                <w:szCs w:val="2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(10,868 )</w:t>
            </w:r>
          </w:p>
        </w:tc>
        <w:tc>
          <w:tcPr>
            <w:tcW w:w="14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10,868</w:t>
            </w:r>
          </w:p>
        </w:tc>
        <w:tc>
          <w:tcPr>
            <w:tcW w:w="14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(6,671 )</w:t>
            </w:r>
          </w:p>
        </w:tc>
        <w:tc>
          <w:tcPr>
            <w:tcW w:w="20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6,671</w:t>
            </w:r>
          </w:p>
        </w:tc>
        <w:tc>
          <w:tcPr>
            <w:tcW w:w="16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90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10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r>
      <w:tr>
        <w:trPr>
          <w:trHeight w:val="277"/>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(122,158 )</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15,951</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(106,207 )</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(48,384 )</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9,810</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(38,574 )</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(144,781 )</w:t>
            </w:r>
          </w:p>
        </w:tc>
      </w:tr>
      <w:tr>
        <w:trPr>
          <w:trHeight w:val="277"/>
        </w:trPr>
        <w:tc>
          <w:tcPr>
            <w:tcW w:w="2500" w:type="dxa"/>
            <w:vAlign w:val="bottom"/>
            <w:gridSpan w:val="2"/>
            <w:shd w:val="clear" w:color="auto" w:fill="CCECFF"/>
          </w:tcPr>
          <w:p>
            <w:pPr>
              <w:ind w:left="40"/>
              <w:spacing w:after="0"/>
              <w:rPr>
                <w:sz w:val="20"/>
                <w:szCs w:val="20"/>
                <w:color w:val="auto"/>
              </w:rPr>
            </w:pPr>
            <w:r>
              <w:rPr>
                <w:rFonts w:ascii="Arial" w:cs="Arial" w:eastAsia="Arial" w:hAnsi="Arial"/>
                <w:sz w:val="18"/>
                <w:szCs w:val="18"/>
                <w:color w:val="auto"/>
              </w:rPr>
              <w:t>Operating (loss) income</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(4,680 )</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15,951</w:t>
            </w:r>
          </w:p>
        </w:tc>
        <w:tc>
          <w:tcPr>
            <w:tcW w:w="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11,271</w:t>
            </w:r>
          </w:p>
        </w:tc>
        <w:tc>
          <w:tcPr>
            <w:tcW w:w="3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15,686</w:t>
            </w:r>
          </w:p>
        </w:tc>
        <w:tc>
          <w:tcPr>
            <w:tcW w:w="3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9,963</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25,649</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36,920</w:t>
            </w:r>
          </w:p>
        </w:tc>
      </w:tr>
      <w:tr>
        <w:trPr>
          <w:trHeight w:val="243"/>
        </w:trPr>
        <w:tc>
          <w:tcPr>
            <w:tcW w:w="2500" w:type="dxa"/>
            <w:vAlign w:val="bottom"/>
            <w:tcBorders>
              <w:top w:val="single" w:sz="8" w:color="CCECFF"/>
            </w:tcBorders>
            <w:gridSpan w:val="2"/>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(1,368 )</w:t>
            </w:r>
          </w:p>
        </w:tc>
        <w:tc>
          <w:tcPr>
            <w:tcW w:w="140" w:type="dxa"/>
            <w:vAlign w:val="bottom"/>
            <w:tcBorders>
              <w:top w:val="single" w:sz="8" w:color="CCEC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C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(1,368 )</w:t>
            </w:r>
          </w:p>
        </w:tc>
        <w:tc>
          <w:tcPr>
            <w:tcW w:w="200" w:type="dxa"/>
            <w:vAlign w:val="bottom"/>
            <w:tcBorders>
              <w:top w:val="single" w:sz="8" w:color="CCEC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CCEC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C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59</w:t>
            </w:r>
          </w:p>
        </w:tc>
        <w:tc>
          <w:tcPr>
            <w:tcW w:w="160" w:type="dxa"/>
            <w:vAlign w:val="bottom"/>
            <w:tcBorders>
              <w:top w:val="single" w:sz="8" w:color="CCEC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(1,309 )</w:t>
            </w:r>
          </w:p>
        </w:tc>
      </w:tr>
      <w:tr>
        <w:trPr>
          <w:trHeight w:val="27"/>
        </w:trPr>
        <w:tc>
          <w:tcPr>
            <w:tcW w:w="2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2500" w:type="dxa"/>
            <w:vAlign w:val="bottom"/>
            <w:gridSpan w:val="2"/>
            <w:shd w:val="clear" w:color="auto" w:fill="CCECFF"/>
          </w:tcPr>
          <w:p>
            <w:pPr>
              <w:ind w:left="40"/>
              <w:spacing w:after="0"/>
              <w:rPr>
                <w:sz w:val="20"/>
                <w:szCs w:val="20"/>
                <w:color w:val="auto"/>
              </w:rPr>
            </w:pPr>
            <w:r>
              <w:rPr>
                <w:rFonts w:ascii="Arial" w:cs="Arial" w:eastAsia="Arial" w:hAnsi="Arial"/>
                <w:sz w:val="18"/>
                <w:szCs w:val="18"/>
                <w:color w:val="auto"/>
              </w:rPr>
              <w:t>Loss  from  equity  method</w:t>
            </w:r>
          </w:p>
        </w:tc>
        <w:tc>
          <w:tcPr>
            <w:tcW w:w="14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r>
      <w:tr>
        <w:trPr>
          <w:trHeight w:val="237"/>
        </w:trPr>
        <w:tc>
          <w:tcPr>
            <w:tcW w:w="2500" w:type="dxa"/>
            <w:vAlign w:val="bottom"/>
            <w:tcBorders>
              <w:bottom w:val="single" w:sz="8" w:color="CCECFF"/>
            </w:tcBorders>
            <w:gridSpan w:val="2"/>
            <w:shd w:val="clear" w:color="auto" w:fill="CCECFF"/>
          </w:tcPr>
          <w:p>
            <w:pPr>
              <w:ind w:left="4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(1,948 )</w:t>
            </w:r>
          </w:p>
        </w:tc>
        <w:tc>
          <w:tcPr>
            <w:tcW w:w="14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(980 )</w:t>
            </w:r>
          </w:p>
        </w:tc>
        <w:tc>
          <w:tcPr>
            <w:tcW w:w="14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(2,927 )</w:t>
            </w:r>
          </w:p>
        </w:tc>
        <w:tc>
          <w:tcPr>
            <w:tcW w:w="20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90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0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(2,927 )</w:t>
            </w:r>
          </w:p>
        </w:tc>
      </w:tr>
      <w:tr>
        <w:trPr>
          <w:trHeight w:val="270"/>
        </w:trPr>
        <w:tc>
          <w:tcPr>
            <w:tcW w:w="250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2500" w:type="dxa"/>
            <w:vAlign w:val="bottom"/>
            <w:tcBorders>
              <w:bottom w:val="single" w:sz="8" w:color="CCECFF"/>
            </w:tcBorders>
            <w:gridSpan w:val="2"/>
            <w:shd w:val="clear" w:color="auto" w:fill="CCECFF"/>
          </w:tcPr>
          <w:p>
            <w:pPr>
              <w:ind w:left="40"/>
              <w:spacing w:after="0"/>
              <w:rPr>
                <w:sz w:val="20"/>
                <w:szCs w:val="20"/>
                <w:color w:val="auto"/>
              </w:rPr>
            </w:pPr>
            <w:r>
              <w:rPr>
                <w:rFonts w:ascii="Arial" w:cs="Arial" w:eastAsia="Arial" w:hAnsi="Arial"/>
                <w:sz w:val="18"/>
                <w:szCs w:val="18"/>
                <w:color w:val="auto"/>
              </w:rPr>
              <w:t>Other Financial Information:</w:t>
            </w:r>
          </w:p>
        </w:tc>
        <w:tc>
          <w:tcPr>
            <w:tcW w:w="14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1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92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1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000" w:type="dxa"/>
            <w:vAlign w:val="bottom"/>
            <w:tcBorders>
              <w:bottom w:val="single" w:sz="8" w:color="CCECFF"/>
            </w:tcBorders>
            <w:shd w:val="clear" w:color="auto" w:fill="CCECFF"/>
          </w:tcPr>
          <w:p>
            <w:pPr>
              <w:spacing w:after="0"/>
              <w:rPr>
                <w:sz w:val="21"/>
                <w:szCs w:val="21"/>
                <w:color w:val="auto"/>
              </w:rPr>
            </w:pPr>
          </w:p>
        </w:tc>
      </w:tr>
      <w:tr>
        <w:trPr>
          <w:trHeight w:val="243"/>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6,533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6,533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1,322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16465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0" w:firstLine="8"/>
        <w:spacing w:after="0" w:line="227" w:lineRule="auto"/>
        <w:tabs>
          <w:tab w:leader="none" w:pos="195"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Includes adjustments relating to preliminary purchase price accounting, equity compensation expense, merger, integration and restructuring, certain reclassifications, impairment of investment, certain losses of foreign exchange hedging arrangements and other one-time expenses.</w:t>
      </w:r>
    </w:p>
    <w:p>
      <w:pPr>
        <w:ind w:left="200" w:hanging="192"/>
        <w:spacing w:after="0" w:line="180" w:lineRule="auto"/>
        <w:tabs>
          <w:tab w:leader="none" w:pos="20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See the discussion of "Financial Alignment, Combined Sales &amp; Operating Results, Business Unit Structure and Constant Currency" above.</w:t>
      </w:r>
    </w:p>
    <w:p>
      <w:pPr>
        <w:spacing w:after="0" w:line="2"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Numbers may not add due to rounding.</w:t>
      </w:r>
    </w:p>
    <w:p>
      <w:pPr>
        <w:spacing w:after="0" w:line="2" w:lineRule="exact"/>
        <w:rPr>
          <w:rFonts w:ascii="Arial" w:cs="Arial" w:eastAsia="Arial" w:hAnsi="Arial"/>
          <w:sz w:val="24"/>
          <w:szCs w:val="24"/>
          <w:color w:val="auto"/>
          <w:vertAlign w:val="superscript"/>
        </w:rPr>
      </w:pPr>
    </w:p>
    <w:p>
      <w:pPr>
        <w:ind w:left="200" w:hanging="192"/>
        <w:spacing w:after="0" w:line="186" w:lineRule="auto"/>
        <w:tabs>
          <w:tab w:leader="none" w:pos="20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Includes expenses directly attributable to the merger, integration, restructuring and other expenses.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19" w:name="page20"/>
    <w:bookmarkEnd w:id="19"/>
    <w:p>
      <w:pPr>
        <w:jc w:val="center"/>
        <w:ind w:right="-251"/>
        <w:spacing w:after="0"/>
        <w:rPr>
          <w:sz w:val="20"/>
          <w:szCs w:val="20"/>
          <w:color w:val="auto"/>
        </w:rPr>
      </w:pPr>
      <w:r>
        <w:rPr>
          <w:rFonts w:ascii="Arial" w:cs="Arial" w:eastAsia="Arial" w:hAnsi="Arial"/>
          <w:sz w:val="18"/>
          <w:szCs w:val="18"/>
          <w:b w:val="1"/>
          <w:bCs w:val="1"/>
          <w:color w:val="auto"/>
        </w:rPr>
        <w:t>SELECTED NON-GAAP</w:t>
      </w:r>
      <w:r>
        <w:rPr>
          <w:rFonts w:ascii="Arial" w:cs="Arial" w:eastAsia="Arial" w:hAnsi="Arial"/>
          <w:sz w:val="30"/>
          <w:szCs w:val="30"/>
          <w:b w:val="1"/>
          <w:bCs w:val="1"/>
          <w:color w:val="auto"/>
          <w:vertAlign w:val="superscript"/>
        </w:rPr>
        <w:t>27</w:t>
      </w:r>
      <w:r>
        <w:rPr>
          <w:rFonts w:ascii="Arial" w:cs="Arial" w:eastAsia="Arial" w:hAnsi="Arial"/>
          <w:sz w:val="18"/>
          <w:szCs w:val="18"/>
          <w:b w:val="1"/>
          <w:bCs w:val="1"/>
          <w:color w:val="auto"/>
        </w:rPr>
        <w:t xml:space="preserve"> OPERATING RESULTS</w:t>
      </w:r>
      <w:r>
        <w:rPr>
          <w:rFonts w:ascii="Arial" w:cs="Arial" w:eastAsia="Arial" w:hAnsi="Arial"/>
          <w:sz w:val="30"/>
          <w:szCs w:val="30"/>
          <w:b w:val="1"/>
          <w:bCs w:val="1"/>
          <w:color w:val="auto"/>
          <w:vertAlign w:val="superscript"/>
        </w:rPr>
        <w:t>28,29</w:t>
      </w:r>
    </w:p>
    <w:p>
      <w:pPr>
        <w:jc w:val="center"/>
        <w:ind w:right="-251"/>
        <w:spacing w:after="0"/>
        <w:rPr>
          <w:sz w:val="20"/>
          <w:szCs w:val="20"/>
          <w:color w:val="auto"/>
        </w:rPr>
      </w:pPr>
      <w:r>
        <w:rPr>
          <w:rFonts w:ascii="Arial" w:cs="Arial" w:eastAsia="Arial" w:hAnsi="Arial"/>
          <w:sz w:val="18"/>
          <w:szCs w:val="18"/>
          <w:b w:val="1"/>
          <w:bCs w:val="1"/>
          <w:color w:val="auto"/>
        </w:rPr>
        <w:t>Q2 2015</w:t>
      </w:r>
    </w:p>
    <w:p>
      <w:pPr>
        <w:spacing w:after="0" w:line="7" w:lineRule="exact"/>
        <w:rPr>
          <w:sz w:val="20"/>
          <w:szCs w:val="20"/>
          <w:color w:val="auto"/>
        </w:rPr>
      </w:pPr>
    </w:p>
    <w:p>
      <w:pPr>
        <w:jc w:val="center"/>
        <w:ind w:right="-251"/>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192"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Sorin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Cyberonics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LivaNova</w:t>
            </w:r>
          </w:p>
        </w:tc>
      </w:tr>
      <w:tr>
        <w:trPr>
          <w:trHeight w:val="34"/>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Non-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GAAP</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GAAP</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Q2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Non-GAAP</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Q2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Non-GAAP</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Q2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Non-</w:t>
            </w:r>
          </w:p>
        </w:tc>
      </w:tr>
      <w:tr>
        <w:trPr>
          <w:trHeight w:val="234"/>
        </w:trPr>
        <w:tc>
          <w:tcPr>
            <w:tcW w:w="2300" w:type="dxa"/>
            <w:vAlign w:val="bottom"/>
            <w:gridSpan w:val="2"/>
          </w:tcPr>
          <w:p>
            <w:pPr>
              <w:ind w:left="52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FY15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FY15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Q2 FY15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FY15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GAAP</w:t>
            </w:r>
          </w:p>
        </w:tc>
      </w:tr>
      <w:tr>
        <w:trPr>
          <w:trHeight w:val="34"/>
        </w:trPr>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0"/>
        </w:trPr>
        <w:tc>
          <w:tcPr>
            <w:tcW w:w="230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gridSpan w:val="2"/>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gridSpan w:val="2"/>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gridSpan w:val="2"/>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gridSpan w:val="2"/>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230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w w:val="98"/>
              </w:rPr>
              <w:t>238,644</w:t>
            </w:r>
          </w:p>
        </w:tc>
        <w:tc>
          <w:tcPr>
            <w:tcW w:w="26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CFF"/>
            </w:tcBorders>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rPr>
              <w:t>238,644</w:t>
            </w:r>
          </w:p>
        </w:tc>
        <w:tc>
          <w:tcPr>
            <w:tcW w:w="34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78,420</w:t>
            </w:r>
          </w:p>
        </w:tc>
        <w:tc>
          <w:tcPr>
            <w:tcW w:w="32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CFF"/>
            </w:tcBorders>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78,420</w:t>
            </w:r>
          </w:p>
        </w:tc>
        <w:tc>
          <w:tcPr>
            <w:tcW w:w="30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317,063</w:t>
            </w:r>
          </w:p>
        </w:tc>
      </w:tr>
      <w:tr>
        <w:trPr>
          <w:trHeight w:val="277"/>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129,510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129,510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69,630</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69,748</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199,258</w:t>
            </w:r>
          </w:p>
        </w:tc>
      </w:tr>
      <w:tr>
        <w:trPr>
          <w:trHeight w:val="250"/>
        </w:trPr>
        <w:tc>
          <w:tcPr>
            <w:tcW w:w="230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CFF"/>
            </w:tcBorders>
            <w:shd w:val="clear" w:color="auto" w:fill="CCECFF"/>
          </w:tcPr>
          <w:p>
            <w:pPr>
              <w:spacing w:after="0"/>
              <w:rPr>
                <w:sz w:val="21"/>
                <w:szCs w:val="21"/>
                <w:color w:val="auto"/>
              </w:rPr>
            </w:pPr>
          </w:p>
        </w:tc>
        <w:tc>
          <w:tcPr>
            <w:tcW w:w="82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16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14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82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980" w:type="dxa"/>
            <w:vAlign w:val="bottom"/>
            <w:tcBorders>
              <w:bottom w:val="single" w:sz="8" w:color="CCECFF"/>
            </w:tcBorders>
            <w:shd w:val="clear" w:color="auto" w:fill="CCECFF"/>
          </w:tcPr>
          <w:p>
            <w:pPr>
              <w:spacing w:after="0"/>
              <w:rPr>
                <w:sz w:val="21"/>
                <w:szCs w:val="21"/>
                <w:color w:val="auto"/>
              </w:rPr>
            </w:pPr>
          </w:p>
        </w:tc>
      </w:tr>
      <w:tr>
        <w:trPr>
          <w:trHeight w:val="229"/>
        </w:trPr>
        <w:tc>
          <w:tcPr>
            <w:tcW w:w="2300" w:type="dxa"/>
            <w:vAlign w:val="bottom"/>
            <w:gridSpan w:val="2"/>
          </w:tcPr>
          <w:p>
            <w:pPr>
              <w:ind w:left="280"/>
              <w:spacing w:after="0"/>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(30,669 )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(84,413 )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(82,344 )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(32,638 )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1,969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(113,012 )</w:t>
            </w:r>
          </w:p>
        </w:tc>
      </w:tr>
      <w:tr>
        <w:trPr>
          <w:trHeight w:val="27"/>
        </w:trPr>
        <w:tc>
          <w:tcPr>
            <w:tcW w:w="2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300" w:type="dxa"/>
            <w:vAlign w:val="bottom"/>
            <w:gridSpan w:val="2"/>
            <w:shd w:val="clear" w:color="auto" w:fill="CCECFF"/>
          </w:tcPr>
          <w:p>
            <w:pPr>
              <w:ind w:left="280"/>
              <w:spacing w:after="0"/>
              <w:rPr>
                <w:sz w:val="20"/>
                <w:szCs w:val="20"/>
                <w:color w:val="auto"/>
              </w:rPr>
            </w:pPr>
            <w:r>
              <w:rPr>
                <w:rFonts w:ascii="Arial" w:cs="Arial" w:eastAsia="Arial" w:hAnsi="Arial"/>
                <w:sz w:val="18"/>
                <w:szCs w:val="18"/>
                <w:color w:val="auto"/>
              </w:rPr>
              <w:t>Research and</w:t>
            </w:r>
          </w:p>
        </w:tc>
        <w:tc>
          <w:tcPr>
            <w:tcW w:w="14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r>
      <w:tr>
        <w:trPr>
          <w:trHeight w:val="237"/>
        </w:trPr>
        <w:tc>
          <w:tcPr>
            <w:tcW w:w="230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development</w:t>
            </w:r>
          </w:p>
        </w:tc>
        <w:tc>
          <w:tcPr>
            <w:tcW w:w="14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(24,781 )</w:t>
            </w:r>
          </w:p>
        </w:tc>
        <w:tc>
          <w:tcPr>
            <w:tcW w:w="12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(24,871 )</w:t>
            </w:r>
          </w:p>
        </w:tc>
        <w:tc>
          <w:tcPr>
            <w:tcW w:w="18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(11,368 )</w:t>
            </w:r>
          </w:p>
        </w:tc>
        <w:tc>
          <w:tcPr>
            <w:tcW w:w="16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1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676</w:t>
            </w:r>
          </w:p>
        </w:tc>
        <w:tc>
          <w:tcPr>
            <w:tcW w:w="14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(10,692 )</w:t>
            </w:r>
          </w:p>
        </w:tc>
        <w:tc>
          <w:tcPr>
            <w:tcW w:w="14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(35,563 )</w:t>
            </w:r>
          </w:p>
        </w:tc>
      </w:tr>
      <w:tr>
        <w:trPr>
          <w:trHeight w:val="229"/>
        </w:trPr>
        <w:tc>
          <w:tcPr>
            <w:tcW w:w="2300" w:type="dxa"/>
            <w:vAlign w:val="bottom"/>
            <w:gridSpan w:val="2"/>
          </w:tcPr>
          <w:p>
            <w:pPr>
              <w:ind w:left="280"/>
              <w:spacing w:after="0"/>
              <w:rPr>
                <w:sz w:val="20"/>
                <w:szCs w:val="20"/>
                <w:color w:val="auto"/>
              </w:rPr>
            </w:pPr>
            <w:r>
              <w:rPr>
                <w:rFonts w:ascii="Arial" w:cs="Arial" w:eastAsia="Arial" w:hAnsi="Arial"/>
                <w:sz w:val="18"/>
                <w:szCs w:val="18"/>
                <w:color w:val="auto"/>
              </w:rPr>
              <w:t>Amortization of</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(4,967 )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4,967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9"/>
        </w:trPr>
        <w:tc>
          <w:tcPr>
            <w:tcW w:w="2300" w:type="dxa"/>
            <w:vAlign w:val="bottom"/>
            <w:gridSpan w:val="2"/>
            <w:shd w:val="clear" w:color="auto" w:fill="CCECFF"/>
          </w:tcPr>
          <w:p>
            <w:pPr>
              <w:ind w:left="280"/>
              <w:spacing w:after="0"/>
              <w:rPr>
                <w:sz w:val="20"/>
                <w:szCs w:val="20"/>
                <w:color w:val="auto"/>
              </w:rPr>
            </w:pPr>
            <w:r>
              <w:rPr>
                <w:rFonts w:ascii="Arial" w:cs="Arial" w:eastAsia="Arial" w:hAnsi="Arial"/>
                <w:sz w:val="18"/>
                <w:szCs w:val="18"/>
                <w:color w:val="auto"/>
              </w:rPr>
              <w:t>Merger related &amp; other</w:t>
            </w:r>
          </w:p>
        </w:tc>
        <w:tc>
          <w:tcPr>
            <w:tcW w:w="14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82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r>
      <w:tr>
        <w:trPr>
          <w:trHeight w:val="267"/>
        </w:trPr>
        <w:tc>
          <w:tcPr>
            <w:tcW w:w="2300" w:type="dxa"/>
            <w:vAlign w:val="bottom"/>
            <w:gridSpan w:val="2"/>
            <w:shd w:val="clear" w:color="auto" w:fill="CCECFF"/>
          </w:tcPr>
          <w:p>
            <w:pPr>
              <w:ind w:left="20"/>
              <w:spacing w:after="0" w:line="266"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30"/>
                <w:szCs w:val="30"/>
                <w:color w:val="auto"/>
                <w:vertAlign w:val="superscript"/>
              </w:rPr>
              <w:t>30</w:t>
            </w:r>
          </w:p>
        </w:tc>
        <w:tc>
          <w:tcPr>
            <w:tcW w:w="140" w:type="dxa"/>
            <w:vAlign w:val="bottom"/>
            <w:shd w:val="clear" w:color="auto" w:fill="CCECFF"/>
          </w:tcPr>
          <w:p>
            <w:pPr>
              <w:spacing w:after="0"/>
              <w:rPr>
                <w:sz w:val="23"/>
                <w:szCs w:val="2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(18,860 )</w:t>
            </w:r>
          </w:p>
        </w:tc>
        <w:tc>
          <w:tcPr>
            <w:tcW w:w="12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18,860</w:t>
            </w:r>
          </w:p>
        </w:tc>
        <w:tc>
          <w:tcPr>
            <w:tcW w:w="12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84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(5,924 )</w:t>
            </w:r>
          </w:p>
        </w:tc>
        <w:tc>
          <w:tcPr>
            <w:tcW w:w="16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11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5,924</w:t>
            </w:r>
          </w:p>
        </w:tc>
        <w:tc>
          <w:tcPr>
            <w:tcW w:w="140" w:type="dxa"/>
            <w:vAlign w:val="bottom"/>
            <w:shd w:val="clear" w:color="auto" w:fill="CCECFF"/>
          </w:tcPr>
          <w:p>
            <w:pPr>
              <w:spacing w:after="0"/>
              <w:rPr>
                <w:sz w:val="23"/>
                <w:szCs w:val="23"/>
                <w:color w:val="auto"/>
              </w:rPr>
            </w:pPr>
          </w:p>
        </w:tc>
        <w:tc>
          <w:tcPr>
            <w:tcW w:w="200" w:type="dxa"/>
            <w:vAlign w:val="bottom"/>
            <w:shd w:val="clear" w:color="auto" w:fill="CCECFF"/>
          </w:tcPr>
          <w:p>
            <w:pPr>
              <w:spacing w:after="0"/>
              <w:rPr>
                <w:sz w:val="23"/>
                <w:szCs w:val="23"/>
                <w:color w:val="auto"/>
              </w:rPr>
            </w:pPr>
          </w:p>
        </w:tc>
        <w:tc>
          <w:tcPr>
            <w:tcW w:w="82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9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r>
      <w:tr>
        <w:trPr>
          <w:trHeight w:val="277"/>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(133,111 )</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25,896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(107,215 )</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(50,219 )</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8,858</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(41,360 )</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(148,575 )</w:t>
            </w:r>
          </w:p>
        </w:tc>
      </w:tr>
      <w:tr>
        <w:trPr>
          <w:trHeight w:val="277"/>
        </w:trPr>
        <w:tc>
          <w:tcPr>
            <w:tcW w:w="230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Operating (loss) income</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(3,601 )</w:t>
            </w:r>
          </w:p>
        </w:tc>
        <w:tc>
          <w:tcPr>
            <w:tcW w:w="2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25,896</w:t>
            </w:r>
          </w:p>
        </w:tc>
        <w:tc>
          <w:tcPr>
            <w:tcW w:w="3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22,295</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19,411</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8,976</w:t>
            </w:r>
          </w:p>
        </w:tc>
        <w:tc>
          <w:tcPr>
            <w:tcW w:w="34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28,387</w:t>
            </w:r>
          </w:p>
        </w:tc>
        <w:tc>
          <w:tcPr>
            <w:tcW w:w="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50,683</w:t>
            </w:r>
          </w:p>
        </w:tc>
      </w:tr>
      <w:tr>
        <w:trPr>
          <w:trHeight w:val="243"/>
        </w:trPr>
        <w:tc>
          <w:tcPr>
            <w:tcW w:w="2300" w:type="dxa"/>
            <w:vAlign w:val="bottom"/>
            <w:tcBorders>
              <w:top w:val="single" w:sz="8" w:color="CCEC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(2,185 )</w:t>
            </w:r>
          </w:p>
        </w:tc>
        <w:tc>
          <w:tcPr>
            <w:tcW w:w="120" w:type="dxa"/>
            <w:vAlign w:val="bottom"/>
            <w:tcBorders>
              <w:top w:val="single" w:sz="8" w:color="CCEC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C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(2,185 )</w:t>
            </w:r>
          </w:p>
        </w:tc>
        <w:tc>
          <w:tcPr>
            <w:tcW w:w="180" w:type="dxa"/>
            <w:vAlign w:val="bottom"/>
            <w:tcBorders>
              <w:top w:val="single" w:sz="8" w:color="CCEC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C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C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C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(2,182 )</w:t>
            </w:r>
          </w:p>
        </w:tc>
      </w:tr>
      <w:tr>
        <w:trPr>
          <w:trHeight w:val="27"/>
        </w:trPr>
        <w:tc>
          <w:tcPr>
            <w:tcW w:w="2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30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Loss  from  equity  method</w:t>
            </w:r>
          </w:p>
        </w:tc>
        <w:tc>
          <w:tcPr>
            <w:tcW w:w="14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82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r>
      <w:tr>
        <w:trPr>
          <w:trHeight w:val="237"/>
        </w:trPr>
        <w:tc>
          <w:tcPr>
            <w:tcW w:w="230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(2,445 )</w:t>
            </w:r>
          </w:p>
        </w:tc>
        <w:tc>
          <w:tcPr>
            <w:tcW w:w="12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(1,014 )</w:t>
            </w:r>
          </w:p>
        </w:tc>
        <w:tc>
          <w:tcPr>
            <w:tcW w:w="12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(3,459 )</w:t>
            </w:r>
          </w:p>
        </w:tc>
        <w:tc>
          <w:tcPr>
            <w:tcW w:w="18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1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(3,459 )</w:t>
            </w:r>
          </w:p>
        </w:tc>
      </w:tr>
      <w:tr>
        <w:trPr>
          <w:trHeight w:val="270"/>
        </w:trPr>
        <w:tc>
          <w:tcPr>
            <w:tcW w:w="230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230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Other Financial Information:</w:t>
            </w:r>
          </w:p>
        </w:tc>
        <w:tc>
          <w:tcPr>
            <w:tcW w:w="140" w:type="dxa"/>
            <w:vAlign w:val="bottom"/>
            <w:tcBorders>
              <w:bottom w:val="single" w:sz="8" w:color="CCECFF"/>
            </w:tcBorders>
            <w:shd w:val="clear" w:color="auto" w:fill="CCECFF"/>
          </w:tcPr>
          <w:p>
            <w:pPr>
              <w:spacing w:after="0"/>
              <w:rPr>
                <w:sz w:val="21"/>
                <w:szCs w:val="21"/>
                <w:color w:val="auto"/>
              </w:rPr>
            </w:pPr>
          </w:p>
        </w:tc>
        <w:tc>
          <w:tcPr>
            <w:tcW w:w="82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16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14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82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980" w:type="dxa"/>
            <w:vAlign w:val="bottom"/>
            <w:tcBorders>
              <w:bottom w:val="single" w:sz="8" w:color="CCECFF"/>
            </w:tcBorders>
            <w:shd w:val="clear" w:color="auto" w:fill="CCECFF"/>
          </w:tcPr>
          <w:p>
            <w:pPr>
              <w:spacing w:after="0"/>
              <w:rPr>
                <w:sz w:val="21"/>
                <w:szCs w:val="21"/>
                <w:color w:val="auto"/>
              </w:rPr>
            </w:pPr>
          </w:p>
        </w:tc>
      </w:tr>
      <w:tr>
        <w:trPr>
          <w:trHeight w:val="243"/>
        </w:trPr>
        <w:tc>
          <w:tcPr>
            <w:tcW w:w="2300" w:type="dxa"/>
            <w:vAlign w:val="bottom"/>
            <w:gridSpan w:val="2"/>
          </w:tcPr>
          <w:p>
            <w:pPr>
              <w:ind w:left="28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6,329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6,329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1,322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1,322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565785</wp:posOffset>
            </wp:positionV>
            <wp:extent cx="16465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 w:right="340" w:firstLine="8"/>
        <w:spacing w:after="0" w:line="227" w:lineRule="auto"/>
        <w:tabs>
          <w:tab w:leader="none" w:pos="187"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Includes adjustments relating to preliminary purchase price accounting, equity compensation expense, merger, integration and restructuring, certain reclassifications, impairment of investment, certain losses of foreign exchange hedging arrangements and other one-time expenses.</w:t>
      </w:r>
    </w:p>
    <w:p>
      <w:pPr>
        <w:ind w:left="192" w:hanging="192"/>
        <w:spacing w:after="0" w:line="180" w:lineRule="auto"/>
        <w:tabs>
          <w:tab w:leader="none" w:pos="192"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See the discussion of "Financial Alignment, Combined Sales &amp; Operating Results, Business Unit Structure and Constant Currency" above.</w:t>
      </w:r>
    </w:p>
    <w:p>
      <w:pPr>
        <w:spacing w:after="0" w:line="2" w:lineRule="exact"/>
        <w:rPr>
          <w:rFonts w:ascii="Arial" w:cs="Arial" w:eastAsia="Arial" w:hAnsi="Arial"/>
          <w:sz w:val="25"/>
          <w:szCs w:val="25"/>
          <w:color w:val="auto"/>
          <w:vertAlign w:val="superscript"/>
        </w:rPr>
      </w:pPr>
    </w:p>
    <w:p>
      <w:pPr>
        <w:ind w:left="192" w:hanging="192"/>
        <w:spacing w:after="0" w:line="186" w:lineRule="auto"/>
        <w:tabs>
          <w:tab w:leader="none" w:pos="192"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Numbers may not add due to rounding.</w:t>
      </w:r>
    </w:p>
    <w:p>
      <w:pPr>
        <w:spacing w:after="0" w:line="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Includes expenses directly attributable to the merger, integration, restructuring and other expenses.</w:t>
      </w:r>
    </w:p>
    <w:p>
      <w:pPr>
        <w:spacing w:after="0" w:line="157" w:lineRule="exact"/>
        <w:rPr>
          <w:sz w:val="20"/>
          <w:szCs w:val="20"/>
          <w:color w:val="auto"/>
        </w:rPr>
      </w:pPr>
    </w:p>
    <w:p>
      <w:pPr>
        <w:jc w:val="center"/>
        <w:ind w:right="-251"/>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52"/>
          </w:cols>
          <w:pgMar w:left="248" w:top="471" w:right="4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SELECTED NON-GAAP</w:t>
      </w:r>
      <w:r>
        <w:rPr>
          <w:rFonts w:ascii="Arial" w:cs="Arial" w:eastAsia="Arial" w:hAnsi="Arial"/>
          <w:sz w:val="30"/>
          <w:szCs w:val="30"/>
          <w:b w:val="1"/>
          <w:bCs w:val="1"/>
          <w:color w:val="auto"/>
          <w:vertAlign w:val="superscript"/>
        </w:rPr>
        <w:t>31</w:t>
      </w:r>
      <w:r>
        <w:rPr>
          <w:rFonts w:ascii="Arial" w:cs="Arial" w:eastAsia="Arial" w:hAnsi="Arial"/>
          <w:sz w:val="18"/>
          <w:szCs w:val="18"/>
          <w:b w:val="1"/>
          <w:bCs w:val="1"/>
          <w:color w:val="auto"/>
        </w:rPr>
        <w:t xml:space="preserve"> OPERATING RESULTS</w:t>
      </w:r>
      <w:r>
        <w:rPr>
          <w:rFonts w:ascii="Arial" w:cs="Arial" w:eastAsia="Arial" w:hAnsi="Arial"/>
          <w:sz w:val="30"/>
          <w:szCs w:val="30"/>
          <w:b w:val="1"/>
          <w:bCs w:val="1"/>
          <w:color w:val="auto"/>
          <w:vertAlign w:val="superscript"/>
        </w:rPr>
        <w:t>32,33</w:t>
      </w:r>
    </w:p>
    <w:p>
      <w:pPr>
        <w:jc w:val="center"/>
        <w:spacing w:after="0"/>
        <w:rPr>
          <w:sz w:val="20"/>
          <w:szCs w:val="20"/>
          <w:color w:val="auto"/>
        </w:rPr>
      </w:pPr>
      <w:r>
        <w:rPr>
          <w:rFonts w:ascii="Arial" w:cs="Arial" w:eastAsia="Arial" w:hAnsi="Arial"/>
          <w:sz w:val="18"/>
          <w:szCs w:val="18"/>
          <w:b w:val="1"/>
          <w:bCs w:val="1"/>
          <w:color w:val="auto"/>
        </w:rPr>
        <w:t>Q3 2015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Sorin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Cyberonics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LivaNova</w:t>
            </w:r>
          </w:p>
        </w:tc>
      </w:tr>
      <w:tr>
        <w:trPr>
          <w:trHeight w:val="34"/>
        </w:trPr>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Q3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Non-GAAP</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GAAP</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Non-GAAP</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GAAP</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Non-</w:t>
            </w:r>
          </w:p>
        </w:tc>
      </w:tr>
      <w:tr>
        <w:trPr>
          <w:trHeight w:val="234"/>
        </w:trPr>
        <w:tc>
          <w:tcPr>
            <w:tcW w:w="2500" w:type="dxa"/>
            <w:vAlign w:val="bottom"/>
            <w:gridSpan w:val="2"/>
          </w:tcPr>
          <w:p>
            <w:pPr>
              <w:ind w:left="62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FY15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Q3 FY15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Q3 FY15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Q3 FY15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GAAP</w:t>
            </w:r>
          </w:p>
        </w:tc>
      </w:tr>
      <w:tr>
        <w:trPr>
          <w:trHeight w:val="34"/>
        </w:trPr>
        <w:tc>
          <w:tcPr>
            <w:tcW w:w="2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0"/>
        </w:trPr>
        <w:tc>
          <w:tcPr>
            <w:tcW w:w="250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gridSpan w:val="2"/>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gridSpan w:val="2"/>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gridSpan w:val="2"/>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2500" w:type="dxa"/>
            <w:vAlign w:val="bottom"/>
            <w:tcBorders>
              <w:bottom w:val="single" w:sz="8" w:color="CCECFF"/>
            </w:tcBorders>
            <w:gridSpan w:val="2"/>
            <w:shd w:val="clear" w:color="auto" w:fill="CCEC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201,888</w:t>
            </w:r>
          </w:p>
        </w:tc>
        <w:tc>
          <w:tcPr>
            <w:tcW w:w="28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rPr>
              <w:t>201,888</w:t>
            </w:r>
          </w:p>
        </w:tc>
        <w:tc>
          <w:tcPr>
            <w:tcW w:w="36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84,257</w:t>
            </w:r>
          </w:p>
        </w:tc>
        <w:tc>
          <w:tcPr>
            <w:tcW w:w="34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rPr>
              <w:t>84,257</w:t>
            </w:r>
          </w:p>
        </w:tc>
        <w:tc>
          <w:tcPr>
            <w:tcW w:w="32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286,144</w:t>
            </w:r>
          </w:p>
        </w:tc>
      </w:tr>
      <w:tr>
        <w:trPr>
          <w:trHeight w:val="277"/>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107,232</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107,232</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75,078</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75,249</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182,481</w:t>
            </w:r>
          </w:p>
        </w:tc>
      </w:tr>
      <w:tr>
        <w:trPr>
          <w:trHeight w:val="250"/>
        </w:trPr>
        <w:tc>
          <w:tcPr>
            <w:tcW w:w="2500" w:type="dxa"/>
            <w:vAlign w:val="bottom"/>
            <w:tcBorders>
              <w:bottom w:val="single" w:sz="8" w:color="CCECFF"/>
            </w:tcBorders>
            <w:gridSpan w:val="2"/>
            <w:shd w:val="clear" w:color="auto" w:fill="CCEC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18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92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1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000" w:type="dxa"/>
            <w:vAlign w:val="bottom"/>
            <w:tcBorders>
              <w:bottom w:val="single" w:sz="8" w:color="CCECFF"/>
            </w:tcBorders>
            <w:shd w:val="clear" w:color="auto" w:fill="CCECFF"/>
          </w:tcPr>
          <w:p>
            <w:pPr>
              <w:spacing w:after="0"/>
              <w:rPr>
                <w:sz w:val="21"/>
                <w:szCs w:val="21"/>
                <w:color w:val="auto"/>
              </w:rPr>
            </w:pPr>
          </w:p>
        </w:tc>
      </w:tr>
      <w:tr>
        <w:trPr>
          <w:trHeight w:val="229"/>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(31,333 )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(76,048 )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(75,355 )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(32,632 )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1,299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(106,689 )</w:t>
            </w:r>
          </w:p>
        </w:tc>
      </w:tr>
      <w:tr>
        <w:trPr>
          <w:trHeight w:val="27"/>
        </w:trPr>
        <w:tc>
          <w:tcPr>
            <w:tcW w:w="2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500" w:type="dxa"/>
            <w:vAlign w:val="bottom"/>
            <w:tcBorders>
              <w:bottom w:val="single" w:sz="8" w:color="CCECFF"/>
            </w:tcBorders>
            <w:gridSpan w:val="2"/>
            <w:shd w:val="clear" w:color="auto" w:fill="CCECFF"/>
          </w:tcPr>
          <w:p>
            <w:pPr>
              <w:ind w:left="280"/>
              <w:spacing w:after="0"/>
              <w:rPr>
                <w:sz w:val="20"/>
                <w:szCs w:val="20"/>
                <w:color w:val="auto"/>
              </w:rPr>
            </w:pPr>
            <w:r>
              <w:rPr>
                <w:rFonts w:ascii="Arial" w:cs="Arial" w:eastAsia="Arial" w:hAnsi="Arial"/>
                <w:sz w:val="18"/>
                <w:szCs w:val="18"/>
                <w:color w:val="auto"/>
                <w:w w:val="99"/>
              </w:rPr>
              <w:t>Research and development</w:t>
            </w:r>
          </w:p>
        </w:tc>
        <w:tc>
          <w:tcPr>
            <w:tcW w:w="14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(26,020 )</w:t>
            </w:r>
          </w:p>
        </w:tc>
        <w:tc>
          <w:tcPr>
            <w:tcW w:w="14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18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(26,020 )</w:t>
            </w:r>
          </w:p>
        </w:tc>
        <w:tc>
          <w:tcPr>
            <w:tcW w:w="2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9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(10,528 )</w:t>
            </w:r>
          </w:p>
        </w:tc>
        <w:tc>
          <w:tcPr>
            <w:tcW w:w="2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738</w:t>
            </w:r>
          </w:p>
        </w:tc>
        <w:tc>
          <w:tcPr>
            <w:tcW w:w="1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(9,790 )</w:t>
            </w:r>
          </w:p>
        </w:tc>
        <w:tc>
          <w:tcPr>
            <w:tcW w:w="1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0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(35,810 )</w:t>
            </w:r>
          </w:p>
        </w:tc>
      </w:tr>
      <w:tr>
        <w:trPr>
          <w:trHeight w:val="229"/>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Amortization of intangible</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(4,294 )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4,294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2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9"/>
        </w:trPr>
        <w:tc>
          <w:tcPr>
            <w:tcW w:w="2500" w:type="dxa"/>
            <w:vAlign w:val="bottom"/>
            <w:gridSpan w:val="2"/>
            <w:shd w:val="clear" w:color="auto" w:fill="CCECFF"/>
          </w:tcPr>
          <w:p>
            <w:pPr>
              <w:ind w:left="280"/>
              <w:spacing w:after="0"/>
              <w:rPr>
                <w:sz w:val="20"/>
                <w:szCs w:val="20"/>
                <w:color w:val="auto"/>
              </w:rPr>
            </w:pPr>
            <w:r>
              <w:rPr>
                <w:rFonts w:ascii="Arial" w:cs="Arial" w:eastAsia="Arial" w:hAnsi="Arial"/>
                <w:sz w:val="18"/>
                <w:szCs w:val="18"/>
                <w:color w:val="auto"/>
              </w:rPr>
              <w:t>Merger related &amp; other</w:t>
            </w:r>
          </w:p>
        </w:tc>
        <w:tc>
          <w:tcPr>
            <w:tcW w:w="14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8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r>
      <w:tr>
        <w:trPr>
          <w:trHeight w:val="267"/>
        </w:trPr>
        <w:tc>
          <w:tcPr>
            <w:tcW w:w="2500" w:type="dxa"/>
            <w:vAlign w:val="bottom"/>
            <w:gridSpan w:val="2"/>
            <w:shd w:val="clear" w:color="auto" w:fill="CCECFF"/>
          </w:tcPr>
          <w:p>
            <w:pPr>
              <w:ind w:left="40"/>
              <w:spacing w:after="0" w:line="266" w:lineRule="exact"/>
              <w:rPr>
                <w:sz w:val="20"/>
                <w:szCs w:val="20"/>
                <w:color w:val="auto"/>
              </w:rPr>
            </w:pPr>
            <w:r>
              <w:rPr>
                <w:rFonts w:ascii="Arial" w:cs="Arial" w:eastAsia="Arial" w:hAnsi="Arial"/>
                <w:sz w:val="18"/>
                <w:szCs w:val="18"/>
                <w:color w:val="auto"/>
              </w:rPr>
              <w:t>expenses</w:t>
            </w:r>
            <w:r>
              <w:rPr>
                <w:rFonts w:ascii="Arial" w:cs="Arial" w:eastAsia="Arial" w:hAnsi="Arial"/>
                <w:sz w:val="30"/>
                <w:szCs w:val="30"/>
                <w:color w:val="auto"/>
                <w:vertAlign w:val="superscript"/>
              </w:rPr>
              <w:t>34</w:t>
            </w:r>
          </w:p>
        </w:tc>
        <w:tc>
          <w:tcPr>
            <w:tcW w:w="140" w:type="dxa"/>
            <w:vAlign w:val="bottom"/>
            <w:shd w:val="clear" w:color="auto" w:fill="CCECFF"/>
          </w:tcPr>
          <w:p>
            <w:pPr>
              <w:spacing w:after="0"/>
              <w:rPr>
                <w:sz w:val="23"/>
                <w:szCs w:val="2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(14,407 )</w:t>
            </w:r>
          </w:p>
        </w:tc>
        <w:tc>
          <w:tcPr>
            <w:tcW w:w="14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14,407</w:t>
            </w:r>
          </w:p>
        </w:tc>
        <w:tc>
          <w:tcPr>
            <w:tcW w:w="14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(10,240 )</w:t>
            </w:r>
          </w:p>
        </w:tc>
        <w:tc>
          <w:tcPr>
            <w:tcW w:w="20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10,240</w:t>
            </w:r>
          </w:p>
        </w:tc>
        <w:tc>
          <w:tcPr>
            <w:tcW w:w="16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90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10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r>
      <w:tr>
        <w:trPr>
          <w:trHeight w:val="277"/>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(120,769 )</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19,394</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(101,375 )</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(53,690 )</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12,566</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(41,123 )</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(142,499 )</w:t>
            </w:r>
          </w:p>
        </w:tc>
      </w:tr>
      <w:tr>
        <w:trPr>
          <w:trHeight w:val="277"/>
        </w:trPr>
        <w:tc>
          <w:tcPr>
            <w:tcW w:w="2500" w:type="dxa"/>
            <w:vAlign w:val="bottom"/>
            <w:gridSpan w:val="2"/>
            <w:shd w:val="clear" w:color="auto" w:fill="CCECFF"/>
          </w:tcPr>
          <w:p>
            <w:pPr>
              <w:ind w:left="40"/>
              <w:spacing w:after="0"/>
              <w:rPr>
                <w:sz w:val="20"/>
                <w:szCs w:val="20"/>
                <w:color w:val="auto"/>
              </w:rPr>
            </w:pPr>
            <w:r>
              <w:rPr>
                <w:rFonts w:ascii="Arial" w:cs="Arial" w:eastAsia="Arial" w:hAnsi="Arial"/>
                <w:sz w:val="18"/>
                <w:szCs w:val="18"/>
                <w:color w:val="auto"/>
              </w:rPr>
              <w:t>Operating (loss) income</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(13,538 )</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19,394</w:t>
            </w:r>
          </w:p>
        </w:tc>
        <w:tc>
          <w:tcPr>
            <w:tcW w:w="2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5,856</w:t>
            </w:r>
          </w:p>
        </w:tc>
        <w:tc>
          <w:tcPr>
            <w:tcW w:w="3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21,388</w:t>
            </w:r>
          </w:p>
        </w:tc>
        <w:tc>
          <w:tcPr>
            <w:tcW w:w="3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12,737</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34,125</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39,982</w:t>
            </w:r>
          </w:p>
        </w:tc>
      </w:tr>
      <w:tr>
        <w:trPr>
          <w:trHeight w:val="243"/>
        </w:trPr>
        <w:tc>
          <w:tcPr>
            <w:tcW w:w="2500" w:type="dxa"/>
            <w:vAlign w:val="bottom"/>
            <w:tcBorders>
              <w:top w:val="single" w:sz="8" w:color="CCECFF"/>
            </w:tcBorders>
            <w:gridSpan w:val="2"/>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(1,797 )</w:t>
            </w:r>
          </w:p>
        </w:tc>
        <w:tc>
          <w:tcPr>
            <w:tcW w:w="140" w:type="dxa"/>
            <w:vAlign w:val="bottom"/>
            <w:tcBorders>
              <w:top w:val="single" w:sz="8" w:color="CCEC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C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(1,797 )</w:t>
            </w:r>
          </w:p>
        </w:tc>
        <w:tc>
          <w:tcPr>
            <w:tcW w:w="200" w:type="dxa"/>
            <w:vAlign w:val="bottom"/>
            <w:tcBorders>
              <w:top w:val="single" w:sz="8" w:color="CCEC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c>
          <w:tcPr>
            <w:tcW w:w="200" w:type="dxa"/>
            <w:vAlign w:val="bottom"/>
            <w:tcBorders>
              <w:top w:val="single" w:sz="8" w:color="CCEC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C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CEC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(1,762 )</w:t>
            </w:r>
          </w:p>
        </w:tc>
      </w:tr>
      <w:tr>
        <w:trPr>
          <w:trHeight w:val="27"/>
        </w:trPr>
        <w:tc>
          <w:tcPr>
            <w:tcW w:w="2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2500" w:type="dxa"/>
            <w:vAlign w:val="bottom"/>
            <w:gridSpan w:val="2"/>
            <w:shd w:val="clear" w:color="auto" w:fill="CCECFF"/>
          </w:tcPr>
          <w:p>
            <w:pPr>
              <w:ind w:left="40"/>
              <w:spacing w:after="0"/>
              <w:rPr>
                <w:sz w:val="20"/>
                <w:szCs w:val="20"/>
                <w:color w:val="auto"/>
              </w:rPr>
            </w:pPr>
            <w:r>
              <w:rPr>
                <w:rFonts w:ascii="Arial" w:cs="Arial" w:eastAsia="Arial" w:hAnsi="Arial"/>
                <w:sz w:val="18"/>
                <w:szCs w:val="18"/>
                <w:color w:val="auto"/>
              </w:rPr>
              <w:t>Loss  from  equity  method</w:t>
            </w:r>
          </w:p>
        </w:tc>
        <w:tc>
          <w:tcPr>
            <w:tcW w:w="14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8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r>
      <w:tr>
        <w:trPr>
          <w:trHeight w:val="237"/>
        </w:trPr>
        <w:tc>
          <w:tcPr>
            <w:tcW w:w="2500" w:type="dxa"/>
            <w:vAlign w:val="bottom"/>
            <w:tcBorders>
              <w:bottom w:val="single" w:sz="8" w:color="CCECFF"/>
            </w:tcBorders>
            <w:gridSpan w:val="2"/>
            <w:shd w:val="clear" w:color="auto" w:fill="CCECFF"/>
          </w:tcPr>
          <w:p>
            <w:pPr>
              <w:ind w:left="4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(1,104 )</w:t>
            </w:r>
          </w:p>
        </w:tc>
        <w:tc>
          <w:tcPr>
            <w:tcW w:w="14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(1,097 )</w:t>
            </w:r>
          </w:p>
        </w:tc>
        <w:tc>
          <w:tcPr>
            <w:tcW w:w="20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90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0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(1,097 )</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Impairment of investments</w:t>
            </w:r>
          </w:p>
        </w:tc>
        <w:tc>
          <w:tcPr>
            <w:tcW w:w="1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(2,064 )</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2,064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500" w:type="dxa"/>
            <w:vAlign w:val="bottom"/>
            <w:gridSpan w:val="2"/>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84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8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900" w:type="dxa"/>
            <w:vAlign w:val="bottom"/>
            <w:shd w:val="clear" w:color="auto" w:fill="CCECFF"/>
          </w:tcPr>
          <w:p>
            <w:pPr>
              <w:spacing w:after="0"/>
              <w:rPr>
                <w:sz w:val="23"/>
                <w:szCs w:val="23"/>
                <w:color w:val="auto"/>
              </w:rPr>
            </w:pPr>
          </w:p>
        </w:tc>
        <w:tc>
          <w:tcPr>
            <w:tcW w:w="20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920" w:type="dxa"/>
            <w:vAlign w:val="bottom"/>
            <w:shd w:val="clear" w:color="auto" w:fill="CCECFF"/>
          </w:tcPr>
          <w:p>
            <w:pPr>
              <w:spacing w:after="0"/>
              <w:rPr>
                <w:sz w:val="23"/>
                <w:szCs w:val="23"/>
                <w:color w:val="auto"/>
              </w:rPr>
            </w:pPr>
          </w:p>
        </w:tc>
        <w:tc>
          <w:tcPr>
            <w:tcW w:w="20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6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90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1000" w:type="dxa"/>
            <w:vAlign w:val="bottom"/>
            <w:shd w:val="clear" w:color="auto" w:fill="CCECFF"/>
          </w:tcPr>
          <w:p>
            <w:pPr>
              <w:spacing w:after="0"/>
              <w:rPr>
                <w:sz w:val="23"/>
                <w:szCs w:val="23"/>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Other Financial Information:</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2500" w:type="dxa"/>
            <w:vAlign w:val="bottom"/>
            <w:gridSpan w:val="2"/>
            <w:shd w:val="clear" w:color="auto" w:fill="CCECFF"/>
          </w:tcPr>
          <w:p>
            <w:pPr>
              <w:ind w:left="28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6,366</w:t>
            </w:r>
          </w:p>
        </w:tc>
        <w:tc>
          <w:tcPr>
            <w:tcW w:w="1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6,366</w:t>
            </w:r>
          </w:p>
        </w:tc>
        <w:tc>
          <w:tcPr>
            <w:tcW w:w="2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2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1,322</w:t>
            </w:r>
          </w:p>
        </w:tc>
        <w:tc>
          <w:tcPr>
            <w:tcW w:w="2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1,322</w:t>
            </w: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7,688</w:t>
            </w:r>
          </w:p>
        </w:tc>
      </w:tr>
      <w:tr>
        <w:trPr>
          <w:trHeight w:val="27"/>
        </w:trPr>
        <w:tc>
          <w:tcPr>
            <w:tcW w:w="236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84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18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20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920" w:type="dxa"/>
            <w:vAlign w:val="bottom"/>
            <w:shd w:val="clear" w:color="auto" w:fill="CCECFF"/>
          </w:tcPr>
          <w:p>
            <w:pPr>
              <w:spacing w:after="0"/>
              <w:rPr>
                <w:sz w:val="2"/>
                <w:szCs w:val="2"/>
                <w:color w:val="auto"/>
              </w:rPr>
            </w:pPr>
          </w:p>
        </w:tc>
        <w:tc>
          <w:tcPr>
            <w:tcW w:w="20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16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1000" w:type="dxa"/>
            <w:vAlign w:val="bottom"/>
            <w:shd w:val="clear" w:color="auto" w:fill="CCEC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16465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0" w:firstLine="8"/>
        <w:spacing w:after="0" w:line="227" w:lineRule="auto"/>
        <w:tabs>
          <w:tab w:leader="none" w:pos="195"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Includes adjustments relating to preliminary purchase price accounting, equity compensation expense, merger, integration and restructuring, certain reclassifications, impairment of investment, certain losses of foreign exchange hedging arrangements and other one-time expenses.</w:t>
      </w:r>
    </w:p>
    <w:p>
      <w:pPr>
        <w:ind w:left="200" w:hanging="192"/>
        <w:spacing w:after="0" w:line="180" w:lineRule="auto"/>
        <w:tabs>
          <w:tab w:leader="none" w:pos="20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See the discussion of "Financial Alignment, Combined Sales &amp; Operating Results, Business Unit Structure and Constant Currency" above.</w:t>
      </w:r>
    </w:p>
    <w:p>
      <w:pPr>
        <w:spacing w:after="0" w:line="2"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Numbers may not add due to rounding.</w:t>
      </w:r>
    </w:p>
    <w:p>
      <w:pPr>
        <w:spacing w:after="0" w:line="2" w:lineRule="exact"/>
        <w:rPr>
          <w:rFonts w:ascii="Arial" w:cs="Arial" w:eastAsia="Arial" w:hAnsi="Arial"/>
          <w:sz w:val="24"/>
          <w:szCs w:val="24"/>
          <w:color w:val="auto"/>
          <w:vertAlign w:val="superscript"/>
        </w:rPr>
      </w:pPr>
    </w:p>
    <w:p>
      <w:pPr>
        <w:ind w:left="200" w:hanging="192"/>
        <w:spacing w:after="0" w:line="186" w:lineRule="auto"/>
        <w:tabs>
          <w:tab w:leader="none" w:pos="20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Includes expenses directly attributable to the merger, integration, restructuring and other expenses.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21" w:name="page22"/>
    <w:bookmarkEnd w:id="21"/>
    <w:p>
      <w:pPr>
        <w:jc w:val="center"/>
        <w:ind w:right="-291"/>
        <w:spacing w:after="0"/>
        <w:rPr>
          <w:sz w:val="20"/>
          <w:szCs w:val="20"/>
          <w:color w:val="auto"/>
        </w:rPr>
      </w:pPr>
      <w:r>
        <w:rPr>
          <w:rFonts w:ascii="Arial" w:cs="Arial" w:eastAsia="Arial" w:hAnsi="Arial"/>
          <w:sz w:val="18"/>
          <w:szCs w:val="18"/>
          <w:b w:val="1"/>
          <w:bCs w:val="1"/>
          <w:color w:val="auto"/>
        </w:rPr>
        <w:t>SELECTED NON-GAAP</w:t>
      </w:r>
      <w:r>
        <w:rPr>
          <w:rFonts w:ascii="Arial" w:cs="Arial" w:eastAsia="Arial" w:hAnsi="Arial"/>
          <w:sz w:val="30"/>
          <w:szCs w:val="30"/>
          <w:b w:val="1"/>
          <w:bCs w:val="1"/>
          <w:color w:val="auto"/>
          <w:vertAlign w:val="superscript"/>
        </w:rPr>
        <w:t>35</w:t>
      </w:r>
      <w:r>
        <w:rPr>
          <w:rFonts w:ascii="Arial" w:cs="Arial" w:eastAsia="Arial" w:hAnsi="Arial"/>
          <w:sz w:val="18"/>
          <w:szCs w:val="18"/>
          <w:b w:val="1"/>
          <w:bCs w:val="1"/>
          <w:color w:val="auto"/>
        </w:rPr>
        <w:t xml:space="preserve"> OPERATING RESULTS</w:t>
      </w:r>
      <w:r>
        <w:rPr>
          <w:rFonts w:ascii="Arial" w:cs="Arial" w:eastAsia="Arial" w:hAnsi="Arial"/>
          <w:sz w:val="30"/>
          <w:szCs w:val="30"/>
          <w:b w:val="1"/>
          <w:bCs w:val="1"/>
          <w:color w:val="auto"/>
          <w:vertAlign w:val="superscript"/>
        </w:rPr>
        <w:t>36,37</w:t>
      </w:r>
    </w:p>
    <w:p>
      <w:pPr>
        <w:jc w:val="center"/>
        <w:ind w:right="-291"/>
        <w:spacing w:after="0"/>
        <w:rPr>
          <w:sz w:val="20"/>
          <w:szCs w:val="20"/>
          <w:color w:val="auto"/>
        </w:rPr>
      </w:pPr>
      <w:r>
        <w:rPr>
          <w:rFonts w:ascii="Arial" w:cs="Arial" w:eastAsia="Arial" w:hAnsi="Arial"/>
          <w:sz w:val="18"/>
          <w:szCs w:val="18"/>
          <w:b w:val="1"/>
          <w:bCs w:val="1"/>
          <w:color w:val="auto"/>
        </w:rPr>
        <w:t>Q4 2015</w:t>
      </w:r>
    </w:p>
    <w:p>
      <w:pPr>
        <w:spacing w:after="0" w:line="7" w:lineRule="exact"/>
        <w:rPr>
          <w:sz w:val="20"/>
          <w:szCs w:val="20"/>
          <w:color w:val="auto"/>
        </w:rPr>
      </w:pPr>
    </w:p>
    <w:p>
      <w:pPr>
        <w:jc w:val="center"/>
        <w:ind w:right="-291"/>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192"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Sorin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Cyberonics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LivaNova</w:t>
            </w:r>
          </w:p>
        </w:tc>
      </w:tr>
      <w:tr>
        <w:trPr>
          <w:trHeight w:val="34"/>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Non-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GAAP</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GAAP</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Q4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Non-GAAP</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Q4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Non-GAAP</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Q4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Non-</w:t>
            </w:r>
          </w:p>
        </w:tc>
      </w:tr>
      <w:tr>
        <w:trPr>
          <w:trHeight w:val="234"/>
        </w:trPr>
        <w:tc>
          <w:tcPr>
            <w:tcW w:w="2280" w:type="dxa"/>
            <w:vAlign w:val="bottom"/>
            <w:gridSpan w:val="2"/>
          </w:tcPr>
          <w:p>
            <w:pPr>
              <w:ind w:left="52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FY15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FY15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Q4 FY15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FY15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GAAP</w:t>
            </w:r>
          </w:p>
        </w:tc>
      </w:tr>
      <w:tr>
        <w:trPr>
          <w:trHeight w:val="34"/>
        </w:trPr>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0"/>
        </w:trPr>
        <w:tc>
          <w:tcPr>
            <w:tcW w:w="228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gridSpan w:val="2"/>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gridSpan w:val="2"/>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gridSpan w:val="2"/>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22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rPr>
              <w:t>226,477</w:t>
            </w:r>
          </w:p>
        </w:tc>
        <w:tc>
          <w:tcPr>
            <w:tcW w:w="26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CFF"/>
            </w:tcBorders>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rPr>
              <w:t>226,477</w:t>
            </w:r>
          </w:p>
        </w:tc>
        <w:tc>
          <w:tcPr>
            <w:tcW w:w="34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91,516</w:t>
            </w:r>
          </w:p>
        </w:tc>
        <w:tc>
          <w:tcPr>
            <w:tcW w:w="32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CFF"/>
            </w:tcBorders>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91,516</w:t>
            </w:r>
          </w:p>
        </w:tc>
        <w:tc>
          <w:tcPr>
            <w:tcW w:w="30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317,993</w:t>
            </w:r>
          </w:p>
        </w:tc>
      </w:tr>
      <w:tr>
        <w:trPr>
          <w:trHeight w:val="277"/>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91,941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23,016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114,957</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81,727</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81,846</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196,803</w:t>
            </w:r>
          </w:p>
        </w:tc>
      </w:tr>
      <w:tr>
        <w:trPr>
          <w:trHeight w:val="250"/>
        </w:trPr>
        <w:tc>
          <w:tcPr>
            <w:tcW w:w="22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16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14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8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980" w:type="dxa"/>
            <w:vAlign w:val="bottom"/>
            <w:tcBorders>
              <w:bottom w:val="single" w:sz="8" w:color="CCECFF"/>
            </w:tcBorders>
            <w:shd w:val="clear" w:color="auto" w:fill="CCECFF"/>
          </w:tcPr>
          <w:p>
            <w:pPr>
              <w:spacing w:after="0"/>
              <w:rPr>
                <w:sz w:val="21"/>
                <w:szCs w:val="21"/>
                <w:color w:val="auto"/>
              </w:rPr>
            </w:pPr>
          </w:p>
        </w:tc>
      </w:tr>
      <w:tr>
        <w:trPr>
          <w:trHeight w:val="229"/>
        </w:trPr>
        <w:tc>
          <w:tcPr>
            <w:tcW w:w="2280" w:type="dxa"/>
            <w:vAlign w:val="bottom"/>
            <w:gridSpan w:val="2"/>
          </w:tcPr>
          <w:p>
            <w:pPr>
              <w:ind w:left="280"/>
              <w:spacing w:after="0"/>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(36,434 )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(87,010 )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6,479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(80,531 )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(37,353 )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(116,965 )</w:t>
            </w:r>
          </w:p>
        </w:tc>
      </w:tr>
      <w:tr>
        <w:trPr>
          <w:trHeight w:val="27"/>
        </w:trPr>
        <w:tc>
          <w:tcPr>
            <w:tcW w:w="2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280" w:type="dxa"/>
            <w:vAlign w:val="bottom"/>
            <w:gridSpan w:val="2"/>
            <w:shd w:val="clear" w:color="auto" w:fill="CCECFF"/>
          </w:tcPr>
          <w:p>
            <w:pPr>
              <w:ind w:left="280"/>
              <w:spacing w:after="0"/>
              <w:rPr>
                <w:sz w:val="20"/>
                <w:szCs w:val="20"/>
                <w:color w:val="auto"/>
              </w:rPr>
            </w:pPr>
            <w:r>
              <w:rPr>
                <w:rFonts w:ascii="Arial" w:cs="Arial" w:eastAsia="Arial" w:hAnsi="Arial"/>
                <w:sz w:val="18"/>
                <w:szCs w:val="18"/>
                <w:color w:val="auto"/>
              </w:rPr>
              <w:t>Research and</w:t>
            </w:r>
          </w:p>
        </w:tc>
        <w:tc>
          <w:tcPr>
            <w:tcW w:w="14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(9,116 )</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r>
      <w:tr>
        <w:trPr>
          <w:trHeight w:val="237"/>
        </w:trPr>
        <w:tc>
          <w:tcPr>
            <w:tcW w:w="22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development</w:t>
            </w:r>
          </w:p>
        </w:tc>
        <w:tc>
          <w:tcPr>
            <w:tcW w:w="14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(32,890 )</w:t>
            </w:r>
          </w:p>
        </w:tc>
        <w:tc>
          <w:tcPr>
            <w:tcW w:w="12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6,783</w:t>
            </w:r>
          </w:p>
        </w:tc>
        <w:tc>
          <w:tcPr>
            <w:tcW w:w="12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(26,106 )</w:t>
            </w:r>
          </w:p>
        </w:tc>
        <w:tc>
          <w:tcPr>
            <w:tcW w:w="18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(9,302 )</w:t>
            </w:r>
          </w:p>
        </w:tc>
        <w:tc>
          <w:tcPr>
            <w:tcW w:w="16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1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0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(35,223 )</w:t>
            </w:r>
          </w:p>
        </w:tc>
      </w:tr>
      <w:tr>
        <w:trPr>
          <w:trHeight w:val="229"/>
        </w:trPr>
        <w:tc>
          <w:tcPr>
            <w:tcW w:w="2280" w:type="dxa"/>
            <w:vAlign w:val="bottom"/>
            <w:gridSpan w:val="2"/>
          </w:tcPr>
          <w:p>
            <w:pPr>
              <w:ind w:left="280"/>
              <w:spacing w:after="0"/>
              <w:rPr>
                <w:sz w:val="20"/>
                <w:szCs w:val="20"/>
                <w:color w:val="auto"/>
              </w:rPr>
            </w:pPr>
            <w:r>
              <w:rPr>
                <w:rFonts w:ascii="Arial" w:cs="Arial" w:eastAsia="Arial" w:hAnsi="Arial"/>
                <w:sz w:val="18"/>
                <w:szCs w:val="18"/>
                <w:color w:val="auto"/>
              </w:rPr>
              <w:t>Amortization of</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9"/>
        </w:trPr>
        <w:tc>
          <w:tcPr>
            <w:tcW w:w="2280" w:type="dxa"/>
            <w:vAlign w:val="bottom"/>
            <w:gridSpan w:val="2"/>
            <w:shd w:val="clear" w:color="auto" w:fill="CCECFF"/>
          </w:tcPr>
          <w:p>
            <w:pPr>
              <w:ind w:left="280"/>
              <w:spacing w:after="0"/>
              <w:rPr>
                <w:sz w:val="20"/>
                <w:szCs w:val="20"/>
                <w:color w:val="auto"/>
              </w:rPr>
            </w:pPr>
            <w:r>
              <w:rPr>
                <w:rFonts w:ascii="Arial" w:cs="Arial" w:eastAsia="Arial" w:hAnsi="Arial"/>
                <w:sz w:val="18"/>
                <w:szCs w:val="18"/>
                <w:color w:val="auto"/>
              </w:rPr>
              <w:t>Merger related &amp; other</w:t>
            </w:r>
          </w:p>
        </w:tc>
        <w:tc>
          <w:tcPr>
            <w:tcW w:w="14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r>
      <w:tr>
        <w:trPr>
          <w:trHeight w:val="267"/>
        </w:trPr>
        <w:tc>
          <w:tcPr>
            <w:tcW w:w="2280" w:type="dxa"/>
            <w:vAlign w:val="bottom"/>
            <w:gridSpan w:val="2"/>
            <w:shd w:val="clear" w:color="auto" w:fill="CCECFF"/>
          </w:tcPr>
          <w:p>
            <w:pPr>
              <w:ind w:left="20"/>
              <w:spacing w:after="0" w:line="266" w:lineRule="exact"/>
              <w:rPr>
                <w:sz w:val="20"/>
                <w:szCs w:val="20"/>
                <w:color w:val="auto"/>
              </w:rPr>
            </w:pPr>
            <w:r>
              <w:rPr>
                <w:rFonts w:ascii="Arial" w:cs="Arial" w:eastAsia="Arial" w:hAnsi="Arial"/>
                <w:sz w:val="18"/>
                <w:szCs w:val="18"/>
                <w:color w:val="auto"/>
              </w:rPr>
              <w:t>expenses</w:t>
            </w:r>
            <w:r>
              <w:rPr>
                <w:rFonts w:ascii="Arial" w:cs="Arial" w:eastAsia="Arial" w:hAnsi="Arial"/>
                <w:sz w:val="30"/>
                <w:szCs w:val="30"/>
                <w:color w:val="auto"/>
                <w:vertAlign w:val="superscript"/>
              </w:rPr>
              <w:t>38</w:t>
            </w:r>
          </w:p>
        </w:tc>
        <w:tc>
          <w:tcPr>
            <w:tcW w:w="140" w:type="dxa"/>
            <w:vAlign w:val="bottom"/>
            <w:shd w:val="clear" w:color="auto" w:fill="CCECFF"/>
          </w:tcPr>
          <w:p>
            <w:pPr>
              <w:spacing w:after="0"/>
              <w:rPr>
                <w:sz w:val="23"/>
                <w:szCs w:val="2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(24,480 )</w:t>
            </w:r>
          </w:p>
        </w:tc>
        <w:tc>
          <w:tcPr>
            <w:tcW w:w="12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24,480</w:t>
            </w:r>
          </w:p>
        </w:tc>
        <w:tc>
          <w:tcPr>
            <w:tcW w:w="12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84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(48,377 )</w:t>
            </w:r>
          </w:p>
        </w:tc>
        <w:tc>
          <w:tcPr>
            <w:tcW w:w="16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11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48,377</w:t>
            </w:r>
          </w:p>
        </w:tc>
        <w:tc>
          <w:tcPr>
            <w:tcW w:w="14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80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9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r>
      <w:tr>
        <w:trPr>
          <w:trHeight w:val="277"/>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(145,657 )</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39,019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(106,638 )</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(95,321 )</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49,771</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(45,550 )</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(152,188 )</w:t>
            </w:r>
          </w:p>
        </w:tc>
      </w:tr>
      <w:tr>
        <w:trPr>
          <w:trHeight w:val="277"/>
        </w:trPr>
        <w:tc>
          <w:tcPr>
            <w:tcW w:w="228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Operating (loss) income</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(53,715 )</w:t>
            </w:r>
          </w:p>
        </w:tc>
        <w:tc>
          <w:tcPr>
            <w:tcW w:w="2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62,035</w:t>
            </w:r>
          </w:p>
        </w:tc>
        <w:tc>
          <w:tcPr>
            <w:tcW w:w="3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8,320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(13,595 )</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49,890</w:t>
            </w:r>
          </w:p>
        </w:tc>
        <w:tc>
          <w:tcPr>
            <w:tcW w:w="3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36,296</w:t>
            </w:r>
          </w:p>
        </w:tc>
        <w:tc>
          <w:tcPr>
            <w:tcW w:w="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44,615</w:t>
            </w:r>
          </w:p>
        </w:tc>
      </w:tr>
      <w:tr>
        <w:trPr>
          <w:trHeight w:val="243"/>
        </w:trPr>
        <w:tc>
          <w:tcPr>
            <w:tcW w:w="2280" w:type="dxa"/>
            <w:vAlign w:val="bottom"/>
            <w:tcBorders>
              <w:top w:val="single" w:sz="8" w:color="CCEC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(908 )</w:t>
            </w:r>
          </w:p>
        </w:tc>
        <w:tc>
          <w:tcPr>
            <w:tcW w:w="120" w:type="dxa"/>
            <w:vAlign w:val="bottom"/>
            <w:tcBorders>
              <w:top w:val="single" w:sz="8" w:color="CCEC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C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(908 )</w:t>
            </w:r>
          </w:p>
        </w:tc>
        <w:tc>
          <w:tcPr>
            <w:tcW w:w="180" w:type="dxa"/>
            <w:vAlign w:val="bottom"/>
            <w:tcBorders>
              <w:top w:val="single" w:sz="8" w:color="CCEC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(184 )</w:t>
            </w:r>
          </w:p>
        </w:tc>
        <w:tc>
          <w:tcPr>
            <w:tcW w:w="160" w:type="dxa"/>
            <w:vAlign w:val="bottom"/>
            <w:tcBorders>
              <w:top w:val="single" w:sz="8" w:color="CCEC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C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(184 )</w:t>
            </w:r>
          </w:p>
        </w:tc>
        <w:tc>
          <w:tcPr>
            <w:tcW w:w="140" w:type="dxa"/>
            <w:vAlign w:val="bottom"/>
            <w:tcBorders>
              <w:top w:val="single" w:sz="8" w:color="CCEC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(1,092 )</w:t>
            </w:r>
          </w:p>
        </w:tc>
      </w:tr>
      <w:tr>
        <w:trPr>
          <w:trHeight w:val="27"/>
        </w:trPr>
        <w:tc>
          <w:tcPr>
            <w:tcW w:w="2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28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Loss  from  equity  method</w:t>
            </w:r>
          </w:p>
        </w:tc>
        <w:tc>
          <w:tcPr>
            <w:tcW w:w="14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r>
      <w:tr>
        <w:trPr>
          <w:trHeight w:val="237"/>
        </w:trPr>
        <w:tc>
          <w:tcPr>
            <w:tcW w:w="22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(4,956 )</w:t>
            </w:r>
          </w:p>
        </w:tc>
        <w:tc>
          <w:tcPr>
            <w:tcW w:w="12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(4,956 )</w:t>
            </w:r>
          </w:p>
        </w:tc>
        <w:tc>
          <w:tcPr>
            <w:tcW w:w="18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1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0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(4,956 )</w:t>
            </w:r>
          </w:p>
        </w:tc>
      </w:tr>
      <w:tr>
        <w:trPr>
          <w:trHeight w:val="24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Impairment of investments</w:t>
            </w:r>
          </w:p>
        </w:tc>
        <w:tc>
          <w:tcPr>
            <w:tcW w:w="1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(3,063 )</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3,063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280" w:type="dxa"/>
            <w:vAlign w:val="bottom"/>
            <w:gridSpan w:val="2"/>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840" w:type="dxa"/>
            <w:vAlign w:val="bottom"/>
            <w:shd w:val="clear" w:color="auto" w:fill="CCECFF"/>
          </w:tcPr>
          <w:p>
            <w:pPr>
              <w:spacing w:after="0"/>
              <w:rPr>
                <w:sz w:val="23"/>
                <w:szCs w:val="23"/>
                <w:color w:val="auto"/>
              </w:rPr>
            </w:pPr>
          </w:p>
        </w:tc>
        <w:tc>
          <w:tcPr>
            <w:tcW w:w="12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60" w:type="dxa"/>
            <w:vAlign w:val="bottom"/>
            <w:shd w:val="clear" w:color="auto" w:fill="CCECFF"/>
          </w:tcPr>
          <w:p>
            <w:pPr>
              <w:spacing w:after="0"/>
              <w:rPr>
                <w:sz w:val="23"/>
                <w:szCs w:val="23"/>
                <w:color w:val="auto"/>
              </w:rPr>
            </w:pPr>
          </w:p>
        </w:tc>
        <w:tc>
          <w:tcPr>
            <w:tcW w:w="12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84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90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114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80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980" w:type="dxa"/>
            <w:vAlign w:val="bottom"/>
            <w:shd w:val="clear" w:color="auto" w:fill="CCECFF"/>
          </w:tcPr>
          <w:p>
            <w:pPr>
              <w:spacing w:after="0"/>
              <w:rPr>
                <w:sz w:val="23"/>
                <w:szCs w:val="23"/>
                <w:color w:val="auto"/>
              </w:rPr>
            </w:pPr>
          </w:p>
        </w:tc>
      </w:tr>
      <w:tr>
        <w:trPr>
          <w:trHeight w:val="24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Other Financial Information:</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2280" w:type="dxa"/>
            <w:vAlign w:val="bottom"/>
            <w:gridSpan w:val="2"/>
            <w:shd w:val="clear" w:color="auto" w:fill="CCECFF"/>
          </w:tcPr>
          <w:p>
            <w:pPr>
              <w:ind w:left="28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6,566</w:t>
            </w: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4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6,566</w:t>
            </w:r>
          </w:p>
        </w:tc>
        <w:tc>
          <w:tcPr>
            <w:tcW w:w="1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1,322</w:t>
            </w: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1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1,322</w:t>
            </w:r>
          </w:p>
        </w:tc>
        <w:tc>
          <w:tcPr>
            <w:tcW w:w="1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7,888</w:t>
            </w:r>
          </w:p>
        </w:tc>
      </w:tr>
      <w:tr>
        <w:trPr>
          <w:trHeight w:val="27"/>
        </w:trPr>
        <w:tc>
          <w:tcPr>
            <w:tcW w:w="2160" w:type="dxa"/>
            <w:vAlign w:val="bottom"/>
            <w:shd w:val="clear" w:color="auto" w:fill="CCECFF"/>
          </w:tcPr>
          <w:p>
            <w:pPr>
              <w:spacing w:after="0"/>
              <w:rPr>
                <w:sz w:val="2"/>
                <w:szCs w:val="2"/>
                <w:color w:val="auto"/>
              </w:rPr>
            </w:pPr>
          </w:p>
        </w:tc>
        <w:tc>
          <w:tcPr>
            <w:tcW w:w="12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840" w:type="dxa"/>
            <w:vAlign w:val="bottom"/>
            <w:shd w:val="clear" w:color="auto" w:fill="CCECFF"/>
          </w:tcPr>
          <w:p>
            <w:pPr>
              <w:spacing w:after="0"/>
              <w:rPr>
                <w:sz w:val="2"/>
                <w:szCs w:val="2"/>
                <w:color w:val="auto"/>
              </w:rPr>
            </w:pPr>
          </w:p>
        </w:tc>
        <w:tc>
          <w:tcPr>
            <w:tcW w:w="12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160" w:type="dxa"/>
            <w:vAlign w:val="bottom"/>
            <w:shd w:val="clear" w:color="auto" w:fill="CCECFF"/>
          </w:tcPr>
          <w:p>
            <w:pPr>
              <w:spacing w:after="0"/>
              <w:rPr>
                <w:sz w:val="2"/>
                <w:szCs w:val="2"/>
                <w:color w:val="auto"/>
              </w:rPr>
            </w:pPr>
          </w:p>
        </w:tc>
        <w:tc>
          <w:tcPr>
            <w:tcW w:w="12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8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114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80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980" w:type="dxa"/>
            <w:vAlign w:val="bottom"/>
            <w:shd w:val="clear" w:color="auto" w:fill="CCEC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720090</wp:posOffset>
            </wp:positionV>
            <wp:extent cx="16465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 w:right="300" w:firstLine="8"/>
        <w:spacing w:after="0" w:line="227" w:lineRule="auto"/>
        <w:tabs>
          <w:tab w:leader="none" w:pos="187"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Includes adjustments relating to preliminary purchase price accounting, equity compensation expense, merger, integration and restructuring, certain reclassifications, impairment of investment, certain losses of foreign exchange hedging arrangements and other one-time expenses.</w:t>
      </w:r>
    </w:p>
    <w:p>
      <w:pPr>
        <w:ind w:left="192" w:hanging="192"/>
        <w:spacing w:after="0" w:line="180" w:lineRule="auto"/>
        <w:tabs>
          <w:tab w:leader="none" w:pos="192"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See the discussion of "Financial Alignment, Combined Sales &amp; Operating Results, Business Unit Structure and Constant Currency" above.</w:t>
      </w:r>
    </w:p>
    <w:p>
      <w:pPr>
        <w:spacing w:after="0" w:line="2" w:lineRule="exact"/>
        <w:rPr>
          <w:rFonts w:ascii="Arial" w:cs="Arial" w:eastAsia="Arial" w:hAnsi="Arial"/>
          <w:sz w:val="25"/>
          <w:szCs w:val="25"/>
          <w:color w:val="auto"/>
          <w:vertAlign w:val="superscript"/>
        </w:rPr>
      </w:pPr>
    </w:p>
    <w:p>
      <w:pPr>
        <w:ind w:left="192" w:hanging="192"/>
        <w:spacing w:after="0" w:line="186" w:lineRule="auto"/>
        <w:tabs>
          <w:tab w:leader="none" w:pos="192"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Numbers may not add due to rounding.</w:t>
      </w:r>
    </w:p>
    <w:p>
      <w:pPr>
        <w:spacing w:after="0" w:line="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Includes expenses directly attributable to the merger, integration, restructuring and other expenses.</w:t>
      </w:r>
    </w:p>
    <w:p>
      <w:pPr>
        <w:spacing w:after="0" w:line="157" w:lineRule="exact"/>
        <w:rPr>
          <w:sz w:val="20"/>
          <w:szCs w:val="20"/>
          <w:color w:val="auto"/>
        </w:rPr>
      </w:pPr>
    </w:p>
    <w:p>
      <w:pPr>
        <w:jc w:val="center"/>
        <w:ind w:right="-291"/>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12"/>
          </w:cols>
          <w:pgMar w:left="248" w:top="255" w:right="539" w:bottom="1440" w:gutter="0" w:footer="0" w:header="0"/>
        </w:sectPr>
      </w:pPr>
    </w:p>
    <w:bookmarkStart w:id="22" w:name="page23"/>
    <w:bookmarkEnd w:id="22"/>
    <w:p>
      <w:pPr>
        <w:jc w:val="center"/>
        <w:ind w:right="-271"/>
        <w:spacing w:after="0"/>
        <w:rPr>
          <w:sz w:val="20"/>
          <w:szCs w:val="20"/>
          <w:color w:val="auto"/>
        </w:rPr>
      </w:pPr>
      <w:r>
        <w:rPr>
          <w:rFonts w:ascii="Arial" w:cs="Arial" w:eastAsia="Arial" w:hAnsi="Arial"/>
          <w:sz w:val="18"/>
          <w:szCs w:val="18"/>
          <w:b w:val="1"/>
          <w:bCs w:val="1"/>
          <w:color w:val="auto"/>
        </w:rPr>
        <w:t>SELECTED NON-GAAP</w:t>
      </w:r>
      <w:r>
        <w:rPr>
          <w:rFonts w:ascii="Arial" w:cs="Arial" w:eastAsia="Arial" w:hAnsi="Arial"/>
          <w:sz w:val="30"/>
          <w:szCs w:val="30"/>
          <w:b w:val="1"/>
          <w:bCs w:val="1"/>
          <w:color w:val="auto"/>
          <w:vertAlign w:val="superscript"/>
        </w:rPr>
        <w:t>39</w:t>
      </w:r>
      <w:r>
        <w:rPr>
          <w:rFonts w:ascii="Arial" w:cs="Arial" w:eastAsia="Arial" w:hAnsi="Arial"/>
          <w:sz w:val="18"/>
          <w:szCs w:val="18"/>
          <w:b w:val="1"/>
          <w:bCs w:val="1"/>
          <w:color w:val="auto"/>
        </w:rPr>
        <w:t xml:space="preserve"> OPERATING RESULTS</w:t>
      </w:r>
      <w:r>
        <w:rPr>
          <w:rFonts w:ascii="Arial" w:cs="Arial" w:eastAsia="Arial" w:hAnsi="Arial"/>
          <w:sz w:val="30"/>
          <w:szCs w:val="30"/>
          <w:b w:val="1"/>
          <w:bCs w:val="1"/>
          <w:color w:val="auto"/>
          <w:vertAlign w:val="superscript"/>
        </w:rPr>
        <w:t>40,41</w:t>
      </w:r>
    </w:p>
    <w:p>
      <w:pPr>
        <w:jc w:val="center"/>
        <w:ind w:right="-271"/>
        <w:spacing w:after="0"/>
        <w:rPr>
          <w:sz w:val="20"/>
          <w:szCs w:val="20"/>
          <w:color w:val="auto"/>
        </w:rPr>
      </w:pPr>
      <w:r>
        <w:rPr>
          <w:rFonts w:ascii="Arial" w:cs="Arial" w:eastAsia="Arial" w:hAnsi="Arial"/>
          <w:sz w:val="18"/>
          <w:szCs w:val="18"/>
          <w:b w:val="1"/>
          <w:bCs w:val="1"/>
          <w:color w:val="auto"/>
        </w:rPr>
        <w:t>2015</w:t>
      </w:r>
    </w:p>
    <w:p>
      <w:pPr>
        <w:spacing w:after="0" w:line="7" w:lineRule="exact"/>
        <w:rPr>
          <w:sz w:val="20"/>
          <w:szCs w:val="20"/>
          <w:color w:val="auto"/>
        </w:rPr>
      </w:pPr>
    </w:p>
    <w:p>
      <w:pPr>
        <w:jc w:val="center"/>
        <w:ind w:right="-271"/>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192"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Sorin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Cyberonics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LivaNova</w:t>
            </w:r>
          </w:p>
        </w:tc>
      </w:tr>
      <w:tr>
        <w:trPr>
          <w:trHeight w:val="34"/>
        </w:trPr>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Non-GAAP</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GAAP</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Non-GAAP</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GAAP</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Non-</w:t>
            </w:r>
          </w:p>
        </w:tc>
      </w:tr>
      <w:tr>
        <w:trPr>
          <w:trHeight w:val="234"/>
        </w:trPr>
        <w:tc>
          <w:tcPr>
            <w:tcW w:w="2240" w:type="dxa"/>
            <w:vAlign w:val="bottom"/>
            <w:gridSpan w:val="3"/>
          </w:tcPr>
          <w:p>
            <w:pPr>
              <w:ind w:left="50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FY15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FY15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FY15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FY15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GAAP</w:t>
            </w:r>
          </w:p>
        </w:tc>
      </w:tr>
      <w:tr>
        <w:trPr>
          <w:trHeight w:val="34"/>
        </w:trPr>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0"/>
        </w:trPr>
        <w:tc>
          <w:tcPr>
            <w:tcW w:w="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gridSpan w:val="2"/>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gridSpan w:val="2"/>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gridSpan w:val="2"/>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gridSpan w:val="2"/>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gridSpan w:val="2"/>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9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116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rPr>
              <w:t>880,295</w:t>
            </w:r>
          </w:p>
        </w:tc>
        <w:tc>
          <w:tcPr>
            <w:tcW w:w="26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CFF"/>
            </w:tcBorders>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rPr>
              <w:t>880,295</w:t>
            </w:r>
          </w:p>
        </w:tc>
        <w:tc>
          <w:tcPr>
            <w:tcW w:w="360" w:type="dxa"/>
            <w:vAlign w:val="bottom"/>
            <w:tcBorders>
              <w:bottom w:val="single" w:sz="8" w:color="CCECFF"/>
            </w:tcBorders>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324,341</w:t>
            </w:r>
          </w:p>
        </w:tc>
        <w:tc>
          <w:tcPr>
            <w:tcW w:w="30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CFF"/>
            </w:tcBorders>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rPr>
              <w:t>324,341</w:t>
            </w:r>
          </w:p>
        </w:tc>
        <w:tc>
          <w:tcPr>
            <w:tcW w:w="30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1,204,636</w:t>
            </w: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w w:val="98"/>
              </w:rPr>
              <w:t>Gross profit</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446,161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23,016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469,177</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290,504</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291,065</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760,242</w:t>
            </w:r>
          </w:p>
        </w:tc>
      </w:tr>
      <w:tr>
        <w:trPr>
          <w:trHeight w:val="250"/>
        </w:trPr>
        <w:tc>
          <w:tcPr>
            <w:tcW w:w="22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16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88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1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8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980" w:type="dxa"/>
            <w:vAlign w:val="bottom"/>
            <w:tcBorders>
              <w:bottom w:val="single" w:sz="8" w:color="CCECFF"/>
            </w:tcBorders>
            <w:shd w:val="clear" w:color="auto" w:fill="CCECFF"/>
          </w:tcPr>
          <w:p>
            <w:pPr>
              <w:spacing w:after="0"/>
              <w:rPr>
                <w:sz w:val="21"/>
                <w:szCs w:val="21"/>
                <w:color w:val="auto"/>
              </w:rPr>
            </w:pPr>
          </w:p>
        </w:tc>
      </w:tr>
      <w:tr>
        <w:trPr>
          <w:trHeight w:val="229"/>
        </w:trPr>
        <w:tc>
          <w:tcPr>
            <w:tcW w:w="2240" w:type="dxa"/>
            <w:vAlign w:val="bottom"/>
            <w:gridSpan w:val="3"/>
          </w:tcPr>
          <w:p>
            <w:pPr>
              <w:ind w:left="280"/>
              <w:spacing w:after="0"/>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(127,584 )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240" w:type="dxa"/>
            <w:vAlign w:val="bottom"/>
            <w:gridSpan w:val="3"/>
          </w:tcPr>
          <w:p>
            <w:pPr>
              <w:ind w:left="2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(326,859 )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9,572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(317,287 )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(133,767 )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6,183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(444,872 )</w:t>
            </w:r>
          </w:p>
        </w:tc>
      </w:tr>
      <w:tr>
        <w:trPr>
          <w:trHeight w:val="27"/>
        </w:trPr>
        <w:tc>
          <w:tcPr>
            <w:tcW w:w="22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240" w:type="dxa"/>
            <w:vAlign w:val="bottom"/>
            <w:gridSpan w:val="3"/>
            <w:shd w:val="clear" w:color="auto" w:fill="CCECFF"/>
          </w:tcPr>
          <w:p>
            <w:pPr>
              <w:ind w:left="280"/>
              <w:spacing w:after="0"/>
              <w:rPr>
                <w:sz w:val="20"/>
                <w:szCs w:val="20"/>
                <w:color w:val="auto"/>
              </w:rPr>
            </w:pPr>
            <w:r>
              <w:rPr>
                <w:rFonts w:ascii="Arial" w:cs="Arial" w:eastAsia="Arial" w:hAnsi="Arial"/>
                <w:sz w:val="18"/>
                <w:szCs w:val="18"/>
                <w:color w:val="auto"/>
              </w:rPr>
              <w:t>Research and</w:t>
            </w:r>
          </w:p>
        </w:tc>
        <w:tc>
          <w:tcPr>
            <w:tcW w:w="14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(39,023 )</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r>
      <w:tr>
        <w:trPr>
          <w:trHeight w:val="237"/>
        </w:trPr>
        <w:tc>
          <w:tcPr>
            <w:tcW w:w="9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w w:val="89"/>
              </w:rPr>
              <w:t>development</w:t>
            </w:r>
          </w:p>
        </w:tc>
        <w:tc>
          <w:tcPr>
            <w:tcW w:w="116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5"/>
              </w:rPr>
              <w:t>(110,981 )</w:t>
            </w:r>
          </w:p>
        </w:tc>
        <w:tc>
          <w:tcPr>
            <w:tcW w:w="12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6.783</w:t>
            </w:r>
          </w:p>
        </w:tc>
        <w:tc>
          <w:tcPr>
            <w:tcW w:w="12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5"/>
              </w:rPr>
              <w:t>(104,148 )</w:t>
            </w:r>
          </w:p>
        </w:tc>
        <w:tc>
          <w:tcPr>
            <w:tcW w:w="18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(41,477 )</w:t>
            </w:r>
          </w:p>
        </w:tc>
        <w:tc>
          <w:tcPr>
            <w:tcW w:w="16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2,454</w:t>
            </w:r>
          </w:p>
        </w:tc>
        <w:tc>
          <w:tcPr>
            <w:tcW w:w="1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6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(143,171 )</w:t>
            </w:r>
          </w:p>
        </w:tc>
      </w:tr>
      <w:tr>
        <w:trPr>
          <w:trHeight w:val="229"/>
        </w:trPr>
        <w:tc>
          <w:tcPr>
            <w:tcW w:w="2240" w:type="dxa"/>
            <w:vAlign w:val="bottom"/>
            <w:gridSpan w:val="3"/>
          </w:tcPr>
          <w:p>
            <w:pPr>
              <w:ind w:left="280"/>
              <w:spacing w:after="0"/>
              <w:rPr>
                <w:sz w:val="20"/>
                <w:szCs w:val="20"/>
                <w:color w:val="auto"/>
              </w:rPr>
            </w:pPr>
            <w:r>
              <w:rPr>
                <w:rFonts w:ascii="Arial" w:cs="Arial" w:eastAsia="Arial" w:hAnsi="Arial"/>
                <w:sz w:val="18"/>
                <w:szCs w:val="18"/>
                <w:color w:val="auto"/>
              </w:rPr>
              <w:t>Amortization of</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240" w:type="dxa"/>
            <w:vAlign w:val="bottom"/>
            <w:gridSpan w:val="3"/>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(14,890 )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14,890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(1,157 )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1,157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22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9"/>
        </w:trPr>
        <w:tc>
          <w:tcPr>
            <w:tcW w:w="2240" w:type="dxa"/>
            <w:vAlign w:val="bottom"/>
            <w:gridSpan w:val="3"/>
            <w:shd w:val="clear" w:color="auto" w:fill="CCECFF"/>
          </w:tcPr>
          <w:p>
            <w:pPr>
              <w:ind w:left="280"/>
              <w:spacing w:after="0"/>
              <w:rPr>
                <w:sz w:val="20"/>
                <w:szCs w:val="20"/>
                <w:color w:val="auto"/>
              </w:rPr>
            </w:pPr>
            <w:r>
              <w:rPr>
                <w:rFonts w:ascii="Arial" w:cs="Arial" w:eastAsia="Arial" w:hAnsi="Arial"/>
                <w:sz w:val="18"/>
                <w:szCs w:val="18"/>
                <w:color w:val="auto"/>
              </w:rPr>
              <w:t>Merger related &amp; other</w:t>
            </w:r>
          </w:p>
        </w:tc>
        <w:tc>
          <w:tcPr>
            <w:tcW w:w="14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r>
      <w:tr>
        <w:trPr>
          <w:trHeight w:val="267"/>
        </w:trPr>
        <w:tc>
          <w:tcPr>
            <w:tcW w:w="960" w:type="dxa"/>
            <w:vAlign w:val="bottom"/>
            <w:shd w:val="clear" w:color="auto" w:fill="CCECFF"/>
          </w:tcPr>
          <w:p>
            <w:pPr>
              <w:ind w:left="20"/>
              <w:spacing w:after="0" w:line="266" w:lineRule="exact"/>
              <w:rPr>
                <w:sz w:val="20"/>
                <w:szCs w:val="20"/>
                <w:color w:val="auto"/>
              </w:rPr>
            </w:pPr>
            <w:r>
              <w:rPr>
                <w:rFonts w:ascii="Arial" w:cs="Arial" w:eastAsia="Arial" w:hAnsi="Arial"/>
                <w:sz w:val="18"/>
                <w:szCs w:val="18"/>
                <w:color w:val="auto"/>
                <w:w w:val="92"/>
              </w:rPr>
              <w:t>expenses</w:t>
            </w:r>
            <w:r>
              <w:rPr>
                <w:rFonts w:ascii="Arial" w:cs="Arial" w:eastAsia="Arial" w:hAnsi="Arial"/>
                <w:sz w:val="30"/>
                <w:szCs w:val="30"/>
                <w:color w:val="auto"/>
                <w:w w:val="92"/>
                <w:vertAlign w:val="superscript"/>
              </w:rPr>
              <w:t>42</w:t>
            </w:r>
          </w:p>
        </w:tc>
        <w:tc>
          <w:tcPr>
            <w:tcW w:w="1160" w:type="dxa"/>
            <w:vAlign w:val="bottom"/>
            <w:shd w:val="clear" w:color="auto" w:fill="CCECFF"/>
          </w:tcPr>
          <w:p>
            <w:pPr>
              <w:spacing w:after="0"/>
              <w:rPr>
                <w:sz w:val="23"/>
                <w:szCs w:val="23"/>
                <w:color w:val="auto"/>
              </w:rPr>
            </w:pPr>
          </w:p>
        </w:tc>
        <w:tc>
          <w:tcPr>
            <w:tcW w:w="12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(69,015 )</w:t>
            </w:r>
          </w:p>
        </w:tc>
        <w:tc>
          <w:tcPr>
            <w:tcW w:w="12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69,015</w:t>
            </w:r>
          </w:p>
        </w:tc>
        <w:tc>
          <w:tcPr>
            <w:tcW w:w="12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84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(71,212 )</w:t>
            </w:r>
          </w:p>
        </w:tc>
        <w:tc>
          <w:tcPr>
            <w:tcW w:w="16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71,212</w:t>
            </w:r>
          </w:p>
        </w:tc>
        <w:tc>
          <w:tcPr>
            <w:tcW w:w="14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86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9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r>
      <w:tr>
        <w:trPr>
          <w:trHeight w:val="277"/>
        </w:trPr>
        <w:tc>
          <w:tcPr>
            <w:tcW w:w="2240" w:type="dxa"/>
            <w:vAlign w:val="bottom"/>
            <w:gridSpan w:val="3"/>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(521,695 )</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100,260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(421,435 )</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(247,613 )</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81,005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(166,608 )</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(588,043 )</w:t>
            </w:r>
          </w:p>
        </w:tc>
      </w:tr>
      <w:tr>
        <w:trPr>
          <w:trHeight w:val="277"/>
        </w:trPr>
        <w:tc>
          <w:tcPr>
            <w:tcW w:w="224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8"/>
                <w:szCs w:val="18"/>
                <w:color w:val="auto"/>
              </w:rPr>
              <w:t>Operating (loss) income</w:t>
            </w:r>
          </w:p>
        </w:tc>
        <w:tc>
          <w:tcPr>
            <w:tcW w:w="140" w:type="dxa"/>
            <w:vAlign w:val="bottom"/>
            <w:tcBorders>
              <w:top w:val="single" w:sz="8" w:color="auto"/>
              <w:bottom w:val="single" w:sz="8" w:color="auto"/>
            </w:tcBorders>
            <w:shd w:val="clear" w:color="auto" w:fill="CCECFF"/>
          </w:tcPr>
          <w:p>
            <w:pPr>
              <w:spacing w:after="0"/>
              <w:rPr>
                <w:sz w:val="24"/>
                <w:szCs w:val="24"/>
                <w:color w:val="auto"/>
              </w:rPr>
            </w:pP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(75,534 )</w:t>
            </w:r>
          </w:p>
        </w:tc>
        <w:tc>
          <w:tcPr>
            <w:tcW w:w="12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top w:val="single" w:sz="8" w:color="auto"/>
              <w:bottom w:val="single" w:sz="8" w:color="auto"/>
            </w:tcBorders>
            <w:shd w:val="clear" w:color="auto" w:fill="CCECFF"/>
          </w:tcPr>
          <w:p>
            <w:pPr>
              <w:spacing w:after="0"/>
              <w:rPr>
                <w:sz w:val="24"/>
                <w:szCs w:val="24"/>
                <w:color w:val="auto"/>
              </w:rPr>
            </w:pPr>
          </w:p>
        </w:tc>
        <w:tc>
          <w:tcPr>
            <w:tcW w:w="116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123,276</w:t>
            </w:r>
          </w:p>
        </w:tc>
        <w:tc>
          <w:tcPr>
            <w:tcW w:w="12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top w:val="single" w:sz="8" w:color="auto"/>
              <w:bottom w:val="single" w:sz="8" w:color="auto"/>
            </w:tcBorders>
            <w:shd w:val="clear" w:color="auto" w:fill="CCECFF"/>
          </w:tcPr>
          <w:p>
            <w:pPr>
              <w:spacing w:after="0"/>
              <w:rPr>
                <w:sz w:val="24"/>
                <w:szCs w:val="24"/>
                <w:color w:val="auto"/>
              </w:rPr>
            </w:pPr>
          </w:p>
        </w:tc>
        <w:tc>
          <w:tcPr>
            <w:tcW w:w="84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rPr>
              <w:t>47,742</w:t>
            </w:r>
          </w:p>
        </w:tc>
        <w:tc>
          <w:tcPr>
            <w:tcW w:w="18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top w:val="single" w:sz="8" w:color="auto"/>
              <w:bottom w:val="single" w:sz="8" w:color="auto"/>
            </w:tcBorders>
            <w:shd w:val="clear" w:color="auto" w:fill="CCECFF"/>
          </w:tcPr>
          <w:p>
            <w:pPr>
              <w:spacing w:after="0"/>
              <w:rPr>
                <w:sz w:val="24"/>
                <w:szCs w:val="24"/>
                <w:color w:val="auto"/>
              </w:rPr>
            </w:pPr>
          </w:p>
        </w:tc>
        <w:tc>
          <w:tcPr>
            <w:tcW w:w="88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42,891</w:t>
            </w:r>
          </w:p>
        </w:tc>
        <w:tc>
          <w:tcPr>
            <w:tcW w:w="16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top w:val="single" w:sz="8" w:color="auto"/>
              <w:bottom w:val="single" w:sz="8" w:color="auto"/>
            </w:tcBorders>
            <w:shd w:val="clear" w:color="auto" w:fill="CCECFF"/>
          </w:tcPr>
          <w:p>
            <w:pPr>
              <w:spacing w:after="0"/>
              <w:rPr>
                <w:sz w:val="24"/>
                <w:szCs w:val="24"/>
                <w:color w:val="auto"/>
              </w:rPr>
            </w:pPr>
          </w:p>
        </w:tc>
        <w:tc>
          <w:tcPr>
            <w:tcW w:w="116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81,566</w:t>
            </w:r>
          </w:p>
        </w:tc>
        <w:tc>
          <w:tcPr>
            <w:tcW w:w="14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top w:val="single" w:sz="8" w:color="auto"/>
              <w:bottom w:val="single" w:sz="8" w:color="auto"/>
            </w:tcBorders>
            <w:shd w:val="clear" w:color="auto" w:fill="CCECFF"/>
          </w:tcPr>
          <w:p>
            <w:pPr>
              <w:spacing w:after="0"/>
              <w:rPr>
                <w:sz w:val="24"/>
                <w:szCs w:val="24"/>
                <w:color w:val="auto"/>
              </w:rPr>
            </w:pPr>
          </w:p>
        </w:tc>
        <w:tc>
          <w:tcPr>
            <w:tcW w:w="8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rPr>
              <w:t>124,457</w:t>
            </w:r>
          </w:p>
        </w:tc>
        <w:tc>
          <w:tcPr>
            <w:tcW w:w="14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top w:val="single" w:sz="8" w:color="auto"/>
              <w:bottom w:val="single" w:sz="8" w:color="auto"/>
            </w:tcBorders>
            <w:shd w:val="clear" w:color="auto" w:fill="CCECFF"/>
          </w:tcPr>
          <w:p>
            <w:pPr>
              <w:spacing w:after="0"/>
              <w:rPr>
                <w:sz w:val="24"/>
                <w:szCs w:val="24"/>
                <w:color w:val="auto"/>
              </w:rPr>
            </w:pPr>
          </w:p>
        </w:tc>
        <w:tc>
          <w:tcPr>
            <w:tcW w:w="98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rPr>
              <w:t>172,199</w:t>
            </w:r>
          </w:p>
        </w:tc>
      </w:tr>
      <w:tr>
        <w:trPr>
          <w:trHeight w:val="243"/>
        </w:trPr>
        <w:tc>
          <w:tcPr>
            <w:tcW w:w="2240" w:type="dxa"/>
            <w:vAlign w:val="bottom"/>
            <w:gridSpan w:val="3"/>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(6,258 )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(6,258 )</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(6,345 )</w:t>
            </w:r>
          </w:p>
        </w:tc>
      </w:tr>
      <w:tr>
        <w:trPr>
          <w:trHeight w:val="27"/>
        </w:trPr>
        <w:tc>
          <w:tcPr>
            <w:tcW w:w="9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960" w:type="dxa"/>
            <w:vAlign w:val="bottom"/>
            <w:shd w:val="clear" w:color="auto" w:fill="CCECFF"/>
          </w:tcPr>
          <w:p>
            <w:pPr>
              <w:ind w:left="20"/>
              <w:spacing w:after="0"/>
              <w:rPr>
                <w:sz w:val="20"/>
                <w:szCs w:val="20"/>
                <w:color w:val="auto"/>
              </w:rPr>
            </w:pPr>
            <w:r>
              <w:rPr>
                <w:rFonts w:ascii="Arial" w:cs="Arial" w:eastAsia="Arial" w:hAnsi="Arial"/>
                <w:sz w:val="18"/>
                <w:szCs w:val="18"/>
                <w:color w:val="auto"/>
              </w:rPr>
              <w:t>Loss  from</w:t>
            </w:r>
          </w:p>
        </w:tc>
        <w:tc>
          <w:tcPr>
            <w:tcW w:w="12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w w:val="93"/>
              </w:rPr>
              <w:t>equity  method</w:t>
            </w:r>
          </w:p>
        </w:tc>
        <w:tc>
          <w:tcPr>
            <w:tcW w:w="14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r>
      <w:tr>
        <w:trPr>
          <w:trHeight w:val="237"/>
        </w:trPr>
        <w:tc>
          <w:tcPr>
            <w:tcW w:w="9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w w:val="95"/>
              </w:rPr>
              <w:t>investments</w:t>
            </w:r>
          </w:p>
        </w:tc>
        <w:tc>
          <w:tcPr>
            <w:tcW w:w="116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(9,342 )</w:t>
            </w:r>
          </w:p>
        </w:tc>
        <w:tc>
          <w:tcPr>
            <w:tcW w:w="12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(3,098)</w:t>
            </w:r>
          </w:p>
        </w:tc>
        <w:tc>
          <w:tcPr>
            <w:tcW w:w="12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(12,440 )</w:t>
            </w:r>
          </w:p>
        </w:tc>
        <w:tc>
          <w:tcPr>
            <w:tcW w:w="18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8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1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6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(12,440 )</w:t>
            </w:r>
          </w:p>
        </w:tc>
      </w:tr>
      <w:tr>
        <w:trPr>
          <w:trHeight w:val="243"/>
        </w:trPr>
        <w:tc>
          <w:tcPr>
            <w:tcW w:w="2240" w:type="dxa"/>
            <w:vAlign w:val="bottom"/>
            <w:gridSpan w:val="3"/>
          </w:tcPr>
          <w:p>
            <w:pPr>
              <w:ind w:left="20"/>
              <w:spacing w:after="0"/>
              <w:rPr>
                <w:sz w:val="20"/>
                <w:szCs w:val="20"/>
                <w:color w:val="auto"/>
              </w:rPr>
            </w:pPr>
            <w:r>
              <w:rPr>
                <w:rFonts w:ascii="Arial" w:cs="Arial" w:eastAsia="Arial" w:hAnsi="Arial"/>
                <w:sz w:val="18"/>
                <w:szCs w:val="18"/>
                <w:color w:val="auto"/>
              </w:rPr>
              <w:t>Impairment of investments</w:t>
            </w:r>
          </w:p>
        </w:tc>
        <w:tc>
          <w:tcPr>
            <w:tcW w:w="1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(5,127 )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5,127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60" w:type="dxa"/>
            <w:vAlign w:val="bottom"/>
            <w:shd w:val="clear" w:color="auto" w:fill="CCECFF"/>
          </w:tcPr>
          <w:p>
            <w:pPr>
              <w:spacing w:after="0"/>
              <w:rPr>
                <w:sz w:val="23"/>
                <w:szCs w:val="23"/>
                <w:color w:val="auto"/>
              </w:rPr>
            </w:pPr>
          </w:p>
        </w:tc>
        <w:tc>
          <w:tcPr>
            <w:tcW w:w="1280" w:type="dxa"/>
            <w:vAlign w:val="bottom"/>
            <w:gridSpan w:val="2"/>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840" w:type="dxa"/>
            <w:vAlign w:val="bottom"/>
            <w:shd w:val="clear" w:color="auto" w:fill="CCECFF"/>
          </w:tcPr>
          <w:p>
            <w:pPr>
              <w:spacing w:after="0"/>
              <w:rPr>
                <w:sz w:val="23"/>
                <w:szCs w:val="23"/>
                <w:color w:val="auto"/>
              </w:rPr>
            </w:pPr>
          </w:p>
        </w:tc>
        <w:tc>
          <w:tcPr>
            <w:tcW w:w="12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60" w:type="dxa"/>
            <w:vAlign w:val="bottom"/>
            <w:shd w:val="clear" w:color="auto" w:fill="CCECFF"/>
          </w:tcPr>
          <w:p>
            <w:pPr>
              <w:spacing w:after="0"/>
              <w:rPr>
                <w:sz w:val="23"/>
                <w:szCs w:val="23"/>
                <w:color w:val="auto"/>
              </w:rPr>
            </w:pPr>
          </w:p>
        </w:tc>
        <w:tc>
          <w:tcPr>
            <w:tcW w:w="12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84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88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16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86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980" w:type="dxa"/>
            <w:vAlign w:val="bottom"/>
            <w:shd w:val="clear" w:color="auto" w:fill="CCECFF"/>
          </w:tcPr>
          <w:p>
            <w:pPr>
              <w:spacing w:after="0"/>
              <w:rPr>
                <w:sz w:val="23"/>
                <w:szCs w:val="23"/>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Financial</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w w:val="96"/>
              </w:rPr>
              <w:t>Information:</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2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2240" w:type="dxa"/>
            <w:vAlign w:val="bottom"/>
            <w:gridSpan w:val="3"/>
            <w:shd w:val="clear" w:color="auto" w:fill="CCECFF"/>
          </w:tcPr>
          <w:p>
            <w:pPr>
              <w:ind w:left="28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25,794</w:t>
            </w: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4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25,794</w:t>
            </w:r>
          </w:p>
        </w:tc>
        <w:tc>
          <w:tcPr>
            <w:tcW w:w="1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5,286</w:t>
            </w: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5,286</w:t>
            </w:r>
          </w:p>
        </w:tc>
        <w:tc>
          <w:tcPr>
            <w:tcW w:w="1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31,080</w:t>
            </w:r>
          </w:p>
        </w:tc>
      </w:tr>
      <w:tr>
        <w:trPr>
          <w:trHeight w:val="27"/>
        </w:trPr>
        <w:tc>
          <w:tcPr>
            <w:tcW w:w="960" w:type="dxa"/>
            <w:vAlign w:val="bottom"/>
            <w:shd w:val="clear" w:color="auto" w:fill="CCECFF"/>
          </w:tcPr>
          <w:p>
            <w:pPr>
              <w:spacing w:after="0"/>
              <w:rPr>
                <w:sz w:val="2"/>
                <w:szCs w:val="2"/>
                <w:color w:val="auto"/>
              </w:rPr>
            </w:pPr>
          </w:p>
        </w:tc>
        <w:tc>
          <w:tcPr>
            <w:tcW w:w="1160" w:type="dxa"/>
            <w:vAlign w:val="bottom"/>
            <w:shd w:val="clear" w:color="auto" w:fill="CCECFF"/>
          </w:tcPr>
          <w:p>
            <w:pPr>
              <w:spacing w:after="0"/>
              <w:rPr>
                <w:sz w:val="2"/>
                <w:szCs w:val="2"/>
                <w:color w:val="auto"/>
              </w:rPr>
            </w:pPr>
          </w:p>
        </w:tc>
        <w:tc>
          <w:tcPr>
            <w:tcW w:w="12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840" w:type="dxa"/>
            <w:vAlign w:val="bottom"/>
            <w:shd w:val="clear" w:color="auto" w:fill="CCECFF"/>
          </w:tcPr>
          <w:p>
            <w:pPr>
              <w:spacing w:after="0"/>
              <w:rPr>
                <w:sz w:val="2"/>
                <w:szCs w:val="2"/>
                <w:color w:val="auto"/>
              </w:rPr>
            </w:pPr>
          </w:p>
        </w:tc>
        <w:tc>
          <w:tcPr>
            <w:tcW w:w="12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160" w:type="dxa"/>
            <w:vAlign w:val="bottom"/>
            <w:shd w:val="clear" w:color="auto" w:fill="CCECFF"/>
          </w:tcPr>
          <w:p>
            <w:pPr>
              <w:spacing w:after="0"/>
              <w:rPr>
                <w:sz w:val="2"/>
                <w:szCs w:val="2"/>
                <w:color w:val="auto"/>
              </w:rPr>
            </w:pPr>
          </w:p>
        </w:tc>
        <w:tc>
          <w:tcPr>
            <w:tcW w:w="12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8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88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16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86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980" w:type="dxa"/>
            <w:vAlign w:val="bottom"/>
            <w:shd w:val="clear" w:color="auto" w:fill="CCEC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892175</wp:posOffset>
            </wp:positionV>
            <wp:extent cx="16465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320" w:firstLine="8"/>
        <w:spacing w:after="0" w:line="227" w:lineRule="auto"/>
        <w:tabs>
          <w:tab w:leader="none" w:pos="187"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Includes adjustments relating to preliminary purchase price accounting, equity compensation expense, merger, integration and restructuring, certain reclassifications, impairment of investment, certain losses of foreign exchange hedging arrangements and other one-time expenses.</w:t>
      </w:r>
    </w:p>
    <w:p>
      <w:pPr>
        <w:ind w:left="192" w:hanging="192"/>
        <w:spacing w:after="0" w:line="180" w:lineRule="auto"/>
        <w:tabs>
          <w:tab w:leader="none" w:pos="192"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See the discussion of "Financial Alignment, Combined Sales &amp; Operating Results, Business Unit Structure and Constant Currency" above.</w:t>
      </w:r>
    </w:p>
    <w:p>
      <w:pPr>
        <w:spacing w:after="0" w:line="2" w:lineRule="exact"/>
        <w:rPr>
          <w:rFonts w:ascii="Arial" w:cs="Arial" w:eastAsia="Arial" w:hAnsi="Arial"/>
          <w:sz w:val="25"/>
          <w:szCs w:val="25"/>
          <w:color w:val="auto"/>
          <w:vertAlign w:val="superscript"/>
        </w:rPr>
      </w:pPr>
    </w:p>
    <w:p>
      <w:pPr>
        <w:ind w:left="192" w:hanging="192"/>
        <w:spacing w:after="0" w:line="186" w:lineRule="auto"/>
        <w:tabs>
          <w:tab w:leader="none" w:pos="192"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Numbers may not add due to rounding.</w:t>
      </w:r>
    </w:p>
    <w:p>
      <w:pPr>
        <w:spacing w:after="0" w:line="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Includes expenses directly attributable to the merger, integration, restructuring and other expenses.</w:t>
      </w:r>
    </w:p>
    <w:p>
      <w:pPr>
        <w:spacing w:after="0" w:line="157" w:lineRule="exact"/>
        <w:rPr>
          <w:sz w:val="20"/>
          <w:szCs w:val="20"/>
          <w:color w:val="auto"/>
        </w:rPr>
      </w:pPr>
    </w:p>
    <w:p>
      <w:pPr>
        <w:jc w:val="center"/>
        <w:ind w:right="-271"/>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32"/>
          </w:cols>
          <w:pgMar w:left="248" w:top="255" w:right="5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8660" w:type="dxa"/>
            <w:vAlign w:val="bottom"/>
          </w:tcPr>
          <w:p>
            <w:pPr>
              <w:ind w:left="4800"/>
              <w:spacing w:after="0"/>
              <w:rPr>
                <w:sz w:val="20"/>
                <w:szCs w:val="20"/>
                <w:color w:val="auto"/>
              </w:rPr>
            </w:pPr>
            <w:r>
              <w:rPr>
                <w:rFonts w:ascii="Arial" w:cs="Arial" w:eastAsia="Arial" w:hAnsi="Arial"/>
                <w:sz w:val="18"/>
                <w:szCs w:val="18"/>
                <w:b w:val="1"/>
                <w:bCs w:val="1"/>
                <w:color w:val="auto"/>
              </w:rPr>
              <w:t>LIVANOVA PLC</w:t>
            </w:r>
          </w:p>
        </w:tc>
        <w:tc>
          <w:tcPr>
            <w:tcW w:w="2760" w:type="dxa"/>
            <w:vAlign w:val="bottom"/>
          </w:tcPr>
          <w:p>
            <w:pPr>
              <w:spacing w:after="0"/>
              <w:rPr>
                <w:sz w:val="17"/>
                <w:szCs w:val="17"/>
                <w:color w:val="auto"/>
              </w:rPr>
            </w:pPr>
          </w:p>
        </w:tc>
      </w:tr>
      <w:tr>
        <w:trPr>
          <w:trHeight w:val="394"/>
        </w:trPr>
        <w:tc>
          <w:tcPr>
            <w:tcW w:w="8660" w:type="dxa"/>
            <w:vAlign w:val="bottom"/>
          </w:tcPr>
          <w:p>
            <w:pPr>
              <w:ind w:left="3200"/>
              <w:spacing w:after="0"/>
              <w:rPr>
                <w:sz w:val="20"/>
                <w:szCs w:val="20"/>
                <w:color w:val="auto"/>
              </w:rPr>
            </w:pPr>
            <w:r>
              <w:rPr>
                <w:rFonts w:ascii="Arial" w:cs="Arial" w:eastAsia="Arial" w:hAnsi="Arial"/>
                <w:sz w:val="18"/>
                <w:szCs w:val="18"/>
                <w:b w:val="1"/>
                <w:bCs w:val="1"/>
                <w:color w:val="auto"/>
              </w:rPr>
              <w:t>SUMMARY OF NON-GAAP</w:t>
            </w:r>
            <w:r>
              <w:rPr>
                <w:rFonts w:ascii="Arial" w:cs="Arial" w:eastAsia="Arial" w:hAnsi="Arial"/>
                <w:sz w:val="30"/>
                <w:szCs w:val="30"/>
                <w:b w:val="1"/>
                <w:bCs w:val="1"/>
                <w:color w:val="auto"/>
                <w:vertAlign w:val="superscript"/>
              </w:rPr>
              <w:t>43</w:t>
            </w:r>
            <w:r>
              <w:rPr>
                <w:rFonts w:ascii="Arial" w:cs="Arial" w:eastAsia="Arial" w:hAnsi="Arial"/>
                <w:sz w:val="18"/>
                <w:szCs w:val="18"/>
                <w:b w:val="1"/>
                <w:bCs w:val="1"/>
                <w:color w:val="auto"/>
              </w:rPr>
              <w:t xml:space="preserve"> GUIDANCE FOR FY 2016</w:t>
            </w:r>
          </w:p>
        </w:tc>
        <w:tc>
          <w:tcPr>
            <w:tcW w:w="2760" w:type="dxa"/>
            <w:vAlign w:val="bottom"/>
          </w:tcPr>
          <w:p>
            <w:pPr>
              <w:spacing w:after="0"/>
              <w:rPr>
                <w:sz w:val="24"/>
                <w:szCs w:val="24"/>
                <w:color w:val="auto"/>
              </w:rPr>
            </w:pPr>
          </w:p>
        </w:tc>
      </w:tr>
      <w:tr>
        <w:trPr>
          <w:trHeight w:val="579"/>
        </w:trPr>
        <w:tc>
          <w:tcPr>
            <w:tcW w:w="866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34"/>
        </w:trPr>
        <w:tc>
          <w:tcPr>
            <w:tcW w:w="866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70"/>
        </w:trPr>
        <w:tc>
          <w:tcPr>
            <w:tcW w:w="8660" w:type="dxa"/>
            <w:vAlign w:val="bottom"/>
            <w:shd w:val="clear" w:color="auto" w:fill="CCECFF"/>
          </w:tcPr>
          <w:p>
            <w:pPr>
              <w:ind w:left="40"/>
              <w:spacing w:after="0" w:line="269" w:lineRule="exact"/>
              <w:rPr>
                <w:sz w:val="20"/>
                <w:szCs w:val="20"/>
                <w:color w:val="auto"/>
              </w:rPr>
            </w:pPr>
            <w:r>
              <w:rPr>
                <w:rFonts w:ascii="Arial" w:cs="Arial" w:eastAsia="Arial" w:hAnsi="Arial"/>
                <w:sz w:val="18"/>
                <w:szCs w:val="18"/>
                <w:color w:val="auto"/>
              </w:rPr>
              <w:t>Net sales growth (on a constant currency basis)</w:t>
            </w:r>
            <w:r>
              <w:rPr>
                <w:rFonts w:ascii="Arial" w:cs="Arial" w:eastAsia="Arial" w:hAnsi="Arial"/>
                <w:sz w:val="30"/>
                <w:szCs w:val="30"/>
                <w:color w:val="auto"/>
                <w:vertAlign w:val="superscript"/>
              </w:rPr>
              <w:t>44</w:t>
            </w:r>
            <w:r>
              <w:rPr>
                <w:rFonts w:ascii="Arial" w:cs="Arial" w:eastAsia="Arial" w:hAnsi="Arial"/>
                <w:sz w:val="18"/>
                <w:szCs w:val="18"/>
                <w:color w:val="auto"/>
              </w:rPr>
              <w:t>:</w:t>
            </w:r>
          </w:p>
        </w:tc>
        <w:tc>
          <w:tcPr>
            <w:tcW w:w="2760" w:type="dxa"/>
            <w:vAlign w:val="bottom"/>
            <w:shd w:val="clear" w:color="auto" w:fill="CCECFF"/>
          </w:tcPr>
          <w:p>
            <w:pPr>
              <w:spacing w:after="0"/>
              <w:rPr>
                <w:sz w:val="23"/>
                <w:szCs w:val="23"/>
                <w:color w:val="auto"/>
              </w:rPr>
            </w:pP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0"/>
        </w:trPr>
        <w:tc>
          <w:tcPr>
            <w:tcW w:w="866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8"/>
                <w:szCs w:val="18"/>
                <w:color w:val="auto"/>
              </w:rPr>
              <w:t>Worldwide</w:t>
            </w:r>
          </w:p>
        </w:tc>
        <w:tc>
          <w:tcPr>
            <w:tcW w:w="27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93"/>
              </w:rPr>
              <w:t>3% to 5%</w:t>
            </w: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0"/>
        </w:trPr>
        <w:tc>
          <w:tcPr>
            <w:tcW w:w="8660" w:type="dxa"/>
            <w:vAlign w:val="bottom"/>
            <w:tcBorders>
              <w:bottom w:val="single" w:sz="8" w:color="CCECFF"/>
            </w:tcBorders>
            <w:shd w:val="clear" w:color="auto" w:fill="CCECFF"/>
          </w:tcPr>
          <w:p>
            <w:pPr>
              <w:ind w:left="960"/>
              <w:spacing w:after="0"/>
              <w:rPr>
                <w:sz w:val="20"/>
                <w:szCs w:val="20"/>
                <w:color w:val="auto"/>
              </w:rPr>
            </w:pPr>
            <w:r>
              <w:rPr>
                <w:rFonts w:ascii="Arial" w:cs="Arial" w:eastAsia="Arial" w:hAnsi="Arial"/>
                <w:sz w:val="18"/>
                <w:szCs w:val="18"/>
                <w:color w:val="auto"/>
              </w:rPr>
              <w:t>Cardiac Surgery</w:t>
            </w:r>
          </w:p>
        </w:tc>
        <w:tc>
          <w:tcPr>
            <w:tcW w:w="27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93"/>
              </w:rPr>
              <w:t>3% to 5%</w:t>
            </w: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0"/>
        </w:trPr>
        <w:tc>
          <w:tcPr>
            <w:tcW w:w="8660" w:type="dxa"/>
            <w:vAlign w:val="bottom"/>
            <w:tcBorders>
              <w:bottom w:val="single" w:sz="8" w:color="CCECFF"/>
            </w:tcBorders>
            <w:shd w:val="clear" w:color="auto" w:fill="CCECFF"/>
          </w:tcPr>
          <w:p>
            <w:pPr>
              <w:ind w:left="960"/>
              <w:spacing w:after="0"/>
              <w:rPr>
                <w:sz w:val="20"/>
                <w:szCs w:val="20"/>
                <w:color w:val="auto"/>
              </w:rPr>
            </w:pPr>
            <w:r>
              <w:rPr>
                <w:rFonts w:ascii="Arial" w:cs="Arial" w:eastAsia="Arial" w:hAnsi="Arial"/>
                <w:sz w:val="18"/>
                <w:szCs w:val="18"/>
                <w:color w:val="auto"/>
              </w:rPr>
              <w:t>Neuromodulation</w:t>
            </w:r>
          </w:p>
        </w:tc>
        <w:tc>
          <w:tcPr>
            <w:tcW w:w="27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91"/>
              </w:rPr>
              <w:t>9% to 11%</w:t>
            </w: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0"/>
        </w:trPr>
        <w:tc>
          <w:tcPr>
            <w:tcW w:w="8660" w:type="dxa"/>
            <w:vAlign w:val="bottom"/>
            <w:tcBorders>
              <w:bottom w:val="single" w:sz="8" w:color="CCECFF"/>
            </w:tcBorders>
            <w:shd w:val="clear" w:color="auto" w:fill="CCECFF"/>
          </w:tcPr>
          <w:p>
            <w:pPr>
              <w:ind w:left="960"/>
              <w:spacing w:after="0"/>
              <w:rPr>
                <w:sz w:val="20"/>
                <w:szCs w:val="20"/>
                <w:color w:val="auto"/>
              </w:rPr>
            </w:pPr>
            <w:r>
              <w:rPr>
                <w:rFonts w:ascii="Arial" w:cs="Arial" w:eastAsia="Arial" w:hAnsi="Arial"/>
                <w:sz w:val="18"/>
                <w:szCs w:val="18"/>
                <w:color w:val="auto"/>
              </w:rPr>
              <w:t>CRM</w:t>
            </w:r>
          </w:p>
        </w:tc>
        <w:tc>
          <w:tcPr>
            <w:tcW w:w="27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93"/>
              </w:rPr>
              <w:t>1% to 2%</w:t>
            </w: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0"/>
        </w:trPr>
        <w:tc>
          <w:tcPr>
            <w:tcW w:w="866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Adjusted non-GAAP gross profit (as a percentage of net sales)</w:t>
            </w:r>
          </w:p>
        </w:tc>
        <w:tc>
          <w:tcPr>
            <w:tcW w:w="27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90"/>
              </w:rPr>
              <w:t>64% to 65%</w:t>
            </w: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0"/>
        </w:trPr>
        <w:tc>
          <w:tcPr>
            <w:tcW w:w="866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Research &amp; development expenses as a percentage of sales</w:t>
            </w:r>
          </w:p>
        </w:tc>
        <w:tc>
          <w:tcPr>
            <w:tcW w:w="27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90"/>
              </w:rPr>
              <w:t>11% to 12%</w:t>
            </w: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0"/>
        </w:trPr>
        <w:tc>
          <w:tcPr>
            <w:tcW w:w="866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Adjusted non-GAAP income from operations</w:t>
            </w:r>
          </w:p>
        </w:tc>
        <w:tc>
          <w:tcPr>
            <w:tcW w:w="27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95"/>
              </w:rPr>
              <w:t>$205 million to $230 million</w:t>
            </w: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0"/>
        </w:trPr>
        <w:tc>
          <w:tcPr>
            <w:tcW w:w="866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Finance cost and losses on minority investments</w:t>
            </w:r>
          </w:p>
        </w:tc>
        <w:tc>
          <w:tcPr>
            <w:tcW w:w="27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96"/>
              </w:rPr>
              <w:t>$20 million to $25 million</w:t>
            </w: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0"/>
        </w:trPr>
        <w:tc>
          <w:tcPr>
            <w:tcW w:w="866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Adjusted non-GAAP effective tax rate</w:t>
            </w:r>
          </w:p>
        </w:tc>
        <w:tc>
          <w:tcPr>
            <w:tcW w:w="27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90"/>
              </w:rPr>
              <w:t>24% to 26%</w:t>
            </w: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0"/>
        </w:trPr>
        <w:tc>
          <w:tcPr>
            <w:tcW w:w="866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Adjusted non-GAAP earnings per share (excluding equity compensation expense)</w:t>
            </w:r>
          </w:p>
        </w:tc>
        <w:tc>
          <w:tcPr>
            <w:tcW w:w="27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90"/>
              </w:rPr>
              <w:t>$2.95 to $3.15</w:t>
            </w: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0"/>
        </w:trPr>
        <w:tc>
          <w:tcPr>
            <w:tcW w:w="866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Number of fully diluted shares</w:t>
            </w:r>
          </w:p>
        </w:tc>
        <w:tc>
          <w:tcPr>
            <w:tcW w:w="27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w w:val="96"/>
              </w:rPr>
              <w:t>Approximately 50 million</w:t>
            </w:r>
          </w:p>
        </w:tc>
      </w:tr>
      <w:tr>
        <w:trPr>
          <w:trHeight w:val="270"/>
        </w:trPr>
        <w:tc>
          <w:tcPr>
            <w:tcW w:w="86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43"/>
        </w:trPr>
        <w:tc>
          <w:tcPr>
            <w:tcW w:w="8660" w:type="dxa"/>
            <w:vAlign w:val="bottom"/>
            <w:shd w:val="clear" w:color="auto" w:fill="CCECFF"/>
          </w:tcPr>
          <w:p>
            <w:pPr>
              <w:ind w:left="40"/>
              <w:spacing w:after="0"/>
              <w:rPr>
                <w:sz w:val="20"/>
                <w:szCs w:val="20"/>
                <w:color w:val="auto"/>
              </w:rPr>
            </w:pPr>
            <w:r>
              <w:rPr>
                <w:rFonts w:ascii="Arial" w:cs="Arial" w:eastAsia="Arial" w:hAnsi="Arial"/>
                <w:sz w:val="18"/>
                <w:szCs w:val="18"/>
                <w:color w:val="auto"/>
              </w:rPr>
              <w:t>Adjusted non-GAAP EBITDA</w:t>
            </w:r>
          </w:p>
        </w:tc>
        <w:tc>
          <w:tcPr>
            <w:tcW w:w="27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5"/>
              </w:rPr>
              <w:t>$235 million to $260 million</w:t>
            </w:r>
          </w:p>
        </w:tc>
      </w:tr>
      <w:tr>
        <w:trPr>
          <w:trHeight w:val="27"/>
        </w:trPr>
        <w:tc>
          <w:tcPr>
            <w:tcW w:w="8660" w:type="dxa"/>
            <w:vAlign w:val="bottom"/>
            <w:shd w:val="clear" w:color="auto" w:fill="CCECFF"/>
          </w:tcPr>
          <w:p>
            <w:pPr>
              <w:spacing w:after="0"/>
              <w:rPr>
                <w:sz w:val="2"/>
                <w:szCs w:val="2"/>
                <w:color w:val="auto"/>
              </w:rPr>
            </w:pPr>
          </w:p>
        </w:tc>
        <w:tc>
          <w:tcPr>
            <w:tcW w:w="2760" w:type="dxa"/>
            <w:vAlign w:val="bottom"/>
            <w:shd w:val="clear" w:color="auto" w:fill="CCEC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16465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40" w:firstLine="8"/>
        <w:spacing w:after="0" w:line="242" w:lineRule="auto"/>
        <w:tabs>
          <w:tab w:leader="none" w:pos="195"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Management believes that guidance presented, which excludes certain expenses, provides investors with useful information, and may assist investors in evaluating the company's performance (see "Guidance", "Financial Alignment, Combined Sales &amp; Operating Results, Business Unit Structure and Constant Currency", and "Use of Non-GAAP Financial Measures" above).</w:t>
      </w:r>
    </w:p>
    <w:p>
      <w:pPr>
        <w:spacing w:after="0" w:line="1" w:lineRule="exact"/>
        <w:rPr>
          <w:rFonts w:ascii="Arial" w:cs="Arial" w:eastAsia="Arial" w:hAnsi="Arial"/>
          <w:sz w:val="25"/>
          <w:szCs w:val="25"/>
          <w:color w:val="auto"/>
          <w:vertAlign w:val="superscript"/>
        </w:rPr>
      </w:pPr>
    </w:p>
    <w:p>
      <w:pPr>
        <w:ind w:left="200" w:hanging="192"/>
        <w:spacing w:after="0" w:line="182" w:lineRule="auto"/>
        <w:tabs>
          <w:tab w:leader="none" w:pos="20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Management believes that referring to constant currency growth rates is a more appropriate way to evaluate operational performance.</w:t>
      </w:r>
    </w:p>
    <w:p>
      <w:pPr>
        <w:jc w:val="center"/>
        <w:spacing w:after="0"/>
        <w:rPr>
          <w:sz w:val="20"/>
          <w:szCs w:val="20"/>
          <w:color w:val="auto"/>
        </w:rPr>
      </w:pPr>
      <w:r>
        <w:rPr>
          <w:rFonts w:ascii="Arial" w:cs="Arial" w:eastAsia="Arial" w:hAnsi="Arial"/>
          <w:sz w:val="14"/>
          <w:szCs w:val="14"/>
          <w:color w:val="auto"/>
        </w:rPr>
        <w:t>20</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Letter"/>
      <w:start w:val="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bullet"/>
      <w:start w:val="1"/>
    </w:lvl>
  </w:abstractNum>
  <w:abstractNum w:abstractNumId="3">
    <w:nsid w:val="DED7263"/>
    <w:multiLevelType w:val="hybridMultilevel"/>
    <w:lvl w:ilvl="0">
      <w:lvlJc w:val="left"/>
      <w:lvlText w:val="2"/>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4"/>
      <w:numFmt w:val="bullet"/>
      <w:start w:val="1"/>
    </w:lvl>
  </w:abstractNum>
  <w:abstractNum w:abstractNumId="6">
    <w:nsid w:val="41A7C4C9"/>
    <w:multiLevelType w:val="hybridMultilevel"/>
    <w:lvl w:ilvl="0">
      <w:lvlJc w:val="left"/>
      <w:lvlText w:val="5"/>
      <w:numFmt w:val="bullet"/>
      <w:start w:val="1"/>
    </w:lvl>
  </w:abstractNum>
  <w:abstractNum w:abstractNumId="7">
    <w:nsid w:val="6B68079A"/>
    <w:multiLevelType w:val="hybridMultilevel"/>
    <w:lvl w:ilvl="0">
      <w:lvlJc w:val="left"/>
      <w:lvlText w:val="8"/>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9"/>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lvl w:ilvl="1">
      <w:lvlJc w:val="left"/>
      <w:lvlText w:val="·"/>
      <w:numFmt w:val="bullet"/>
      <w:start w:val="1"/>
    </w:lvl>
  </w:abstractNum>
  <w:abstractNum w:abstractNumId="12">
    <w:nsid w:val="3F2DBA31"/>
    <w:multiLevelType w:val="hybridMultilevel"/>
    <w:lvl w:ilvl="0">
      <w:lvlJc w:val="left"/>
      <w:lvlText w:val="(%1)"/>
      <w:numFmt w:val="lowerRoman"/>
      <w:start w:val="4"/>
    </w:lvl>
  </w:abstractNum>
  <w:abstractNum w:abstractNumId="13">
    <w:nsid w:val="7C83E458"/>
    <w:multiLevelType w:val="hybridMultilevel"/>
    <w:lvl w:ilvl="0">
      <w:lvlJc w:val="left"/>
      <w:lvlText w:val="%1"/>
      <w:numFmt w:val="decimal"/>
      <w:start w:val="10"/>
    </w:lvl>
    <w:lvl w:ilvl="1">
      <w:lvlJc w:val="left"/>
      <w:lvlText w:val="·"/>
      <w:numFmt w:val="bullet"/>
      <w:start w:val="1"/>
    </w:lvl>
  </w:abstractNum>
  <w:abstractNum w:abstractNumId="14">
    <w:nsid w:val="257130A3"/>
    <w:multiLevelType w:val="hybridMultilevel"/>
    <w:lvl w:ilvl="0">
      <w:lvlJc w:val="left"/>
      <w:lvlText w:val="%1"/>
      <w:numFmt w:val="decimal"/>
      <w:start w:val="11"/>
    </w:lvl>
  </w:abstractNum>
  <w:abstractNum w:abstractNumId="15">
    <w:nsid w:val="62BBD95A"/>
    <w:multiLevelType w:val="hybridMultilevel"/>
    <w:lvl w:ilvl="0">
      <w:lvlJc w:val="left"/>
      <w:lvlText w:val="%1"/>
      <w:numFmt w:val="decimal"/>
      <w:start w:val="14"/>
    </w:lvl>
  </w:abstractNum>
  <w:abstractNum w:abstractNumId="16">
    <w:nsid w:val="436C6125"/>
    <w:multiLevelType w:val="hybridMultilevel"/>
    <w:lvl w:ilvl="0">
      <w:lvlJc w:val="left"/>
      <w:lvlText w:val="%1"/>
      <w:numFmt w:val="decimal"/>
      <w:start w:val="17"/>
    </w:lvl>
  </w:abstractNum>
  <w:abstractNum w:abstractNumId="17">
    <w:nsid w:val="628C895D"/>
    <w:multiLevelType w:val="hybridMultilevel"/>
    <w:lvl w:ilvl="0">
      <w:lvlJc w:val="left"/>
      <w:lvlText w:val="%1"/>
      <w:numFmt w:val="decimal"/>
      <w:start w:val="20"/>
    </w:lvl>
  </w:abstractNum>
  <w:abstractNum w:abstractNumId="18">
    <w:nsid w:val="333AB105"/>
    <w:multiLevelType w:val="hybridMultilevel"/>
    <w:lvl w:ilvl="0">
      <w:lvlJc w:val="left"/>
      <w:lvlText w:val="%1"/>
      <w:numFmt w:val="decimal"/>
      <w:start w:val="23"/>
    </w:lvl>
  </w:abstractNum>
  <w:abstractNum w:abstractNumId="19">
    <w:nsid w:val="721DA317"/>
    <w:multiLevelType w:val="hybridMultilevel"/>
    <w:lvl w:ilvl="0">
      <w:lvlJc w:val="left"/>
      <w:lvlText w:val="%1"/>
      <w:numFmt w:val="decimal"/>
      <w:start w:val="27"/>
    </w:lvl>
  </w:abstractNum>
  <w:abstractNum w:abstractNumId="20">
    <w:nsid w:val="2443A858"/>
    <w:multiLevelType w:val="hybridMultilevel"/>
    <w:lvl w:ilvl="0">
      <w:lvlJc w:val="left"/>
      <w:lvlText w:val="%1"/>
      <w:numFmt w:val="decimal"/>
      <w:start w:val="31"/>
    </w:lvl>
  </w:abstractNum>
  <w:abstractNum w:abstractNumId="21">
    <w:nsid w:val="2D1D5AE9"/>
    <w:multiLevelType w:val="hybridMultilevel"/>
    <w:lvl w:ilvl="0">
      <w:lvlJc w:val="left"/>
      <w:lvlText w:val="%1"/>
      <w:numFmt w:val="decimal"/>
      <w:start w:val="35"/>
    </w:lvl>
  </w:abstractNum>
  <w:abstractNum w:abstractNumId="22">
    <w:nsid w:val="6763845E"/>
    <w:multiLevelType w:val="hybridMultilevel"/>
    <w:lvl w:ilvl="0">
      <w:lvlJc w:val="left"/>
      <w:lvlText w:val="%1"/>
      <w:numFmt w:val="decimal"/>
      <w:start w:val="39"/>
    </w:lvl>
  </w:abstractNum>
  <w:abstractNum w:abstractNumId="23">
    <w:nsid w:val="75A2A8D4"/>
    <w:multiLevelType w:val="hybridMultilevel"/>
    <w:lvl w:ilvl="0">
      <w:lvlJc w:val="left"/>
      <w:lvlText w:val="%1"/>
      <w:numFmt w:val="decimal"/>
      <w:start w:val="4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2019-12-09T02:28:59Z</dcterms:created>
  <dcterms:modified xsi:type="dcterms:W3CDTF">2019-12-09T02:28:59Z</dcterms:modified>
</cp:coreProperties>
</file>