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w:t>
      </w:r>
    </w:p>
    <w:p>
      <w:pPr>
        <w:ind w:left="38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Date of Report (Date of earliest event reported):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England and Wales</w:t>
            </w:r>
          </w:p>
        </w:tc>
        <w:tc>
          <w:tcPr>
            <w:tcW w:w="5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176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of Incorporation)</w:t>
            </w:r>
          </w:p>
        </w:tc>
        <w:tc>
          <w:tcPr>
            <w:tcW w:w="5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76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76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rPr>
              <w:t>N/A</w:t>
            </w:r>
          </w:p>
        </w:tc>
        <w:tc>
          <w:tcPr>
            <w:tcW w:w="176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5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r>
        <w:trPr>
          <w:trHeight w:val="263"/>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Ordinary Shares - £1.00 par value per share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LIVN</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3, 2021, LivaNova PLC (together with its consolidated subsidiaries, the “Company”) entered into an underwriting agreement (the “Underwriting Agreement”) with Goldman Sachs &amp; Co. LLC, Barclays Capital Inc. and UBS Securities LLC as representatives of the several underwriters listed on Schedule I thereto (the “Underwriters”), relating to the Company’s underwritten offering of 3,636,364 ordinary shares, par value ₤1.00 per share (“Ordinary Shares”). The Company also granted the underwriters a 30-day option to acquire up to 545,454 additional Ordinary Shares on the same terms as the initial shares. The Underwriting Agreement is filed herewith as Exhibit 1.1.</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offering of the Ordinary Shares was made pursuant to a shelf registration statement filed with the U.S. Securities and Exchange Commission on Form S-3 (File No. 333-258359). The underwriters exercised their option to acquire additional Ordinary Shares in full, and on August 6, 2021, the Company closed the offering of the ordinary shares. 4,181,818 Ordinary Shares were issued and delivered at closing. The net proceeds of the offering were approximately $322.4 million after deducting underwriting discounts and commissions and estimated offering expenses payable by the Company.</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opinion of Cleary Gottlieb Steen &amp; Hamilton LLP relating to the validity of the ordinary shares offered and sold pursuant to the Underwriting Agreement is filed herewith as Exhibit 5.1.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 pricing of the offering is filed herewith as Exhibit 99.1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w w:val="91"/>
              </w:rPr>
              <w:t>Exhibit No.</w:t>
            </w:r>
          </w:p>
        </w:tc>
        <w:tc>
          <w:tcPr>
            <w:tcW w:w="480" w:type="dxa"/>
            <w:vAlign w:val="bottom"/>
          </w:tcPr>
          <w:p>
            <w:pPr>
              <w:spacing w:after="0"/>
              <w:rPr>
                <w:sz w:val="17"/>
                <w:szCs w:val="17"/>
                <w:color w:val="auto"/>
              </w:rPr>
            </w:pPr>
          </w:p>
        </w:tc>
        <w:tc>
          <w:tcPr>
            <w:tcW w:w="988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7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Underwriting Agreement, dated August 3, 2021, by and between LivaNova PLC and Goldman Sachs &amp; Co. LLC, Barclays Capital Inc.</w:t>
              </w:r>
            </w:hyperlink>
          </w:p>
        </w:tc>
        <w:tc>
          <w:tcPr>
            <w:tcW w:w="120" w:type="dxa"/>
            <w:vAlign w:val="bottom"/>
          </w:tcPr>
          <w:p>
            <w:pPr>
              <w:spacing w:after="0"/>
              <w:rPr>
                <w:sz w:val="18"/>
                <w:szCs w:val="18"/>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UBS Securities LLC as representatives of the underwriters listed on Schedule I thereto.</w:t>
              </w:r>
            </w:hyperlink>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Opinion of Cleary Gottlieb Steen &amp; Hamilton LLP.</w:t>
              </w:r>
            </w:hyperlink>
          </w:p>
        </w:tc>
        <w:tc>
          <w:tcPr>
            <w:tcW w:w="3300" w:type="dxa"/>
            <w:vAlign w:val="bottom"/>
            <w:gridSpan w:val="2"/>
          </w:tcPr>
          <w:p>
            <w:pPr>
              <w:spacing w:after="0"/>
              <w:rPr>
                <w:sz w:val="17"/>
                <w:szCs w:val="17"/>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Consent of Cleary Gottlieb Steen &amp; Hamilton LLP (included in Exhibit 5.1).</w:t>
              </w:r>
            </w:hyperlink>
          </w:p>
        </w:tc>
        <w:tc>
          <w:tcPr>
            <w:tcW w:w="4360" w:type="dxa"/>
            <w:vAlign w:val="bottom"/>
            <w:gridSpan w:val="3"/>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Press Release, dated August 3, 2021.</w:t>
              </w:r>
            </w:hyperlink>
          </w:p>
        </w:tc>
        <w:tc>
          <w:tcPr>
            <w:tcW w:w="7220" w:type="dxa"/>
            <w:vAlign w:val="bottom"/>
            <w:gridSpan w:val="5"/>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LIVANOVA PLC.</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6, 2021</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Keyna Skeffington</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Keyna Skeffington</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r>
        <w:trPr>
          <w:trHeight w:val="675"/>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(the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LivaNova PLC, a company incorporated in England and Wales with the registration number 09451374 (the “Company”), proposes, subject to the terms and conditions stated in this agreement (this “Agreement”), to issue to the Underwriters named in Schedule I hereto (the “Underwriters”) ordinary shares with a nominal value of £1 each in the Company (“Ordinary Shares”) as follows: (i) an aggregate of 3,636,364 Ordinary Shares (the “Firm Securities”) in consideration for the transfer by the Subscribing Underwriter (as defined below) to the Company of the JerseyCo Firm Ordinary Shares (as defined below) and the JerseyCo Firm Preference Shares (as defined below); and (ii) at the election of the Underwriters, up to 545,454 additional Ordinary Shares (the “Optional Securities”)(the Firm Securities and the Optional Securities that the Underwriters elect to acquire pursuant to Section 2 hereof being collectively called the “Securities”) in consideration for the transfer by the Subscribing Underwriter (as defined below) to the Company of the JerseyCo Option Preference Shares (as defined below) and, if applicable, the JerseyCo Option Ordinary Shares (as defined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648"/>
        <w:spacing w:after="0" w:line="286" w:lineRule="auto"/>
        <w:rPr>
          <w:sz w:val="20"/>
          <w:szCs w:val="20"/>
          <w:color w:val="auto"/>
        </w:rPr>
      </w:pPr>
      <w:r>
        <w:rPr>
          <w:rFonts w:ascii="Arial" w:cs="Arial" w:eastAsia="Arial" w:hAnsi="Arial"/>
          <w:sz w:val="16"/>
          <w:szCs w:val="16"/>
          <w:color w:val="auto"/>
        </w:rPr>
        <w:t>In connection with the issue of the Securities to the Underwriters pursuant hereto, the Company, Goldman Sachs &amp; Co. LLC (the “Subscribing Underwriter”), and Project Tau Funding Limited, a company organized under the laws of Jersey (“JerseyCo”), have on or around the date hereof entered into: (i) an Option Agreement (the “Option Agreement”), pursuant to which, among other things, the Subscribing Underwriter has agreed to acquire a number of ordinary shares of $1 par value in JerseyCo (“JerseyCo Firm Ordinary Shares”); and (ii) a Subscription and Transfer Agreement (the “Subscription and Transfer Agreement”), pursuant to which, among other things, the Subscribing Underwriter has agreed to acquire a number of fixed rate redeemable preference shares of $1 par value in JerseyCo (the “JerseyCo Firm Preference Shares”), and, in connection with any exercise of the option to acquire Option Securities hereunder, an additional number of fixed rate redeemable preference shares of $1 par value in JerseyCo (the “JerseyCo Option Preference Shares” and, together with the JerseyCo Firm Preference Shares, the “JerseyCo Preference Shares”) and, in certain circumstances, a number of additional ordinary shares of $1 par value in JerseyCo (the “JerseyCo Option Ordinary Shares” and, together with the JerseyCo Firm Ordinary Shares, the “JerseyCo Ordinary Shares”), which JerseyCo Preference Shares, together with the JerseyCo Ordinary Shares, if any, held by the Subscribing Underwriter or acquired pursuant to the Subscription and Transfer Agreement will be delivered by the Subscribing Underwriter, on behalf of the Underwriters, to the Company in consideration for the issue of the Securities to the Underwriters in accordance with the terms hereof. References herein to (A) the “Transaction Documents” shall mean this Agreement, the Option Agreement and the Subscription and Transfer Agreement; and (B) “JerseyCo Securities” shall mean the JerseyCo Ordinary Shares and the JerseyCo Preference Shares.</w:t>
      </w:r>
    </w:p>
    <w:p>
      <w:pPr>
        <w:spacing w:after="0" w:line="171" w:lineRule="exact"/>
        <w:rPr>
          <w:sz w:val="20"/>
          <w:szCs w:val="20"/>
          <w:color w:val="auto"/>
        </w:rPr>
      </w:pPr>
    </w:p>
    <w:p>
      <w:pPr>
        <w:ind w:left="1340" w:hanging="68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225" w:lineRule="exact"/>
        <w:rPr>
          <w:rFonts w:ascii="Arial" w:cs="Arial" w:eastAsia="Arial" w:hAnsi="Arial"/>
          <w:sz w:val="18"/>
          <w:szCs w:val="18"/>
          <w:color w:val="auto"/>
        </w:rPr>
      </w:pPr>
    </w:p>
    <w:p>
      <w:pPr>
        <w:jc w:val="both"/>
        <w:ind w:left="660" w:firstLine="644"/>
        <w:spacing w:after="0" w:line="284" w:lineRule="auto"/>
        <w:tabs>
          <w:tab w:leader="none" w:pos="2237" w:val="left"/>
        </w:tabs>
        <w:numPr>
          <w:ilvl w:val="1"/>
          <w:numId w:val="2"/>
        </w:numPr>
        <w:rPr>
          <w:rFonts w:ascii="Arial" w:cs="Arial" w:eastAsia="Arial" w:hAnsi="Arial"/>
          <w:sz w:val="16"/>
          <w:szCs w:val="16"/>
          <w:color w:val="auto"/>
        </w:rPr>
      </w:pPr>
      <w:r>
        <w:rPr>
          <w:rFonts w:ascii="Arial" w:cs="Arial" w:eastAsia="Arial" w:hAnsi="Arial"/>
          <w:sz w:val="16"/>
          <w:szCs w:val="16"/>
          <w:color w:val="auto"/>
        </w:rPr>
        <w:t>An “automatic shelf registration statement” as defined under Rule 405 under the Securities Act of 1933, as amended (the “Act”) on Form S-3 (File No. 333-258359) in respect of the Securities has been filed with the Securities and Exchange Commission (the “Commission”)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Securities filed with the Commission pursuant to Rule 424(b) under the Act is hereinafter called a “Preliminary Prospectus”; the various parts of such registration statement, including all exhibits thereto and including any prospectus supplement relating to the Securities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Securities is hereinafter called an “Issuer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left="-460" w:firstLine="644"/>
        <w:spacing w:after="0" w:line="273" w:lineRule="auto"/>
        <w:tabs>
          <w:tab w:leader="none" w:pos="974" w:val="left"/>
        </w:tabs>
        <w:numPr>
          <w:ilvl w:val="0"/>
          <w:numId w:val="3"/>
        </w:numPr>
        <w:rPr>
          <w:rFonts w:ascii="Arial" w:cs="Arial" w:eastAsia="Arial" w:hAnsi="Arial"/>
          <w:sz w:val="17"/>
          <w:szCs w:val="17"/>
          <w:color w:val="auto"/>
        </w:rPr>
      </w:pPr>
      <w:r>
        <w:rPr>
          <w:rFonts w:ascii="Arial" w:cs="Arial" w:eastAsia="Arial" w:hAnsi="Arial"/>
          <w:sz w:val="17"/>
          <w:szCs w:val="17"/>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9(c));</w:t>
      </w:r>
    </w:p>
    <w:p>
      <w:pPr>
        <w:spacing w:after="0" w:line="177" w:lineRule="exact"/>
        <w:rPr>
          <w:rFonts w:ascii="Arial" w:cs="Arial" w:eastAsia="Arial" w:hAnsi="Arial"/>
          <w:sz w:val="17"/>
          <w:szCs w:val="17"/>
          <w:color w:val="auto"/>
        </w:rPr>
      </w:pPr>
    </w:p>
    <w:p>
      <w:pPr>
        <w:jc w:val="both"/>
        <w:ind w:left="-460" w:firstLine="644"/>
        <w:spacing w:after="0" w:line="269" w:lineRule="auto"/>
        <w:tabs>
          <w:tab w:leader="none" w:pos="104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7:00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3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 w:name="page7"/>
    <w:bookmarkEnd w:id="6"/>
    <w:p>
      <w:pPr>
        <w:jc w:val="both"/>
        <w:ind w:left="-460" w:firstLine="644"/>
        <w:spacing w:after="0" w:line="269" w:lineRule="auto"/>
        <w:tabs>
          <w:tab w:leader="none" w:pos="96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and no such or any other documents were filed with the Commission since the Commission’s close of business on the business day immediately prior to the date of this Agreement and prior to the execution of this Agreement, except as set forth on Schedule II(c) hereto;</w:t>
      </w:r>
    </w:p>
    <w:p>
      <w:pPr>
        <w:spacing w:after="0" w:line="178" w:lineRule="exact"/>
        <w:rPr>
          <w:rFonts w:ascii="Arial" w:cs="Arial" w:eastAsia="Arial" w:hAnsi="Arial"/>
          <w:sz w:val="17"/>
          <w:szCs w:val="17"/>
          <w:color w:val="auto"/>
        </w:rPr>
      </w:pPr>
    </w:p>
    <w:p>
      <w:pPr>
        <w:jc w:val="both"/>
        <w:ind w:left="-460" w:firstLine="644"/>
        <w:spacing w:after="0" w:line="254" w:lineRule="auto"/>
        <w:tabs>
          <w:tab w:leader="none" w:pos="10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 w:name="page8"/>
    <w:bookmarkEnd w:id="7"/>
    <w:p>
      <w:pPr>
        <w:jc w:val="both"/>
        <w:ind w:left="4" w:firstLine="644"/>
        <w:spacing w:after="0" w:line="287" w:lineRule="auto"/>
        <w:tabs>
          <w:tab w:leader="none" w:pos="1346" w:val="left"/>
        </w:tabs>
        <w:numPr>
          <w:ilvl w:val="1"/>
          <w:numId w:val="5"/>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Pricing Prospectus, (i) there has not been any material adverse change in or affecting the business of the Company and its subsidiaries taken as a whole from fire, explosion, flood or other calamity, whether or not covered by insurance, or from any labor dispute or court or governmental action, order or decree and</w:t>
      </w:r>
    </w:p>
    <w:p>
      <w:pPr>
        <w:spacing w:after="0" w:line="2" w:lineRule="exact"/>
        <w:rPr>
          <w:rFonts w:ascii="Arial" w:cs="Arial" w:eastAsia="Arial" w:hAnsi="Arial"/>
          <w:sz w:val="16"/>
          <w:szCs w:val="16"/>
          <w:color w:val="auto"/>
        </w:rPr>
      </w:pPr>
    </w:p>
    <w:p>
      <w:pPr>
        <w:jc w:val="both"/>
        <w:ind w:left="4" w:hanging="4"/>
        <w:spacing w:after="0" w:line="267" w:lineRule="auto"/>
        <w:tabs>
          <w:tab w:leader="none" w:pos="296"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the case of each of clauses (i) and (ii) otherwise than as set forth or contemplated in the Pricing Prospectus; and, since the respective dates as of which information is given in the Registration Statement and the Pricing Prospectus, there has not been (x) any change in the issued share capital of the Company (other than as a result of the grant or exercise, if any, of options awards in the ordinary course of business pursuant to the Company’s equity plans that are described in the Pricing Prospectus and the Prospectus, or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shareholders’ equity or results of operations of the Company and its subsidiaries, taken as a whole, except as set forth or contemplated in the Pricing Prospectus, or (ii) the ability of the Company or JerseyCo to perform their respective obligations under the Transaction Documents, including, without limitation, the offer, issuance and sale of the Securities or the allotment, issuance and transfer of the JerseyCo Securities, or to consummate the transactions contemplated in the Pricing Prospectus and the Prospectus;</w:t>
      </w:r>
    </w:p>
    <w:p>
      <w:pPr>
        <w:spacing w:after="0" w:line="182" w:lineRule="exact"/>
        <w:rPr>
          <w:rFonts w:ascii="Arial" w:cs="Arial" w:eastAsia="Arial" w:hAnsi="Arial"/>
          <w:sz w:val="17"/>
          <w:szCs w:val="17"/>
          <w:color w:val="auto"/>
        </w:rPr>
      </w:pPr>
    </w:p>
    <w:p>
      <w:pPr>
        <w:jc w:val="both"/>
        <w:ind w:left="4" w:firstLine="644"/>
        <w:spacing w:after="0" w:line="273" w:lineRule="auto"/>
        <w:tabs>
          <w:tab w:leader="none" w:pos="1312"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77" w:lineRule="exact"/>
        <w:rPr>
          <w:rFonts w:ascii="Arial" w:cs="Arial" w:eastAsia="Arial" w:hAnsi="Arial"/>
          <w:sz w:val="17"/>
          <w:szCs w:val="17"/>
          <w:color w:val="auto"/>
        </w:rPr>
      </w:pPr>
    </w:p>
    <w:p>
      <w:pPr>
        <w:jc w:val="both"/>
        <w:ind w:left="4" w:firstLine="644"/>
        <w:spacing w:after="0" w:line="254" w:lineRule="auto"/>
        <w:tabs>
          <w:tab w:leader="none" w:pos="145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each of its subsidiaries that constitutes a “significant subsidiary” under Regulation S-X (each, a “Significant Subsidiary”) and JerseyCo each (i) has been duly organized and is validly existing and in good standing under the laws of its respective jurisdiction of organization, with power and authority (corporate and other) to own its properties and conduct its business as described in the Pricing Prospectus, and (ii) is duly qualified as a foreign corporation for the transaction of business and is in good standing, if applicable, under the laws of each jurisdiction in which its respective ownership or lease of properties or the conduct of its respective business requires such qualification, except, in the case of these clauses (i) and (ii), where the failure to be so qualified or in good standing or have such power or authority would not, individually or in the aggregate, be reasonably likely to result in a Material Adverse Effect; and each Significant Subsidiary of the Company has been listed in the Registration Statement;</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 w:name="page9"/>
    <w:bookmarkEnd w:id="8"/>
    <w:p>
      <w:pPr>
        <w:jc w:val="both"/>
        <w:ind w:left="4" w:firstLine="644"/>
        <w:spacing w:after="0" w:line="287" w:lineRule="auto"/>
        <w:tabs>
          <w:tab w:leader="none" w:pos="133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has an issued share capital as set forth in the Pricing Prospectus and all of the issued shares of the Company have been duly and validly authorized and issued and are fully paid and non-assessable and conform to the description of the Ordinary Shares contained in the Pricing Disclosure Package and the Prospectus; and all of the issued shares of capital stock of each Significant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 and the Securities to be issued and sold by the Company to the Underwriters hereunder have been duly and validly authorized and, when issued and delivered against transfer of the JerseyCo Ordinary Shares and JerseyCo Preference Shares as provided in this Agreement and the Subscription and Transfer Agreement, will be duly and validly issued and fully paid and non-assessable and will conform to the description of the Ordinary Shares contained in the Pricing Disclosure Package and the Prospectus; and the issuance of the Securities is not subject to any preemptive or similar rights; provided that for the purposes of this paragraph, “non-assessable” shall mean that no further contributions in respect of the relevant securities will be required to be made to the relevant issuer thereof by the holders thereof, by reason solely of their being such holders;</w:t>
      </w:r>
    </w:p>
    <w:p>
      <w:pPr>
        <w:spacing w:after="0" w:line="167" w:lineRule="exact"/>
        <w:rPr>
          <w:rFonts w:ascii="Arial" w:cs="Arial" w:eastAsia="Arial" w:hAnsi="Arial"/>
          <w:sz w:val="16"/>
          <w:szCs w:val="16"/>
          <w:color w:val="auto"/>
        </w:rPr>
      </w:pPr>
    </w:p>
    <w:p>
      <w:pPr>
        <w:ind w:left="1364" w:hanging="716"/>
        <w:spacing w:after="0"/>
        <w:tabs>
          <w:tab w:leader="none" w:pos="1364" w:val="left"/>
        </w:tabs>
        <w:numPr>
          <w:ilvl w:val="1"/>
          <w:numId w:val="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 w:firstLine="644"/>
        <w:spacing w:after="0" w:line="284" w:lineRule="auto"/>
        <w:tabs>
          <w:tab w:leader="none" w:pos="1527"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issue and sale of the Securities and the compliance by the Company with this Agreement, the allotment, issuance and transfer of the JerseyCo Securities as contemplated by the Transaction Documents, the performance by the Company or JerseyCo of their respective obligations under the Transaction Documents, the fulfilment by the Company or JerseyCo of the terms of the Transaction Documents and the consummation of the transactions contemplated in the Transaction Documents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w:t>
      </w:r>
    </w:p>
    <w:p>
      <w:pPr>
        <w:spacing w:after="0" w:line="2" w:lineRule="exact"/>
        <w:rPr>
          <w:rFonts w:ascii="Arial" w:cs="Arial" w:eastAsia="Arial" w:hAnsi="Arial"/>
          <w:sz w:val="16"/>
          <w:szCs w:val="16"/>
          <w:color w:val="auto"/>
        </w:rPr>
      </w:pPr>
    </w:p>
    <w:p>
      <w:pPr>
        <w:jc w:val="both"/>
        <w:ind w:left="4" w:hanging="4"/>
        <w:spacing w:after="0" w:line="285" w:lineRule="auto"/>
        <w:tabs>
          <w:tab w:leader="none" w:pos="306"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such defaults, breaches, or violations that would not, individually or in the aggregate, be reasonably likely to result in a Material Adverse Effect, (B) the articles of association of the Company or any certificate of incorporation or by-laws (or other applicable organizational document) of any Significant Subsidiary or JerseyCo, or (C) any statute or any judgment, order, rule or regulation of any court or governmental agency or body having jurisdiction over the Company or any of its subsidiaries or any of their properties except, in the case of this clause (C) for such defaults, breaches, or violations that would not, individually or in the aggregate, be reasonably likely to result in a Material Adverse Effect; and no consent (other than the consent of the Jersey Financial Services Commission under the Control of Borrowing (Jersey) Order 1958, as amended, which has already been obtained), approval, authorization, order, filing (other than the filing of one or more Form(s) SH01 with Companies House in the United Kingdom in respect of the Securities), registration or qualification of or with any such court or governmental agency or body is required for the issue and sale of the Securities, the allotment, issuance and transfer of the JerseyCo Securities as contemplated by the Transaction Documents, or the performance by the Company or JerseyCo of their respective obligations under the Transaction Documents or the consummation by the Company and JerseyCo of the transactions contemplated by the Transaction Documents, except such as have been obtained under the Act and for such consents, approvals, authorizations, orders, registrations or qualifications as may be required under state securities or Blue Sky laws in connection with the acquisition and distribution of the Securities by the Underwriters;</w:t>
      </w:r>
    </w:p>
    <w:p>
      <w:pPr>
        <w:spacing w:after="0" w:line="38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jc w:val="both"/>
        <w:ind w:left="-460" w:firstLine="644"/>
        <w:spacing w:after="0" w:line="254" w:lineRule="auto"/>
        <w:tabs>
          <w:tab w:leader="none" w:pos="1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 of the Company, any of the Significant Subsidiaries and JerseyCo is (i) in violation of its articles of association, certificate of incorporation or by-laws (or other applicable organization document), (ii) in violation of any statute or any judgment, order, rule or regulation of any court or governmental agency or body having jurisdiction over the Company, any of its subsidiaries, JerseyCo or any of their respective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be reasonably likely to result in a Material Adverse Effect;</w:t>
      </w:r>
    </w:p>
    <w:p>
      <w:pPr>
        <w:spacing w:after="0" w:line="194" w:lineRule="exact"/>
        <w:rPr>
          <w:rFonts w:ascii="Arial" w:cs="Arial" w:eastAsia="Arial" w:hAnsi="Arial"/>
          <w:sz w:val="18"/>
          <w:szCs w:val="18"/>
          <w:color w:val="auto"/>
        </w:rPr>
      </w:pPr>
    </w:p>
    <w:p>
      <w:pPr>
        <w:jc w:val="both"/>
        <w:ind w:left="-460" w:firstLine="644"/>
        <w:spacing w:after="0" w:line="293" w:lineRule="auto"/>
        <w:tabs>
          <w:tab w:leader="none" w:pos="86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statements set forth in the Pricing Prospectus and Prospectus under the caption “Description of Ordinary Shares”, insofar as they purport to constitute a summary of the terms of the Ordinary Shares, and under the caption “Underwriting”, insofar as they purport to describe the provisions of the laws and documents referred to therein, are accurate, complete and fair in all material respects; the statements set forth in the Pricing Prospectus and Prospectus under the captions “U.S. Federal Tax Considerations” and “Certain U.K. Tax Considerations”, insofar as such statements purport to summarize certain federal income tax laws of the United States and certain tax laws of the United Kingdom, constitute a fair summary of the principal U.S. federal income tax and United Kingdom tax consequences of an investment in the Securities;</w:t>
      </w:r>
    </w:p>
    <w:p>
      <w:pPr>
        <w:spacing w:after="0" w:line="164" w:lineRule="exact"/>
        <w:rPr>
          <w:rFonts w:ascii="Arial" w:cs="Arial" w:eastAsia="Arial" w:hAnsi="Arial"/>
          <w:sz w:val="16"/>
          <w:szCs w:val="16"/>
          <w:color w:val="auto"/>
        </w:rPr>
      </w:pPr>
    </w:p>
    <w:p>
      <w:pPr>
        <w:jc w:val="both"/>
        <w:ind w:left="-460" w:firstLine="644"/>
        <w:spacing w:after="0" w:line="255" w:lineRule="auto"/>
        <w:tabs>
          <w:tab w:leader="none" w:pos="866"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be reasonably likely to result in a Material Adverse Effect; and, to the Company's knowledge, no such proceedings are threatened or contemplated by governmental authorities or others;</w:t>
      </w: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 w:firstLine="644"/>
        <w:spacing w:after="0" w:line="263" w:lineRule="auto"/>
        <w:tabs>
          <w:tab w:leader="none" w:pos="13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the allotment, issuance and transfer of the JerseyCo Securities and the application of the proceeds thereof, will not be an “investment company”, as such term is defined in the Investment Company Act of 1940, as amended (the “Investment Company Act”);</w:t>
      </w:r>
    </w:p>
    <w:p>
      <w:pPr>
        <w:spacing w:after="0" w:line="183" w:lineRule="exact"/>
        <w:rPr>
          <w:rFonts w:ascii="Arial" w:cs="Arial" w:eastAsia="Arial" w:hAnsi="Arial"/>
          <w:sz w:val="18"/>
          <w:szCs w:val="18"/>
          <w:color w:val="auto"/>
        </w:rPr>
      </w:pPr>
    </w:p>
    <w:p>
      <w:pPr>
        <w:jc w:val="both"/>
        <w:ind w:left="4" w:firstLine="644"/>
        <w:spacing w:after="0" w:line="271" w:lineRule="auto"/>
        <w:tabs>
          <w:tab w:leader="none" w:pos="13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Securities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Securities, and at the date hereof, the Company was not and is not an "ineligible issuer," as defined in Rule 405 under the Act;</w:t>
      </w:r>
    </w:p>
    <w:p>
      <w:pPr>
        <w:spacing w:after="0" w:line="178" w:lineRule="exact"/>
        <w:rPr>
          <w:rFonts w:ascii="Arial" w:cs="Arial" w:eastAsia="Arial" w:hAnsi="Arial"/>
          <w:sz w:val="17"/>
          <w:szCs w:val="17"/>
          <w:color w:val="auto"/>
        </w:rPr>
      </w:pPr>
    </w:p>
    <w:p>
      <w:pPr>
        <w:jc w:val="both"/>
        <w:ind w:left="4" w:firstLine="644"/>
        <w:spacing w:after="0" w:line="259" w:lineRule="auto"/>
        <w:tabs>
          <w:tab w:leader="none" w:pos="14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PricewaterhouseCoopers LLP, who have certified certain financial statements of the Company and its subsidiaries, and have audited the Company’s internal control over financial reporting and management’s assessment thereof and PricewaterhouseCoopers SpA, who have certified certain financial statements of the Company, are each independent public accountants as required by the Act and the rules and regulations of the Commission thereunder;</w:t>
      </w:r>
    </w:p>
    <w:p>
      <w:pPr>
        <w:spacing w:after="0" w:line="186" w:lineRule="exact"/>
        <w:rPr>
          <w:rFonts w:ascii="Arial" w:cs="Arial" w:eastAsia="Arial" w:hAnsi="Arial"/>
          <w:sz w:val="18"/>
          <w:szCs w:val="18"/>
          <w:color w:val="auto"/>
        </w:rPr>
      </w:pPr>
    </w:p>
    <w:p>
      <w:pPr>
        <w:jc w:val="both"/>
        <w:ind w:left="4" w:firstLine="644"/>
        <w:spacing w:after="0" w:line="286" w:lineRule="auto"/>
        <w:tabs>
          <w:tab w:leader="none" w:pos="14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designed to</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provide  reasonable  assurance  that  (A)  transactions  are  executed  in  accordance  with  management’s  general  or  specific  authorization,</w:t>
      </w:r>
    </w:p>
    <w:p>
      <w:pPr>
        <w:spacing w:after="0" w:line="32" w:lineRule="exact"/>
        <w:rPr>
          <w:sz w:val="20"/>
          <w:szCs w:val="20"/>
          <w:color w:val="auto"/>
        </w:rPr>
      </w:pPr>
    </w:p>
    <w:p>
      <w:pPr>
        <w:jc w:val="both"/>
        <w:ind w:left="4" w:hanging="4"/>
        <w:spacing w:after="0" w:line="271" w:lineRule="auto"/>
        <w:tabs>
          <w:tab w:leader="none" w:pos="3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Pricing Prospectus, the Company's internal control over financial reporting is effective and the Company is not aware of any material weaknesses in its internal control over financial reporting;</w:t>
      </w:r>
    </w:p>
    <w:p>
      <w:pPr>
        <w:spacing w:after="0" w:line="39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left="-460" w:firstLine="644"/>
        <w:spacing w:after="0" w:line="263" w:lineRule="auto"/>
        <w:tabs>
          <w:tab w:leader="none" w:pos="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Prospectus, there has been no change in the Company’s internal control over financial reporting that has materially affected, or is reasonably likely to materially affect, the Company’s internal control over financial reporting;</w:t>
      </w:r>
    </w:p>
    <w:p>
      <w:pPr>
        <w:spacing w:after="0" w:line="183" w:lineRule="exact"/>
        <w:rPr>
          <w:rFonts w:ascii="Arial" w:cs="Arial" w:eastAsia="Arial" w:hAnsi="Arial"/>
          <w:sz w:val="18"/>
          <w:szCs w:val="18"/>
          <w:color w:val="auto"/>
        </w:rPr>
      </w:pPr>
    </w:p>
    <w:p>
      <w:pPr>
        <w:jc w:val="both"/>
        <w:ind w:left="-460" w:firstLine="644"/>
        <w:spacing w:after="0" w:line="273"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The Company maintains disclosure controls and procedures (as such term is defined in Rule 13a-15(e) under the Exchange Act) that comply with the requirements of the Exchange Act; (ii) such disclosure controls and procedures are designed to ensure that the information required to be disclosed by the Company and its subsidiaries in the reports they file or submit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77" w:lineRule="exact"/>
        <w:rPr>
          <w:rFonts w:ascii="Arial" w:cs="Arial" w:eastAsia="Arial" w:hAnsi="Arial"/>
          <w:sz w:val="17"/>
          <w:szCs w:val="17"/>
          <w:color w:val="auto"/>
        </w:rPr>
      </w:pPr>
    </w:p>
    <w:p>
      <w:pPr>
        <w:jc w:val="both"/>
        <w:ind w:left="-460" w:firstLine="644"/>
        <w:spacing w:after="0" w:line="290" w:lineRule="auto"/>
        <w:tabs>
          <w:tab w:leader="none" w:pos="9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any of its controlled affiliates, any director, officer, nor, to the knowledge of the Company, agent, employee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unlawful bribe or kickback; or (iii) made a violation of or is in violation of the anti-bribery provisions of the U.S. Foreign Corrupt Practices Act of 1977, as amended (the “FCPA”), the Bribery Act 2010 of the United Kingdom, as amended (the “Bribery Act 2010”), or any other applicable anti-corruption or anti-bribery statute or regulation, in each case ((i), (ii) and (iii)), in any material respect. The Company and its subsidiaries and, to the knowledge of the Company, their respective controlled affiliates have instituted and maintain policies and procedures designed to promote, and which are reasonably expected to promote, continued compliance therewith;</w:t>
      </w:r>
    </w:p>
    <w:p>
      <w:pPr>
        <w:spacing w:after="0" w:line="165" w:lineRule="exact"/>
        <w:rPr>
          <w:rFonts w:ascii="Arial" w:cs="Arial" w:eastAsia="Arial" w:hAnsi="Arial"/>
          <w:sz w:val="16"/>
          <w:szCs w:val="16"/>
          <w:color w:val="auto"/>
        </w:rPr>
      </w:pPr>
    </w:p>
    <w:p>
      <w:pPr>
        <w:jc w:val="both"/>
        <w:ind w:left="-460" w:firstLine="644"/>
        <w:spacing w:after="0" w:line="293" w:lineRule="auto"/>
        <w:tabs>
          <w:tab w:leader="none" w:pos="9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 keeping and reporting requirements of the Currency and Foreign Transactions Reporting Act of 1970, as amended, the applicable money laundering statutes of all jurisdictions, the rules and regulations thereunder and any related or similar rules, regulations or guidelines, that have been issued, administered or enforced by any governmental agency (collectively, the “Money Laundering Laws”)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ind w:left="1584" w:hanging="936"/>
        <w:spacing w:after="0"/>
        <w:tabs>
          <w:tab w:leader="none" w:pos="15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of their respective controlled affiliates, directors or officers is</w:t>
      </w:r>
    </w:p>
    <w:p>
      <w:pPr>
        <w:spacing w:after="0" w:line="34" w:lineRule="exact"/>
        <w:rPr>
          <w:rFonts w:ascii="Arial" w:cs="Arial" w:eastAsia="Arial" w:hAnsi="Arial"/>
          <w:sz w:val="17"/>
          <w:szCs w:val="17"/>
          <w:color w:val="auto"/>
        </w:rPr>
      </w:pPr>
    </w:p>
    <w:p>
      <w:pPr>
        <w:jc w:val="both"/>
        <w:ind w:left="4" w:hanging="4"/>
        <w:spacing w:after="0" w:line="286" w:lineRule="auto"/>
        <w:tabs>
          <w:tab w:leader="none" w:pos="2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currently the subject or the target of any sanctions administered or enforced by the Office of Foreign Assets Control of the U.S. Treasury Department, the U.S. Department of State, the United Nations Security Council, the European Union or any of its Member States, Her Majesty’s Treasury, Switzerland, or Canada (collectively, “Sanctions”); or (ii) located, organized or resident in a country or territory that is the subject or target of Sanctions (currently Cuba, Iran, North Korea, Syria, and Crimea). The Company will not directly or indirectly use the proceeds of the offering of the Securities, or lend, contribute or otherwise make available such proceeds to any subsidiary, joint venture partner or other person or entity, (x) for the purpose of financing or facilitating the activities of any person, or in any country or territory, that at the time of such financing or facilitation and currently is the subject or target of Sanctions or (y) in any other manner, in either case as will result in a violation by any person (including any person participating in the transaction whether as an underwriter, advisor, investor or otherwise) of Sanctions in connection with this Agreement. The Company and its subsidiaries are not in violation of Sanctions in any material respect;</w:t>
      </w:r>
    </w:p>
    <w:p>
      <w:pPr>
        <w:spacing w:after="0" w:line="172" w:lineRule="exact"/>
        <w:rPr>
          <w:rFonts w:ascii="Arial" w:cs="Arial" w:eastAsia="Arial" w:hAnsi="Arial"/>
          <w:sz w:val="16"/>
          <w:szCs w:val="16"/>
          <w:color w:val="auto"/>
        </w:rPr>
      </w:pPr>
    </w:p>
    <w:p>
      <w:pPr>
        <w:ind w:left="1584" w:hanging="936"/>
        <w:spacing w:after="0"/>
        <w:tabs>
          <w:tab w:leader="none" w:pos="158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of the Transaction Documents has been duly authorized, executed and delivered by the Company and JerseyCo, as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10" w:lineRule="exact"/>
        <w:rPr>
          <w:rFonts w:ascii="Arial" w:cs="Arial" w:eastAsia="Arial" w:hAnsi="Arial"/>
          <w:sz w:val="16"/>
          <w:szCs w:val="16"/>
          <w:color w:val="auto"/>
        </w:rPr>
      </w:pPr>
    </w:p>
    <w:p>
      <w:pPr>
        <w:jc w:val="both"/>
        <w:ind w:left="4" w:firstLine="644"/>
        <w:spacing w:after="0" w:line="290" w:lineRule="auto"/>
        <w:tabs>
          <w:tab w:leader="none" w:pos="141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of the Company and JerseyCo has all requisite corporate power and authority to execute, deliver and perform each of its obligations under the Transaction Documents to which it is a party. Each Transaction Document (other than this Agreement) to which the Company and/or JerseyCo is a party, when executed and delivered by the Company and/or JerseyCo, as applicable, will constitute a valid and legally binding obligation of the Company and/or JerseyCo (to the extent the Company or JerseyCo, respectively, is a party thereto), enforceable against each of the Company and/or JerseyCo in accordance with its terms (to the extent the Company or JerseyCo, respectively, is a party thereto), except that the enforcement thereof may be subject to (i) bankruptcy, insolvency, reorganization, moratorium or other similar laws now or hereafter in effect relating to creditors’ rights generally, and (ii) general principles of equity (regardless of whether enforceability is considered in a proceeding at law or in equity), comity and the discretion of the court before which any proceeding therefor may be brought;</w:t>
      </w:r>
    </w:p>
    <w:p>
      <w:pPr>
        <w:spacing w:after="0" w:line="165" w:lineRule="exact"/>
        <w:rPr>
          <w:rFonts w:ascii="Arial" w:cs="Arial" w:eastAsia="Arial" w:hAnsi="Arial"/>
          <w:sz w:val="16"/>
          <w:szCs w:val="16"/>
          <w:color w:val="auto"/>
        </w:rPr>
      </w:pPr>
    </w:p>
    <w:p>
      <w:pPr>
        <w:jc w:val="both"/>
        <w:ind w:left="4" w:firstLine="644"/>
        <w:spacing w:after="0" w:line="286" w:lineRule="auto"/>
        <w:tabs>
          <w:tab w:leader="none" w:pos="1399"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Pricing Prospectus and the Prospectus, together with the related schedules and notes, present fairly in all material respects the financial position of the Company and its subsidiaries at the dates indicated and the statement of operations, shareholders’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or incorporated by reference in the Registration Statement, the Pricing Prospectus and the Prospectus present fairly in all material respects the information shown therein and have been compiled on a basis consistent with that of the financial statements included or incorporated by reference therein. Except as included or incorporated by reference therein, no historical or pro forma financial statements or supporting schedules are required to be included or incorporated by reference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39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left="-460" w:firstLine="644"/>
        <w:spacing w:after="0" w:line="270" w:lineRule="auto"/>
        <w:tabs>
          <w:tab w:leader="none" w:pos="9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The Company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(ii) to the knowledge of the Company, the Company’s and its subsidiaries’ conduct of their respective businesses does not infringe, misappropriate or otherwise violate any Intellectual Property of any person; (iii) the Company and its subsidiaries have not received any written notice of any claim relating to Intellectual Property; and (iv) to the knowledge of the Company, the Intellectual Property of the Company and its subsidiaries is not being infringed, misappropriated or otherwise violated by any person; except, in the case of each clauses (i) through (iv) above, such as would not be reasonably likely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67" w:lineRule="auto"/>
        <w:tabs>
          <w:tab w:leader="none" w:pos="9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its subsidiaries’ information technology assets and equipment, computers, systems, networks, hardware, software, websites, applications, and databases (collectively, “IT Systems”) are adequate for, and, to the Company’s knowledge, operate and perform in all material respects as required in connection with the operation of the business of the Company and its subsidiaries as currently conducted, free and clear of all material bugs, errors, defects, Trojan horses, time bombs, malware and other corruptants, except as would not be reasonably likely to result in a Material Adverse Effect.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personally identifiable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and except as would not be reasonably likely to result in a Material Adverse Effect, nor any incidents under internal review or investigations relating to the same, except as would not be reasonably likely to result in a Material Adverse Effect. The Company and its subsidiaries (i) are presently, and at all times since January 1, 2018 were,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including, for the avoidance of doubt, regarding the collection, use, transfer, export, storage, protection, disposal or disclosure by the Issuer, the Company and their respective subsidiaries of Personal Data collected from or provided by third parties, and to the protection of such IT Systems and Personal Data from unauthorized use, access, misappropriation or modification (collectively, the “Data Security and Privacy Laws”), (ii) are unaware of any facts that, individually or in the aggregate, would reasonably indicate their material non-compliance with the Data Security and Privacy Laws, and (iii) have no knowledge of any action, suit or proceeding by or before any court or governmental agency, authority or body pending or alleging their non-compliance with the Data Security and Privacy Laws. The Company and its subsidiaries have taken or will take all necessary actions to prepare to comply with the European Union General Data Protection Regulation (and all other applicable laws and regulations with respect to Personal Data that have been announced as of the date hereof as becoming effective and enforceable within 12 months after the date hereof, and for which any non-compliance with same would be reasonably likely to create a material liability) as soon they take effect.</w:t>
      </w:r>
    </w:p>
    <w:p>
      <w:pPr>
        <w:spacing w:after="0" w:line="3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460" w:firstLine="644"/>
        <w:spacing w:after="0" w:line="270" w:lineRule="auto"/>
        <w:tabs>
          <w:tab w:leader="none" w:pos="927"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or the Prospectus, and except for any net income or similar tax, or franchise taxes imposed on the Underwriter by the United Kingdom, Jersey or the United States or any political subdivision or taxing authority thereof or therein as a result of any present or former connection (other than any connection resulting from the transactions contemplated by this Agreement) between the Underwriter and the jurisdiction imposing such tax, no stamp duty, stamp duty reserve tax, capital duties, and no other documentary, issuance, transfer, registration or other similar taxes or duties (collectively, “Transfer Taxes”) are payable by or on behalf of the Underwriters in the United Kingdom, Jersey or the United States (including taxes or duties imposed by any political subdivision or taxing authority thereof) in connection with (A) the execution and delivery, performance or enforcement of the Transaction Documents, (B) the issuance, allotment and delivery of the Securities in the manner contemplated by this Agreement and the Prospectus, or (C) the initial sale and delivery by the Underwriters of the Securities as contemplated herein and in the Prospectus.</w:t>
      </w:r>
    </w:p>
    <w:p>
      <w:pPr>
        <w:spacing w:after="0" w:line="180" w:lineRule="exact"/>
        <w:rPr>
          <w:rFonts w:ascii="Arial" w:cs="Arial" w:eastAsia="Arial" w:hAnsi="Arial"/>
          <w:sz w:val="17"/>
          <w:szCs w:val="17"/>
          <w:color w:val="auto"/>
        </w:rPr>
      </w:pPr>
    </w:p>
    <w:p>
      <w:pPr>
        <w:jc w:val="both"/>
        <w:ind w:left="-460" w:firstLine="644"/>
        <w:spacing w:after="0" w:line="289" w:lineRule="auto"/>
        <w:tabs>
          <w:tab w:leader="none" w:pos="9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their properties or assets has immunity under English, U.S. federal or New York state law from any legal action, suit or proceeding, from the giving of any relief in any such legal action, suit or proceeding, from set-off or counterclaim, from the jurisdiction of any English,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18 of this Agreement, waived, and it will waive, or will cause its subsidiaries to waive, such right to the extent permitted by law.</w:t>
      </w:r>
    </w:p>
    <w:p>
      <w:pPr>
        <w:spacing w:after="0" w:line="38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jc w:val="both"/>
        <w:ind w:left="-460" w:firstLine="644"/>
        <w:spacing w:after="0" w:line="263" w:lineRule="auto"/>
        <w:tabs>
          <w:tab w:leader="none" w:pos="8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date of this Agreement, and subject to the restrictions described under the caption “Enforcement of Judgments” in the Registration Statement, the courts of England and Wales would recognize as a valid judgment any final judgment for a fixed or determined sum of money obtained against the Company in the courts of the State of New York under this Agreement.</w:t>
      </w:r>
    </w:p>
    <w:p>
      <w:pPr>
        <w:spacing w:after="0" w:line="183" w:lineRule="exact"/>
        <w:rPr>
          <w:rFonts w:ascii="Arial" w:cs="Arial" w:eastAsia="Arial" w:hAnsi="Arial"/>
          <w:sz w:val="18"/>
          <w:szCs w:val="18"/>
          <w:color w:val="auto"/>
        </w:rPr>
      </w:pPr>
    </w:p>
    <w:p>
      <w:pPr>
        <w:jc w:val="both"/>
        <w:ind w:left="-460" w:firstLine="644"/>
        <w:spacing w:after="0" w:line="255" w:lineRule="auto"/>
        <w:tabs>
          <w:tab w:leader="none" w:pos="9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choice of laws of the State of New York as the governing law of the Transaction Documents is a valid choice of law under the laws of England and Wales and will be honored by the courts of England and Wales, subject to the restrictions described under the caption “Enforcement of Judgments” in the Registration Statement, the Pricing Prospectus and the Prospectus. The Company has the power to submit, and pursuant to Section 17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192" w:lineRule="exact"/>
        <w:rPr>
          <w:rFonts w:ascii="Arial" w:cs="Arial" w:eastAsia="Arial" w:hAnsi="Arial"/>
          <w:sz w:val="18"/>
          <w:szCs w:val="18"/>
          <w:color w:val="auto"/>
        </w:rPr>
      </w:pPr>
    </w:p>
    <w:p>
      <w:pPr>
        <w:ind w:left="880" w:hanging="696"/>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644"/>
        <w:spacing w:after="0" w:line="263" w:lineRule="auto"/>
        <w:tabs>
          <w:tab w:leader="none" w:pos="10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qualifications, limitations, exceptions and assumptions set forth in the Registration Statement, the Pricing Prospectus and the Prospectus, the Company does not expect it was treated as, for the taxable year ending December 31, 2020, a passive foreign investment company as defined in Section 1297 of the Code.</w:t>
      </w:r>
    </w:p>
    <w:p>
      <w:pPr>
        <w:spacing w:after="0" w:line="183" w:lineRule="exact"/>
        <w:rPr>
          <w:rFonts w:ascii="Arial" w:cs="Arial" w:eastAsia="Arial" w:hAnsi="Arial"/>
          <w:sz w:val="18"/>
          <w:szCs w:val="18"/>
          <w:color w:val="auto"/>
        </w:rPr>
      </w:pPr>
    </w:p>
    <w:p>
      <w:pPr>
        <w:jc w:val="both"/>
        <w:ind w:left="-460" w:firstLine="644"/>
        <w:spacing w:after="0" w:line="290" w:lineRule="auto"/>
        <w:tabs>
          <w:tab w:leader="none" w:pos="11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and the Prospectus, no approvals are currently required in the United Kingdom in order for the Company to pay dividends or other distributions declared by the Company to the holders of Securities. Under current laws and regulations of the United Kingdom and any political subdivision thereof, any amount payable with respect to the Securities upon liquidation of the Company or upon redemption thereof and dividends and other distributions declared and payable on the share capital of the Company may be paid by the Company in United States dollars or euros and freely transferred out of the United Kingdom, and no such payments made to the holders thereof who are non-residents of the United Kingdom will be subject to withholding taxes under current laws and regulations of the United Kingdom or any political subdivision or taxing authority thereof or therein and without the necessity of obtaining any governmental authorization in the United Kingdom or any political subdivision or taxing authority thereof or therein.</w:t>
      </w:r>
    </w:p>
    <w:p>
      <w:pPr>
        <w:spacing w:after="0" w:line="38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460" w:firstLine="644"/>
        <w:spacing w:after="0" w:line="257" w:lineRule="auto"/>
        <w:tabs>
          <w:tab w:leader="none" w:pos="8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than filings required to be made with the Commission, the legality, validity, enforceability or admissibility into evidence of any of the Registration Statement, the Pricing Prospectus, the Prospectus, this Agreement or the Securities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87" w:lineRule="exact"/>
        <w:rPr>
          <w:rFonts w:ascii="Arial" w:cs="Arial" w:eastAsia="Arial" w:hAnsi="Arial"/>
          <w:sz w:val="18"/>
          <w:szCs w:val="18"/>
          <w:color w:val="auto"/>
        </w:rPr>
      </w:pPr>
    </w:p>
    <w:p>
      <w:pPr>
        <w:ind w:left="800" w:hanging="61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644"/>
        <w:spacing w:after="0" w:line="253" w:lineRule="auto"/>
        <w:tabs>
          <w:tab w:leader="none" w:pos="9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JerseyCo is a private limited company incorporated under Jersey law and since incorporation, (i) it has been in continuous existence, (ii) it has not traded or carried on any business or activity of any nature, save for any activities required in connection with its incorporation or any activities required in order to give effect to the terms of the Transaction Documents and the transactions contemplated therein, (iii) it has not entered into, and is not party to, any arrangements, agreements or deeds other than the Subscription and Transfer Agreement, the Option Agreement and any arrangements, agreements and deeds in connection with the transactions contemplated by the Transaction Documents or in connection with its incorporation, corporate administration or its opening of any bank account, or (iv) it has not incurred any liabilities other than those incurred in connection with its paid-up share capital, those imposed on JerseyCo by virtue of its incorporation, or under the Transaction Documents, the corporate administration agreement (if any) entered into with Mourant Governance Services (Jersey) Limited or in relation to the transactions contemplated by such agreements, general corporate administration costs and the opening of a bank account.</w:t>
      </w:r>
    </w:p>
    <w:p>
      <w:pPr>
        <w:spacing w:after="0" w:line="194" w:lineRule="exact"/>
        <w:rPr>
          <w:rFonts w:ascii="Arial" w:cs="Arial" w:eastAsia="Arial" w:hAnsi="Arial"/>
          <w:sz w:val="18"/>
          <w:szCs w:val="18"/>
          <w:color w:val="auto"/>
        </w:rPr>
      </w:pPr>
    </w:p>
    <w:p>
      <w:pPr>
        <w:ind w:left="-460" w:firstLine="644"/>
        <w:spacing w:after="0" w:line="277" w:lineRule="auto"/>
        <w:tabs>
          <w:tab w:leader="none" w:pos="9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JerseyCo is, and has been from its inaugural board meeting, resident in the United Kingdom and nowhere else for United Kingdom tax purposes.</w:t>
      </w:r>
    </w:p>
    <w:p>
      <w:pPr>
        <w:spacing w:after="0" w:line="170" w:lineRule="exact"/>
        <w:rPr>
          <w:rFonts w:ascii="Arial" w:cs="Arial" w:eastAsia="Arial" w:hAnsi="Arial"/>
          <w:sz w:val="18"/>
          <w:szCs w:val="18"/>
          <w:color w:val="auto"/>
        </w:rPr>
      </w:pPr>
    </w:p>
    <w:p>
      <w:pPr>
        <w:ind w:left="760" w:hanging="57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share register of JerseyCo is located or kept in the United Kingdom by or on behalf of JerseyCo.</w:t>
      </w:r>
    </w:p>
    <w:p>
      <w:pPr>
        <w:spacing w:after="0" w:line="225" w:lineRule="exact"/>
        <w:rPr>
          <w:rFonts w:ascii="Arial" w:cs="Arial" w:eastAsia="Arial" w:hAnsi="Arial"/>
          <w:sz w:val="18"/>
          <w:szCs w:val="18"/>
          <w:color w:val="auto"/>
        </w:rPr>
      </w:pPr>
    </w:p>
    <w:p>
      <w:pPr>
        <w:jc w:val="both"/>
        <w:ind w:left="-460" w:firstLine="644"/>
        <w:spacing w:after="0" w:line="296" w:lineRule="auto"/>
        <w:tabs>
          <w:tab w:leader="none" w:pos="8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for (i) any claim, charge (whether legal or equitable and whether fixed or floating), mortgage, security, lien, pledge, option, equity, restriction or power of sale, assignment, hypothecation, retention of title, right of pre-emption, right of first refusal or other third party right or security interest of any kind or an agreement, arrangement or obligation to create any of the foregoing (each an “Encumbrance”) created by the Subscription and Transfer Agreement or the organizational documents of JerseyCo or (ii) any option granted pursuant to the Option Agreement, there will be no Encumbrance over or in relation to any JerseyCo Securities as of the date of allotment and issue of such shares.</w:t>
      </w:r>
    </w:p>
    <w:p>
      <w:pPr>
        <w:spacing w:after="0" w:line="161" w:lineRule="exact"/>
        <w:rPr>
          <w:rFonts w:ascii="Arial" w:cs="Arial" w:eastAsia="Arial" w:hAnsi="Arial"/>
          <w:sz w:val="16"/>
          <w:szCs w:val="16"/>
          <w:color w:val="auto"/>
        </w:rPr>
      </w:pPr>
    </w:p>
    <w:p>
      <w:pPr>
        <w:jc w:val="both"/>
        <w:ind w:left="-460" w:right="20" w:firstLine="644"/>
        <w:spacing w:after="0" w:line="286" w:lineRule="auto"/>
        <w:tabs>
          <w:tab w:leader="none" w:pos="7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JerseyCo Securities, upon allotment and issuance in accordance with the Transaction Documents, will be freely transferable shares with the rights, and subject to the restrictions, set out in the organizational documents of JerseyCo. The JerseyCo Ordinary Shares shall rank pari passu among themselves. The JerseyCo Preference Shares shall rank pari passu among themselves.</w:t>
      </w:r>
    </w:p>
    <w:p>
      <w:pPr>
        <w:spacing w:after="0" w:line="165" w:lineRule="exact"/>
        <w:rPr>
          <w:rFonts w:ascii="Arial" w:cs="Arial" w:eastAsia="Arial" w:hAnsi="Arial"/>
          <w:sz w:val="17"/>
          <w:szCs w:val="17"/>
          <w:color w:val="auto"/>
        </w:rPr>
      </w:pPr>
    </w:p>
    <w:p>
      <w:pPr>
        <w:jc w:val="both"/>
        <w:ind w:left="-460" w:firstLine="644"/>
        <w:spacing w:after="0" w:line="263" w:lineRule="auto"/>
        <w:tabs>
          <w:tab w:leader="none" w:pos="8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directors of JerseyCo have due authority to allot the JerseyCo Firm Ordinary Shares, and such shares, when allotted and issued in accordance with the Option Agreement, will have been duly and validly allotted and issued, and the issuance of such JerseyCo Firm Ordinary Shares will not be subject to any preemptive or similar rights.</w:t>
      </w:r>
    </w:p>
    <w:p>
      <w:pPr>
        <w:spacing w:after="0" w:line="4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17" w:name="page18"/>
    <w:bookmarkEnd w:id="17"/>
    <w:p>
      <w:pPr>
        <w:jc w:val="both"/>
        <w:ind w:left="660" w:firstLine="644"/>
        <w:spacing w:after="0" w:line="275" w:lineRule="auto"/>
        <w:tabs>
          <w:tab w:leader="none" w:pos="193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directors of JerseyCo shall have due authority to allot (i) the JerseyCo Firm Preference Shares on the First Time of Delivery and (ii) the JerseyCo Option Preference Shares and the applicable Additional JerseyCo Ordinary Shares, if any, on the First Time of Delivery or Second Time of Delivery (as applicable), and such shares, when allotted and issued in accordance with the Subscription and Transfer Agreement, will have been duly and validly allotted and issued, and the issuance of such JerseyCo Firm Preference Shares, JerseyCo Option Preference Shares and JerseyCo Option Ordinary Shares, if any, will not be subject to any preemptive or similar rights.</w:t>
      </w:r>
    </w:p>
    <w:p>
      <w:pPr>
        <w:spacing w:after="0" w:line="176" w:lineRule="exact"/>
        <w:rPr>
          <w:rFonts w:ascii="Arial" w:cs="Arial" w:eastAsia="Arial" w:hAnsi="Arial"/>
          <w:sz w:val="17"/>
          <w:szCs w:val="17"/>
          <w:color w:val="auto"/>
        </w:rPr>
      </w:pPr>
    </w:p>
    <w:p>
      <w:pPr>
        <w:ind w:left="660" w:firstLine="644"/>
        <w:spacing w:after="0" w:line="277" w:lineRule="auto"/>
        <w:tabs>
          <w:tab w:leader="none" w:pos="201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JerseyCo Securities shall be issued to the Subscribing Underwriter credited as fully paid in accordance with, and subject to, the provisions of the Transactions Documents.</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3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the terms and conditions herein set forth, (a) the Company agrees to issue and sell to each of the Underwriters, and each of the Underwriters agrees, severally and not jointly, to acquire from the Company, in consideration for the transfer by the Subscribing Underwriter, on behalf of the Underwriters, of the JerseyCo Firm Preference Shares and the JerseyCo Firm Ordinary Shares pursuant to the Subscription and Transfer Agreement, the number of Firm Securities set forth opposite the name of such Underwriter in Schedule I hereto and (b) in the event and to the extent that the Underwriters shall exercise the election to acquire Optional Securities as provided below, the Company agrees to issue and sell to each of the Underwriters, and each of the Underwriters agrees, severally and not jointly, to acquire, in consideration for the transfer by the Subscribing Underwriter, on behalf of the Underwriters, of the JerseyCo Optional Preference Shares and, if applicable, the JerseyCo Optional Ordinary Shares (if any) pursuant to the Subscription and Transfer Agreement, that portion of the number of Optional Securities as to which such election shall have been exercised (to be adjusted by you so as to eliminate fractional shares) determined by multiplying such number of Optional Securities by a fraction, the numerator of which is the maximum number of Optional Securities which such Underwriter is entitled to acquire as set forth opposite the name of such Underwriter in Schedule I hereto and the denominator of which is the maximum number of Optional Securities that all of the Underwriters are entitled to acquire hereunder.</w:t>
      </w:r>
    </w:p>
    <w:p>
      <w:pPr>
        <w:spacing w:after="0" w:line="17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Company hereby grants to the Underwriters the right to acquire, at their election, up to 545,454 Optional Securities, for the consideration set forth in the paragraph above, for the sole purpose of covering sales of shares in excess of the number of Firm Securities. Any such election to acquire Optional Securities may be exercised only by written notice from you to the Company, given within a period of 30 calendar days after the date of this Agreement, setting forth the aggregate number of Optional Securities to be acquired and the date on which such Optional Securities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73" w:lineRule="auto"/>
        <w:rPr>
          <w:sz w:val="20"/>
          <w:szCs w:val="20"/>
          <w:color w:val="auto"/>
        </w:rPr>
      </w:pPr>
      <w:r>
        <w:rPr>
          <w:rFonts w:ascii="Arial" w:cs="Arial" w:eastAsia="Arial" w:hAnsi="Arial"/>
          <w:sz w:val="17"/>
          <w:szCs w:val="17"/>
          <w:color w:val="auto"/>
        </w:rPr>
        <w:t>Any amounts received by the Subscribing Underwriter in respect of the purchase price for the Securities for which the Underwriters have procured investors shall be received by and shall belong to the Subscribing Underwriter for its own account and the Company shall have no rights to receive such amounts from the Subscribing Underwriter or from any investor. Such amounts may be used by the Subscribing Underwriter in its capacity as subscriber for the JerseyCo Firm Preference Shares and JerseyCo Option Preference Shares to pay or procure the payment for the subscription of JerseyCo Firm Preference Shares and JerseyCo Option Preference Shares, in accordance with the Subscription and Transfer Agreement. This paragraph is without prejudice to the Subscribing Underwriter’s obligations under the Subscription and Transfer Agreement.</w:t>
      </w:r>
    </w:p>
    <w:p>
      <w:pPr>
        <w:spacing w:after="0" w:line="178" w:lineRule="exact"/>
        <w:rPr>
          <w:sz w:val="20"/>
          <w:szCs w:val="20"/>
          <w:color w:val="auto"/>
        </w:rPr>
      </w:pPr>
    </w:p>
    <w:p>
      <w:pPr>
        <w:ind w:firstLine="656"/>
        <w:spacing w:after="0" w:line="277" w:lineRule="auto"/>
        <w:tabs>
          <w:tab w:leader="none" w:pos="1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Securities, the several Underwriters propose to offer the Firm Securities for sale upon the terms and conditions set forth in the Pricing Prospectus and the Prospectus.</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35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The Securities to be acquired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the Underwriters, against transfer by the Subscribing Underwriter, on behalf of the Underwriters, of the applicable JerseyCo Securities pursuant to the Subscription and Transfer Agreement. The Company will cause the certificates, if any, representing the Securities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Securities, 9:30 a.m., New York City time, on August 6, 2021 or such other time and date as the Representatives and the Company may agree upon in writing, and, with respect to the Optional Securities, 9:30 a.m., New York time, on the date specified by the Representatives in the written notice given by the Representatives of the Underwriters’ election to acquire such Optional Securities, or such other time and date as the Representatives and the Company may agree upon in writing. Such time and date for delivery of the Firm Securities is herein called the “First Time of Delivery”, such time and date for delivery of the Optional Securities, if not the First Time of Delivery, is herein called the “Second Time of Delivery”, and each such time and date for delivery is herein called a “Time of Delivery”.</w:t>
      </w:r>
    </w:p>
    <w:p>
      <w:pPr>
        <w:spacing w:after="0" w:line="168" w:lineRule="exact"/>
        <w:rPr>
          <w:sz w:val="20"/>
          <w:szCs w:val="20"/>
          <w:color w:val="auto"/>
        </w:rPr>
      </w:pPr>
    </w:p>
    <w:p>
      <w:pPr>
        <w:jc w:val="both"/>
        <w:ind w:firstLine="656"/>
        <w:spacing w:after="0" w:line="254" w:lineRule="auto"/>
        <w:tabs>
          <w:tab w:leader="none" w:pos="1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cross-receipt for the Securities and any additional documents requested by the Underwriters pursuant to Section 8(l) hereof, will be delivered at the offices of Davis Polk &amp; Wardwell LLP, 450 Lexington Avenue, New York, New York 10017 (the “Closing Location”), and the Securities will be delivered at the Designated Office, all at such Time of Delivery. A meeting will be held at the Closing Location at 2:00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jc w:val="both"/>
        <w:ind w:firstLine="656"/>
        <w:spacing w:after="0" w:line="285" w:lineRule="auto"/>
        <w:tabs>
          <w:tab w:leader="none" w:pos="13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other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you, promptly after it receives notice thereof, of the issuance by the Commission of any stop order or of any order preventing or suspending the use of any Preliminary Prospectus or other prospectus in respect of the Securities, of any notice of objection of the Commission to the use of the Registration Statement or any post-effective amendment thereto pursuant to Rule 401(g)(2) under the Act, of the suspension of the qualification of the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Securities by the Underwriters (references herein to the Registration Statement shall include any such amendment or new registration statement);</w:t>
      </w:r>
    </w:p>
    <w:p>
      <w:pPr>
        <w:spacing w:after="0" w:line="171" w:lineRule="exact"/>
        <w:rPr>
          <w:rFonts w:ascii="Arial" w:cs="Arial" w:eastAsia="Arial" w:hAnsi="Arial"/>
          <w:sz w:val="16"/>
          <w:szCs w:val="16"/>
          <w:color w:val="auto"/>
        </w:rPr>
      </w:pPr>
    </w:p>
    <w:p>
      <w:pPr>
        <w:jc w:val="both"/>
        <w:ind w:right="20" w:firstLine="656"/>
        <w:spacing w:after="0" w:line="263" w:lineRule="auto"/>
        <w:tabs>
          <w:tab w:leader="none" w:pos="13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spacing w:after="0" w:line="183" w:lineRule="exact"/>
        <w:rPr>
          <w:rFonts w:ascii="Arial" w:cs="Arial" w:eastAsia="Arial" w:hAnsi="Arial"/>
          <w:sz w:val="18"/>
          <w:szCs w:val="18"/>
          <w:color w:val="auto"/>
        </w:rPr>
      </w:pPr>
    </w:p>
    <w:p>
      <w:pPr>
        <w:jc w:val="both"/>
        <w:ind w:firstLine="656"/>
        <w:spacing w:after="0" w:line="271" w:lineRule="auto"/>
        <w:tabs>
          <w:tab w:leader="none" w:pos="14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by the third anniversary (the “Renewal Deadline”) of the initial effective date of the Registration Statement, any of the Securities remain unsold by the Underwriters, the Company will file, if it has not already done so and is eligible to do so, a new automatic shelf registration statement relating to the Securities, in a form satisfactory to you. If at the Renewal Deadline the Company is no longer eligible to file an automatic shelf registration statement, the Company will, if it has not already done so, file a new shelf registration statement relating to the Securities, in a form satisfactory to you and will use its best efforts to cause such registration statement to be declared effective within 180 days after the Renewal Deadline. The Company will take all other action reasonably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56"/>
        <w:spacing w:after="0" w:line="279" w:lineRule="auto"/>
        <w:tabs>
          <w:tab w:leader="none" w:pos="1402"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Promptly from time to time to take such action as you may reasonably request to qualify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or to file a general consent to service of process in any jurisdiction;</w:t>
      </w:r>
    </w:p>
    <w:p>
      <w:pPr>
        <w:spacing w:after="0" w:line="171" w:lineRule="exact"/>
        <w:rPr>
          <w:rFonts w:ascii="Arial" w:cs="Arial" w:eastAsia="Arial" w:hAnsi="Arial"/>
          <w:sz w:val="17"/>
          <w:szCs w:val="17"/>
          <w:color w:val="auto"/>
        </w:rPr>
      </w:pPr>
    </w:p>
    <w:p>
      <w:pPr>
        <w:jc w:val="both"/>
        <w:ind w:firstLine="656"/>
        <w:spacing w:after="0" w:line="268" w:lineRule="auto"/>
        <w:tabs>
          <w:tab w:leader="none" w:pos="13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Prior to 10:00 a.m., New York City time, on the second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81" w:lineRule="exact"/>
        <w:rPr>
          <w:rFonts w:ascii="Arial" w:cs="Arial" w:eastAsia="Arial" w:hAnsi="Arial"/>
          <w:sz w:val="17"/>
          <w:szCs w:val="17"/>
          <w:color w:val="auto"/>
        </w:rPr>
      </w:pPr>
    </w:p>
    <w:p>
      <w:pPr>
        <w:jc w:val="both"/>
        <w:ind w:firstLine="656"/>
        <w:spacing w:after="0" w:line="259" w:lineRule="auto"/>
        <w:tabs>
          <w:tab w:leader="none" w:pos="13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1340" w:hanging="684"/>
        <w:spacing w:after="0"/>
        <w:tabs>
          <w:tab w:leader="none" w:pos="1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90 days after the date of the Prospectus, not to</w:t>
      </w:r>
    </w:p>
    <w:p>
      <w:pPr>
        <w:spacing w:after="0" w:line="46" w:lineRule="exact"/>
        <w:rPr>
          <w:rFonts w:ascii="Arial" w:cs="Arial" w:eastAsia="Arial" w:hAnsi="Arial"/>
          <w:sz w:val="16"/>
          <w:szCs w:val="16"/>
          <w:color w:val="auto"/>
        </w:rPr>
      </w:pPr>
    </w:p>
    <w:p>
      <w:pPr>
        <w:jc w:val="both"/>
        <w:ind w:firstLine="8"/>
        <w:spacing w:after="0" w:line="284"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offer, sell, contract to sell, pledge, grant any option to purchase, make any short sale or otherwise transfer or dispose of (or enter into any transaction or device that is designed to, or would be expected to, result in the disposition by any person at any time in the future of), directly or indirectly, or file or cause to be filed with the Commission a registration statement, including any amendments, under the Act relating to, any securities of the Company that are substantially similar to the Securities, including but not limited to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or (ii) enter into any swap or other agreement that transfers, in whole or in part, any of the economic consequences of ownership of the Ordinary Shares or any such other securities, whether any such transaction described in clause (i) or (ii) above is to be settled by delivery of Ordinary Shares or such other securities, in cash or otherwise (other than the Securities to be sold hereunder or pursuant to employee benefit plans, qualified employee stock option plans, other employee compensation plans or non-employee director compensation programs (collectively, “Compensation Plans”) existing on, or upon the conversion or exchange of convertible or exchangeable securities outstanding as of, the date of this Agreement and described in the Pricing Prospectus and the Prospectus), without the prior written consent of Goldman Sachs &amp; Co. LLC and Barclays Capital Inc.; provided, however, that the foregoing restrictions shall not apply to (A) the issuance of Ordinary Shares or other securities (including securities convertible into ordinary shares) in connection with the acquisition by the Company or any of its subsidiaries of the securities, businesses, properties or other assets of another person or entity or pursuant to any employee benefit plan assumed by the Company in connection with any such acquisition or (B) the issuance of Ordinary Shares or other securities (including securities convertible into Ordinary Shares) in connection with joint ventures, commercial relationships or other strategic transactions; provided that, in the case of these clauses (A) and (B), the aggregate number of Ordinary Shares issued in all such acquisitions and transactions does not exceed 5% of the issued and outstanding Ordinary Shares of the Company following the completion of the transactions contemplated by this Agreement and any recipients of such Securities shall deliver an agreement to the Underwriter substantially in the form of Exhibit A hereto;</w:t>
      </w:r>
    </w:p>
    <w:p>
      <w:pPr>
        <w:spacing w:after="0" w:line="386" w:lineRule="exact"/>
        <w:rPr>
          <w:rFonts w:ascii="Arial" w:cs="Arial" w:eastAsia="Arial" w:hAnsi="Arial"/>
          <w:sz w:val="16"/>
          <w:szCs w:val="16"/>
          <w:color w:val="auto"/>
        </w:rPr>
      </w:pPr>
    </w:p>
    <w:p>
      <w:pPr>
        <w:ind w:firstLine="656"/>
        <w:spacing w:after="0" w:line="277" w:lineRule="auto"/>
        <w:tabs>
          <w:tab w:leader="none" w:pos="13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Securities within the time required by Rule 456(b)(1) under the Act without regard to the proviso therein and otherwise in accordance with Rules 456(b) and 457(r) under the Act;</w:t>
      </w:r>
    </w:p>
    <w:p>
      <w:pPr>
        <w:spacing w:after="0" w:line="170" w:lineRule="exact"/>
        <w:rPr>
          <w:rFonts w:ascii="Arial" w:cs="Arial" w:eastAsia="Arial" w:hAnsi="Arial"/>
          <w:sz w:val="18"/>
          <w:szCs w:val="18"/>
          <w:color w:val="auto"/>
        </w:rPr>
      </w:pPr>
    </w:p>
    <w:p>
      <w:pPr>
        <w:ind w:firstLine="656"/>
        <w:spacing w:after="0" w:line="277" w:lineRule="auto"/>
        <w:tabs>
          <w:tab w:leader="none" w:pos="13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use the net proceeds received by JerseyCo from the transactions contemplated by the Transaction Documents in the manner specified in the Pricing Prospectus under the caption “Use of Proceeds”;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use its best efforts to list for quotation the Securities on the Nasdaq Global Market (“Nasdaq”);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56"/>
        <w:spacing w:after="0" w:line="259" w:lineRule="auto"/>
        <w:tabs>
          <w:tab w:leader="none" w:pos="14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“License”);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both"/>
        <w:ind w:firstLine="656"/>
        <w:spacing w:after="0" w:line="257" w:lineRule="auto"/>
        <w:tabs>
          <w:tab w:leader="none" w:pos="1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Schedule II(a) hereto;</w:t>
      </w:r>
    </w:p>
    <w:p>
      <w:pPr>
        <w:spacing w:after="0" w:line="187" w:lineRule="exact"/>
        <w:rPr>
          <w:rFonts w:ascii="Arial" w:cs="Arial" w:eastAsia="Arial" w:hAnsi="Arial"/>
          <w:sz w:val="18"/>
          <w:szCs w:val="18"/>
          <w:color w:val="auto"/>
        </w:rPr>
      </w:pPr>
    </w:p>
    <w:p>
      <w:pPr>
        <w:ind w:right="20" w:firstLine="656"/>
        <w:spacing w:after="0" w:line="277" w:lineRule="auto"/>
        <w:tabs>
          <w:tab w:leader="none" w:pos="14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59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78" w:lineRule="exact"/>
        <w:rPr>
          <w:rFonts w:ascii="Arial" w:cs="Arial" w:eastAsia="Arial" w:hAnsi="Arial"/>
          <w:sz w:val="17"/>
          <w:szCs w:val="17"/>
          <w:color w:val="auto"/>
        </w:rPr>
      </w:pPr>
    </w:p>
    <w:p>
      <w:pPr>
        <w:jc w:val="both"/>
        <w:ind w:firstLine="656"/>
        <w:spacing w:after="0" w:line="293" w:lineRule="auto"/>
        <w:tabs>
          <w:tab w:leader="none" w:pos="139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right="20" w:firstLine="656"/>
        <w:spacing w:after="0" w:line="263" w:lineRule="auto"/>
        <w:tabs>
          <w:tab w:leader="none" w:pos="1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84" w:lineRule="exact"/>
        <w:rPr>
          <w:sz w:val="20"/>
          <w:szCs w:val="20"/>
          <w:color w:val="auto"/>
        </w:rPr>
      </w:pPr>
    </w:p>
    <w:p>
      <w:pPr>
        <w:jc w:val="both"/>
        <w:ind w:firstLine="656"/>
        <w:spacing w:after="0" w:line="284" w:lineRule="auto"/>
        <w:tabs>
          <w:tab w:leader="none" w:pos="14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the Transaction Documents,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5(c) hereof, including the reasonable fees and disbursements of counsel for the Underwriters in connection with such qualification and in connection with the Blue Sky survey in an amount, together with any amounts reimbursable pursuant to clause (v) below, not to exceed $45,000 in the aggregate; (iv) all fees and expenses in connection with listing the Securities on Nasdaq; (v) the filing fees incident to, and the fees and disbursements of counsel for the Underwriters in connection with, any required review by the Financial Industry Regulatory Authority (“FINRA”) of the terms of the sale of the Securities in an amount, together with any amounts in connection with the Blue Sky survey that are reimbursable pursuant to clause (iii) above, not to exceed $45,000 in the aggregate; (vi) the cost of preparing the Securities; (vii) the cost and charges of any transfer agent or registrar; (viii) all costs and expenses in connection with performance by the Company or JerseyCo of the Transaction Documents (other than this Agreement) and consummation of the transactions contemplated thereby, including but not limited to such costs and expenses related to (i) the allotment, issuance and transfer of the JerseyCo Securities in connection with the original allotment and issuance and subsequent transfer of the JerseyCo Securities to the Company (in the manner described in the Transaction Documents) and (ii) the formation and incorporation of JerseyCo, except that the Company shall not be liable for the subscription price payable by the Subscribing Underwriter for the JerseyCo Securities issued and allotted to the Subscribing Underwriter in accordance with the Option Agreement and the Subscription and Transfer Agreement; and (ix)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Transfer Taxes on resale of any of the Securities by them, and any advertising expenses connected with any offers they may make. For the avoidance of doubt, the Company shall not be liable under this </w:t>
      </w:r>
      <w:r>
        <w:rPr>
          <w:rFonts w:ascii="Arial" w:cs="Arial" w:eastAsia="Arial" w:hAnsi="Arial"/>
          <w:sz w:val="16"/>
          <w:szCs w:val="16"/>
          <w:u w:val="single" w:color="auto"/>
          <w:color w:val="auto"/>
        </w:rPr>
        <w:t>Section 7(viii)</w:t>
      </w:r>
      <w:r>
        <w:rPr>
          <w:rFonts w:ascii="Arial" w:cs="Arial" w:eastAsia="Arial" w:hAnsi="Arial"/>
          <w:sz w:val="16"/>
          <w:szCs w:val="16"/>
          <w:color w:val="auto"/>
        </w:rPr>
        <w:t xml:space="preserve"> to the extent that the relevant cost or expense has been recovered under any of the other Transaction Documents.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56"/>
        <w:spacing w:after="0" w:line="259" w:lineRule="auto"/>
        <w:tabs>
          <w:tab w:leader="none" w:pos="14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Securities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7" w:lineRule="exact"/>
        <w:rPr>
          <w:sz w:val="20"/>
          <w:szCs w:val="20"/>
          <w:color w:val="auto"/>
        </w:rPr>
      </w:pPr>
    </w:p>
    <w:p>
      <w:pPr>
        <w:jc w:val="both"/>
        <w:ind w:firstLine="656"/>
        <w:spacing w:after="0" w:line="290" w:lineRule="auto"/>
        <w:tabs>
          <w:tab w:leader="none" w:pos="1459"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Preliminary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65" w:lineRule="exact"/>
        <w:rPr>
          <w:rFonts w:ascii="Arial" w:cs="Arial" w:eastAsia="Arial" w:hAnsi="Arial"/>
          <w:sz w:val="16"/>
          <w:szCs w:val="16"/>
          <w:color w:val="auto"/>
        </w:rPr>
      </w:pPr>
    </w:p>
    <w:p>
      <w:pPr>
        <w:jc w:val="both"/>
        <w:ind w:firstLine="656"/>
        <w:spacing w:after="0" w:line="263" w:lineRule="auto"/>
        <w:tabs>
          <w:tab w:leader="none" w:pos="13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Davis Polk &amp; Wardwell LLP, counsel for the Underwriters, shall have furnished to you such written opinion or opinions, dated such Time of Delivery, in form and substance reasonably satisfactory to you, and such counsel shall have received such papers and information as they may reasonably request to enable them to pass upon such matters;</w:t>
      </w:r>
    </w:p>
    <w:p>
      <w:pPr>
        <w:spacing w:after="0" w:line="183" w:lineRule="exact"/>
        <w:rPr>
          <w:rFonts w:ascii="Arial" w:cs="Arial" w:eastAsia="Arial" w:hAnsi="Arial"/>
          <w:sz w:val="18"/>
          <w:szCs w:val="18"/>
          <w:color w:val="auto"/>
        </w:rPr>
      </w:pPr>
    </w:p>
    <w:p>
      <w:pPr>
        <w:ind w:firstLine="656"/>
        <w:spacing w:after="0" w:line="308" w:lineRule="auto"/>
        <w:tabs>
          <w:tab w:leader="none" w:pos="1467" w:val="left"/>
        </w:tabs>
        <w:numPr>
          <w:ilvl w:val="1"/>
          <w:numId w:val="33"/>
        </w:numPr>
        <w:rPr>
          <w:rFonts w:ascii="Arial" w:cs="Arial" w:eastAsia="Arial" w:hAnsi="Arial"/>
          <w:sz w:val="17"/>
          <w:szCs w:val="17"/>
          <w:color w:val="auto"/>
        </w:rPr>
      </w:pPr>
      <w:r>
        <w:rPr>
          <w:rFonts w:ascii="Arial" w:cs="Arial" w:eastAsia="Arial" w:hAnsi="Arial"/>
          <w:sz w:val="17"/>
          <w:szCs w:val="17"/>
          <w:color w:val="auto"/>
        </w:rPr>
        <w:t>Cleary Gottlieb Steen &amp; Hamilton LLP, counsel for the Company, shall have furnished to you their written opinion (a draft of such opinion is attached as Annex I hereto), dated such Time of Delivery, in form and substance satisfactory to you to the effect set forth in Annex I;</w:t>
      </w:r>
    </w:p>
    <w:p>
      <w:pPr>
        <w:spacing w:after="0" w:line="146" w:lineRule="exact"/>
        <w:rPr>
          <w:rFonts w:ascii="Arial" w:cs="Arial" w:eastAsia="Arial" w:hAnsi="Arial"/>
          <w:sz w:val="17"/>
          <w:szCs w:val="17"/>
          <w:color w:val="auto"/>
        </w:rPr>
      </w:pPr>
    </w:p>
    <w:p>
      <w:pPr>
        <w:ind w:firstLine="656"/>
        <w:spacing w:after="0" w:line="342" w:lineRule="auto"/>
        <w:tabs>
          <w:tab w:leader="none" w:pos="1519" w:val="left"/>
        </w:tabs>
        <w:numPr>
          <w:ilvl w:val="1"/>
          <w:numId w:val="33"/>
        </w:numPr>
        <w:rPr>
          <w:rFonts w:ascii="Arial" w:cs="Arial" w:eastAsia="Arial" w:hAnsi="Arial"/>
          <w:sz w:val="16"/>
          <w:szCs w:val="16"/>
          <w:color w:val="auto"/>
        </w:rPr>
      </w:pPr>
      <w:r>
        <w:rPr>
          <w:rFonts w:ascii="Arial" w:cs="Arial" w:eastAsia="Arial" w:hAnsi="Arial"/>
          <w:sz w:val="16"/>
          <w:szCs w:val="16"/>
          <w:color w:val="auto"/>
        </w:rPr>
        <w:t>Mourant Ozannes (Jersey) LLP, special Jersey counsel for the Company, shall have furnished to you their written opinion (a draft of such opinion is attached as Annex II hereto), dated such Time of Delivery, in form and substance satisfactory to you to the effect set forth in Annex II;</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3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PricewaterhouseCoopers LLP and PricewaterhouseCoopers SpA shall have furnished to you a letter or letters, dated the respective dates of delivery thereof, in form and substance satisfactory to you;</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32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 Since the date of the most recent audited financial statements included or incorporated by reference in the Pricing Prospectus there has not been any material adverse change in or affecting the business of the Company and its subsidiaries taken as a whole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issued share capital of the Company (other than as a result of the grant or exercise, if any, of options awards in the ordinary course of business pursuant to the Company’s equity plans described in the Pricing Prospectus and the Prospectus) or long term debt of the Company or any of its subsidiaries or any change or effect, or any development involving a prospective change or effect, in or affecting (x) the business, properties, general affairs, management, financial position, shareholders’ equity or results of operations of the Company and its subsidiaries, taken as a whole, except as set forth or contemplated in the Pricing Prospectus, or (y) the ability of the Company or JerseyCo to perform their respective obligations under the Transaction Documents, including the issuance and sale of the Securities, the allotment, issuance and transfer of the JerseyCo Securities as contemplated by the Transaction Documents, the fulfilment by the Company or JerseyCo of the terms of the Transaction Documents and the consummation of the transactions contemplated in the Transaction Documents and in the Pricing Prospectus and the Prospectus, the effect of which, in any such case described in clause</w:t>
      </w:r>
    </w:p>
    <w:p>
      <w:pPr>
        <w:spacing w:after="0" w:line="2" w:lineRule="exact"/>
        <w:rPr>
          <w:rFonts w:ascii="Arial" w:cs="Arial" w:eastAsia="Arial" w:hAnsi="Arial"/>
          <w:sz w:val="16"/>
          <w:szCs w:val="16"/>
          <w:color w:val="auto"/>
        </w:rPr>
      </w:pPr>
    </w:p>
    <w:p>
      <w:pPr>
        <w:ind w:right="20" w:firstLine="8"/>
        <w:spacing w:after="0" w:line="290" w:lineRule="auto"/>
        <w:tabs>
          <w:tab w:leader="none" w:pos="2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or (ii), is in your judgment so material and adverse as to make it impracticable or inadvisable to proceed with the public offering or the delivery of the Securities being delivered at such Time of Delivery on the terms and in the manner contemplated in the Pricing Prospectus and the Prospectus;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56"/>
        <w:spacing w:after="0" w:line="259" w:lineRule="auto"/>
        <w:tabs>
          <w:tab w:leader="none" w:pos="1429"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375" w:val="left"/>
        </w:tabs>
        <w:numPr>
          <w:ilvl w:val="1"/>
          <w:numId w:val="35"/>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Nasdaq or the New York Stock Exchange; (ii) a suspension or material limitation in trading in the Company’s securities on Nasdaq;</w:t>
      </w:r>
    </w:p>
    <w:p>
      <w:pPr>
        <w:jc w:val="both"/>
        <w:ind w:firstLine="8"/>
        <w:spacing w:after="0" w:line="270" w:lineRule="auto"/>
        <w:tabs>
          <w:tab w:leader="none" w:pos="327"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general moratorium on commercial banking activities declared by either Federal, New York State or English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Securities being delivered at such Time of Delivery on the terms and in the manner contemplated in the Pricing Prospectus and the Prospectus;</w:t>
      </w:r>
    </w:p>
    <w:p>
      <w:pPr>
        <w:spacing w:after="0" w:line="178" w:lineRule="exact"/>
        <w:rPr>
          <w:rFonts w:ascii="Arial" w:cs="Arial" w:eastAsia="Arial" w:hAnsi="Arial"/>
          <w:sz w:val="17"/>
          <w:szCs w:val="17"/>
          <w:color w:val="auto"/>
        </w:rPr>
      </w:pPr>
    </w:p>
    <w:p>
      <w:pPr>
        <w:ind w:firstLine="656"/>
        <w:spacing w:after="0" w:line="277" w:lineRule="auto"/>
        <w:tabs>
          <w:tab w:leader="none" w:pos="13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5(e) hereof with respect to the furnishing of prospectuses by the second New York Business Day next succeeding the date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7" w:lineRule="auto"/>
        <w:tabs>
          <w:tab w:leader="none" w:pos="13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has obtained and delivered to the Underwriters executed copies of an agreement from the directors and officers listed on Schedule III hereto, substantially to the effect set forth in Exhibit A hereto in form and substance satisfactory to you;</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amendment shall have been made to the articles of association of JerseyCo between the date of this Agreement and each of Time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Delivery;</w:t>
      </w:r>
    </w:p>
    <w:p>
      <w:pPr>
        <w:spacing w:after="0" w:line="210" w:lineRule="exact"/>
        <w:rPr>
          <w:rFonts w:ascii="Arial" w:cs="Arial" w:eastAsia="Arial" w:hAnsi="Arial"/>
          <w:sz w:val="16"/>
          <w:szCs w:val="16"/>
          <w:color w:val="auto"/>
        </w:rPr>
      </w:pPr>
    </w:p>
    <w:p>
      <w:pPr>
        <w:jc w:val="both"/>
        <w:ind w:firstLine="656"/>
        <w:spacing w:after="0" w:line="263"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or prior to the First Time of Delivery, each of the Company and JerseyCo shall have executed and delivered the Subscription and Transfer Agreement and the Option Agreement, in each case in form and substance reasonably satisfactory to the Underwriters, and the Underwriters shall have received executed copies thereof;</w:t>
      </w:r>
    </w:p>
    <w:p>
      <w:pPr>
        <w:spacing w:after="0" w:line="183" w:lineRule="exact"/>
        <w:rPr>
          <w:rFonts w:ascii="Arial" w:cs="Arial" w:eastAsia="Arial" w:hAnsi="Arial"/>
          <w:sz w:val="18"/>
          <w:szCs w:val="18"/>
          <w:color w:val="auto"/>
        </w:rPr>
      </w:pPr>
    </w:p>
    <w:p>
      <w:pPr>
        <w:jc w:val="both"/>
        <w:ind w:firstLine="656"/>
        <w:spacing w:after="0" w:line="296" w:lineRule="auto"/>
        <w:tabs>
          <w:tab w:leader="none" w:pos="14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Transaction Document (other than this Agreement) shall have become wholly unconditional (except for the condition relating to this Agreement having become unconditional), the Company and JerseyCo shall have complied with all of the agreements to be performed thereunder as of each Time of Delivery, (including, without limitation, the delivery of the JerseyCo Firm Ordinary Shares as contemplated therein), and there shall not have occurred any default or breach by the Company or JerseyCo of any of their respective terms (save to the extent, in the opinion of the Representatives (acting in good faith) not considered to be material in the context of the offering of the Securities pursuant to this Agreement); and</w:t>
      </w:r>
    </w:p>
    <w:p>
      <w:pPr>
        <w:spacing w:after="0" w:line="161" w:lineRule="exact"/>
        <w:rPr>
          <w:rFonts w:ascii="Arial" w:cs="Arial" w:eastAsia="Arial" w:hAnsi="Arial"/>
          <w:sz w:val="16"/>
          <w:szCs w:val="16"/>
          <w:color w:val="auto"/>
        </w:rPr>
      </w:pPr>
    </w:p>
    <w:p>
      <w:pPr>
        <w:jc w:val="both"/>
        <w:ind w:firstLine="656"/>
        <w:spacing w:after="0" w:line="311" w:lineRule="auto"/>
        <w:tabs>
          <w:tab w:leader="none" w:pos="14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you at such Time of Delivery certificates of officers of the Company satisfactory to you as to the accuracy of the representations and warranties of the Company herein at and as of such time, as to the performance by the Company of all of its obligations hereunder to be performed at or prior to such time and as to the matters set forth in subsections (a) and (e) of this Section.</w:t>
      </w:r>
    </w:p>
    <w:p>
      <w:pPr>
        <w:spacing w:after="0" w:line="149" w:lineRule="exact"/>
        <w:rPr>
          <w:sz w:val="20"/>
          <w:szCs w:val="20"/>
          <w:color w:val="auto"/>
        </w:rPr>
      </w:pPr>
    </w:p>
    <w:p>
      <w:pPr>
        <w:jc w:val="both"/>
        <w:ind w:firstLine="656"/>
        <w:spacing w:after="0" w:line="284" w:lineRule="auto"/>
        <w:tabs>
          <w:tab w:leader="none" w:pos="14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each person, if any who controls or is controlled by such Underwriter (within the meaning of Section 15 of the Act or Section 20 of the Exchange Act) and every such person’s employees, directors, officers and affiliates (together, the “Indemnified Persons”) against any losses, claims, damages or liabilities, joint or several, to which such Underwriter may become subject, under the Act or otherwise, insofar as such losses, claims, damages or liabilities (or actions in respect thereof) (i)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Testing-the-Waters Communication and “roadshow” as defined in Rule 433(h) under the Act (a “roadshow”), any “issuer information” filed or required to be filed pursuant to Rule 433(d) under the Act or any Testing-the-Waters Communication, or the omission or alleged omission to state therein a material fact required to be stated therein or necessary to make the statements therein not misleading, or (ii) arise out of or are based upon, or are in connection with, any matter contemplated by this Agreement (but only with respect to the issuance and sale of the JerseyCo Securities to the Subscribing Underwriter, the transfer of the JerseyCo Securities to the Company, or the issuance of the Securities to the Underwriters in exchange for the applicable JerseyCo Securities (the “JerseyCo Transactions”)), the Subscription and Transfer Agreement or the Option Agreement, or arising out of any such indemnified party’s performance thereof, or the carrying out of any transactions or arrangements contemplated thereunder, regardless of whether any such indemnified party is a party thereto, and in each case agrees to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(x)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 or (y) in relation to any losses, claims, damages or liabilities under (ii) only, comprises any realized or unrealized loss in market value of any of the Securities which may be acquired by any of the Underwriters pursuant to this Agreement unless (but only to the extent that) such losses result from, or are attributable to, or would not have arisen but for, (in each case directly or indirectly) the neglect or default of the Company or any breach by the Company of its representations or obligations in the Transaction Documents.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56"/>
        <w:spacing w:after="0" w:line="286" w:lineRule="auto"/>
        <w:tabs>
          <w:tab w:leader="none" w:pos="15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such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sixth paragraph under the caption “Underwriting”, and the information contained under the caption “Underwriting-Price Stabilization, Short Positions and Penalty Bids”;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56"/>
        <w:spacing w:after="0" w:line="285" w:lineRule="auto"/>
        <w:tabs>
          <w:tab w:leader="none" w:pos="1433"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6" w:lineRule="exact"/>
        <w:rPr>
          <w:rFonts w:ascii="Arial" w:cs="Arial" w:eastAsia="Arial" w:hAnsi="Arial"/>
          <w:sz w:val="16"/>
          <w:szCs w:val="16"/>
          <w:color w:val="auto"/>
        </w:rPr>
      </w:pPr>
    </w:p>
    <w:p>
      <w:pPr>
        <w:jc w:val="both"/>
        <w:ind w:firstLine="656"/>
        <w:spacing w:after="0" w:line="284" w:lineRule="auto"/>
        <w:tabs>
          <w:tab w:leader="none" w:pos="15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cash value of the non-cash consideration received by the Company (which shall be deemed for these purposes to be equal to the subscription price payable by the JerseyCo Subscriber to JerseyCo for such non-cash consideration under the Subscription and Transfer Agreement) bears to the total underwriting discounts and commissions received by the Underwriters as set forth in the table on the cover page of the Prospectus. The relative fault shall be determined by reference to, among other things, (i)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and (ii) whether any loss or liability incurred by the Underwriters arose from or was in connection with the Company’s or JerseyCo’s performance or failure to perform under the Transaction Documents.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56"/>
        <w:spacing w:after="0" w:line="257"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undertakes to pay and bear, and to indemnify each Underwriter against, all Transfer Taxes (including applicable interest and penalties, to the extent such interest and penalties do not arise as a result of unreasonable delay or default by the Underwriters) arising to the Underwriters in connection with (i) the execution and delivery of this Agreement, (ii) the allotment, issuance and delivery by the Company of the Securities, in the manner set out herein, through the facilities of DTC or (iii) the initial sale and delivery of the Securities by the Underwriters in the manner contemplated herein, through the facilities of DTC, to the members of the public; and</w:t>
      </w:r>
    </w:p>
    <w:p>
      <w:pPr>
        <w:spacing w:after="0" w:line="187" w:lineRule="exact"/>
        <w:rPr>
          <w:rFonts w:ascii="Arial" w:cs="Arial" w:eastAsia="Arial" w:hAnsi="Arial"/>
          <w:sz w:val="18"/>
          <w:szCs w:val="18"/>
          <w:color w:val="auto"/>
        </w:rPr>
      </w:pPr>
    </w:p>
    <w:p>
      <w:pPr>
        <w:jc w:val="both"/>
        <w:ind w:firstLine="656"/>
        <w:spacing w:after="0" w:line="296" w:lineRule="auto"/>
        <w:tabs>
          <w:tab w:leader="none" w:pos="14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employee, officer and director of the Company and to each person, if any, who controls the Company within the meaning of the Act.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56"/>
        <w:spacing w:after="0" w:line="288" w:lineRule="auto"/>
        <w:tabs>
          <w:tab w:leader="none" w:pos="14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acquire the Securities which it has agreed to acquire hereunder at a Time of Delivery, you may in your discretion arrange for you or another party or other parties to acquire such Securities on the terms contained herein. If within thirty six hours after such default by any Underwriter you do not arrange for the acquisition of such Securities, then the Company shall be entitled to a further period of thirty six hours within which to procure another party or other parties satisfactory to you to acquire such Securities on such terms. In the event that, within the respective prescribed periods, you notify the Company that you have so arranged for the acquisition of such Securities, or the Company notifies you that it has so arranged for the acquisition of such Securities,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Securities.</w:t>
      </w:r>
    </w:p>
    <w:p>
      <w:pPr>
        <w:spacing w:after="0" w:line="168" w:lineRule="exact"/>
        <w:rPr>
          <w:sz w:val="20"/>
          <w:szCs w:val="20"/>
          <w:color w:val="auto"/>
        </w:rPr>
      </w:pPr>
    </w:p>
    <w:p>
      <w:pPr>
        <w:jc w:val="both"/>
        <w:ind w:firstLine="656"/>
        <w:spacing w:after="0" w:line="254" w:lineRule="auto"/>
        <w:tabs>
          <w:tab w:leader="none" w:pos="1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acquisition of the Securities of a defaulting Underwriter or Underwriters by you and the Company as provided in subsection (a) above, the aggregate number of such Securities which remains unacquired does not exceed one eleventh of the aggregate number of all the Securities to be acquired at such Time of Delivery, then the Company shall have the right to require each non-defaulting Underwriter to acquire the number of shares which such Underwriter agreed to acquire hereunder at such Time of Delivery and, in addition, to require each non-defaulting Underwriter to acquire its pro rata share (based on the number of Securities which such Underwriter agreed to acquire hereunder) of the Securities of such defaulting Underwriter or Underwriters for which such arrangements have not been made; but nothing herein shall relieve a defaulting Underwriter from liability for its default.</w:t>
      </w:r>
    </w:p>
    <w:p>
      <w:pPr>
        <w:spacing w:after="0" w:line="194" w:lineRule="exact"/>
        <w:rPr>
          <w:rFonts w:ascii="Arial" w:cs="Arial" w:eastAsia="Arial" w:hAnsi="Arial"/>
          <w:sz w:val="18"/>
          <w:szCs w:val="18"/>
          <w:color w:val="auto"/>
        </w:rPr>
      </w:pPr>
    </w:p>
    <w:p>
      <w:pPr>
        <w:jc w:val="both"/>
        <w:ind w:firstLine="656"/>
        <w:spacing w:after="0" w:line="254" w:lineRule="auto"/>
        <w:tabs>
          <w:tab w:leader="none" w:pos="13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acquisition of the Securities of a defaulting Underwriter or Underwriters by you and the Company as provided in subsection (a) above, the aggregate number of such Securities which remains unacquired exceeds one eleventh of the aggregate number of all the Securities to be acquired at such Time of Delivery, or if the Company shall not exercise the right described in subsection (b) above to require non-defaulting Underwriters to acquire Securities of a defaulting Underwriter or Underwriters, then this Agreement (or, with respect to the Second Time of Delivery, the obligations of the Underwriters to acquire and of the Company to sell the Optional Securities)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jc w:val="both"/>
        <w:ind w:firstLine="656"/>
        <w:spacing w:after="0" w:line="301" w:lineRule="auto"/>
        <w:tabs>
          <w:tab w:leader="none" w:pos="13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56"/>
        <w:spacing w:after="0" w:line="279" w:lineRule="auto"/>
        <w:tabs>
          <w:tab w:leader="none" w:pos="135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for any reason (other than an Underwriter default) the Securities are not delivered by or on behalf of the Company as provided herein, the Company will reimburse the Underwriters through you for all reasonable out of pocket expenses approved in writing by you, including fees and disbursements of counsel, reasonably incurred by the Underwriters in making preparations for the acquisition, sale and delivery of the Securities not so delivered, but the Company shall then be under no further liability to any Underwriter except as provided in Sections 7 and 9 hereof.</w:t>
      </w:r>
    </w:p>
    <w:p>
      <w:pPr>
        <w:spacing w:after="0" w:line="171" w:lineRule="exact"/>
        <w:rPr>
          <w:rFonts w:ascii="Arial" w:cs="Arial" w:eastAsia="Arial" w:hAnsi="Arial"/>
          <w:sz w:val="17"/>
          <w:szCs w:val="17"/>
          <w:color w:val="auto"/>
        </w:rPr>
      </w:pPr>
    </w:p>
    <w:p>
      <w:pPr>
        <w:jc w:val="both"/>
        <w:ind w:firstLine="656"/>
        <w:spacing w:after="0" w:line="290" w:lineRule="auto"/>
        <w:tabs>
          <w:tab w:leader="none" w:pos="140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 facsimile transmission to Goldman Sachs &amp; Co. LLC, 200 West Street, New York, New York 10282 Attention: Registration Department, Barclays Capital Inc., 745 Seventh Avenue, New York, New York 10019, Attention: Syndicate Registration (fax: 646-834-8133) and UBS Securities LLC, 1285 Avenue of the Americas, New York, New York 10019, Attention: Syndicate; and if to the Company shall be delivered or sent by mail, telex or facsimile transmission to the address of the Company set forth in the Registration Statement, Attention: Keyna Skeffington, General Counsel and Company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5" w:lineRule="exact"/>
        <w:rPr>
          <w:sz w:val="20"/>
          <w:szCs w:val="20"/>
          <w:color w:val="auto"/>
        </w:rPr>
      </w:pPr>
    </w:p>
    <w:p>
      <w:pPr>
        <w:jc w:val="both"/>
        <w:ind w:firstLine="656"/>
        <w:spacing w:after="0" w:line="301" w:lineRule="auto"/>
        <w:tabs>
          <w:tab w:leader="none" w:pos="13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Company and, to the extent provided in Sections 9 and 11 hereof, the employees,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57" w:lineRule="exact"/>
        <w:rPr>
          <w:rFonts w:ascii="Arial" w:cs="Arial" w:eastAsia="Arial" w:hAnsi="Arial"/>
          <w:sz w:val="16"/>
          <w:szCs w:val="16"/>
          <w:color w:val="auto"/>
        </w:rPr>
      </w:pPr>
    </w:p>
    <w:p>
      <w:pPr>
        <w:ind w:right="20" w:firstLine="656"/>
        <w:spacing w:after="0" w:line="277" w:lineRule="auto"/>
        <w:tabs>
          <w:tab w:leader="none" w:pos="14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56"/>
        <w:spacing w:after="0" w:line="290" w:lineRule="auto"/>
        <w:tabs>
          <w:tab w:leader="none" w:pos="1453"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acknowledges and agrees that (i) the acquisition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65" w:lineRule="exact"/>
        <w:rPr>
          <w:rFonts w:ascii="Arial" w:cs="Arial" w:eastAsia="Arial" w:hAnsi="Arial"/>
          <w:sz w:val="16"/>
          <w:szCs w:val="16"/>
          <w:color w:val="auto"/>
        </w:rPr>
      </w:pPr>
    </w:p>
    <w:p>
      <w:pPr>
        <w:ind w:right="20" w:firstLine="656"/>
        <w:spacing w:after="0" w:line="277" w:lineRule="auto"/>
        <w:tabs>
          <w:tab w:leader="none" w:pos="17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jc w:val="both"/>
        <w:ind w:firstLine="656"/>
        <w:spacing w:after="0" w:line="287" w:lineRule="auto"/>
        <w:tabs>
          <w:tab w:leader="none" w:pos="1507"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The Company irrevocably appoints LivaNova USA Inc., located 100 Cyberonics Blvd., Houston, Texas 77058, as its authorized agent in the Borough of Manhattan in The City of New York upon which process may be served in any such suit or proceeding, and agrees that service of process upon such authorized agent, and written notice of such service to the Company by the person serving the same to the address provided in this Section 17,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six years from the date of this Agreement.</w:t>
      </w:r>
    </w:p>
    <w:p>
      <w:pPr>
        <w:spacing w:after="0" w:line="171" w:lineRule="exact"/>
        <w:rPr>
          <w:rFonts w:ascii="Arial" w:cs="Arial" w:eastAsia="Arial" w:hAnsi="Arial"/>
          <w:sz w:val="16"/>
          <w:szCs w:val="16"/>
          <w:color w:val="auto"/>
        </w:rPr>
      </w:pPr>
    </w:p>
    <w:p>
      <w:pPr>
        <w:ind w:firstLine="656"/>
        <w:spacing w:after="0" w:line="277" w:lineRule="auto"/>
        <w:tabs>
          <w:tab w:leader="none" w:pos="15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jc w:val="both"/>
        <w:ind w:firstLine="656"/>
        <w:spacing w:after="0" w:line="253" w:lineRule="auto"/>
        <w:tabs>
          <w:tab w:leader="none" w:pos="16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 agrees to indemnify each Underwriter, its directors, officers, affiliates and each person, if any, who controls such Underwriter within the meaning of Section 15 of the Act or Section 20 of the Exchange Act; against any loss incurred by such Underwriter as a result of any judgment or order being given or made for any amount due hereunder and such judgment or order being expressed and paid in a currency (the “judgment currency”)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96" w:lineRule="exact"/>
        <w:rPr>
          <w:rFonts w:ascii="Arial" w:cs="Arial" w:eastAsia="Arial" w:hAnsi="Arial"/>
          <w:sz w:val="18"/>
          <w:szCs w:val="18"/>
          <w:color w:val="auto"/>
        </w:rPr>
      </w:pPr>
    </w:p>
    <w:p>
      <w:pPr>
        <w:ind w:left="1360" w:hanging="704"/>
        <w:spacing w:after="0"/>
        <w:tabs>
          <w:tab w:leader="none" w:pos="13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the extent that the Company has or hereafter may acquire any immunity (sovereign or otherwise) from jurisdiction of any court of</w:t>
      </w:r>
    </w:p>
    <w:p>
      <w:pPr>
        <w:spacing w:after="0" w:line="46" w:lineRule="exact"/>
        <w:rPr>
          <w:rFonts w:ascii="Arial" w:cs="Arial" w:eastAsia="Arial" w:hAnsi="Arial"/>
          <w:sz w:val="16"/>
          <w:szCs w:val="16"/>
          <w:color w:val="auto"/>
        </w:rPr>
      </w:pPr>
    </w:p>
    <w:p>
      <w:pPr>
        <w:jc w:val="both"/>
        <w:ind w:firstLine="8"/>
        <w:spacing w:after="0" w:line="273" w:lineRule="auto"/>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England and Wales,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176" w:lineRule="exact"/>
        <w:rPr>
          <w:rFonts w:ascii="Arial" w:cs="Arial" w:eastAsia="Arial" w:hAnsi="Arial"/>
          <w:sz w:val="17"/>
          <w:szCs w:val="17"/>
          <w:color w:val="auto"/>
        </w:rPr>
      </w:pPr>
    </w:p>
    <w:p>
      <w:pPr>
        <w:ind w:firstLine="656"/>
        <w:spacing w:after="0" w:line="277" w:lineRule="auto"/>
        <w:tabs>
          <w:tab w:leader="none" w:pos="13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w:t>
      </w:r>
    </w:p>
    <w:p>
      <w:pPr>
        <w:spacing w:after="0" w:line="170" w:lineRule="exact"/>
        <w:rPr>
          <w:rFonts w:ascii="Arial" w:cs="Arial" w:eastAsia="Arial" w:hAnsi="Arial"/>
          <w:sz w:val="18"/>
          <w:szCs w:val="18"/>
          <w:color w:val="auto"/>
        </w:rPr>
      </w:pPr>
    </w:p>
    <w:p>
      <w:pPr>
        <w:jc w:val="both"/>
        <w:ind w:firstLine="656"/>
        <w:spacing w:after="0" w:line="296" w:lineRule="auto"/>
        <w:tabs>
          <w:tab w:leader="none" w:pos="1413"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61" w:lineRule="exact"/>
        <w:rPr>
          <w:rFonts w:ascii="Arial" w:cs="Arial" w:eastAsia="Arial" w:hAnsi="Arial"/>
          <w:sz w:val="16"/>
          <w:szCs w:val="16"/>
          <w:color w:val="auto"/>
        </w:rPr>
      </w:pPr>
    </w:p>
    <w:p>
      <w:pPr>
        <w:ind w:left="1420" w:hanging="764"/>
        <w:spacing w:after="0"/>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225" w:lineRule="exact"/>
        <w:rPr>
          <w:sz w:val="20"/>
          <w:szCs w:val="20"/>
          <w:color w:val="auto"/>
        </w:rPr>
      </w:pPr>
    </w:p>
    <w:p>
      <w:pPr>
        <w:jc w:val="both"/>
        <w:ind w:firstLine="656"/>
        <w:spacing w:after="0" w:line="259" w:lineRule="auto"/>
        <w:tabs>
          <w:tab w:leader="none" w:pos="14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(c) As used in this section: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left="1420" w:hanging="764"/>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Payments.</w:t>
      </w:r>
    </w:p>
    <w:p>
      <w:pPr>
        <w:spacing w:after="0" w:line="225" w:lineRule="exact"/>
        <w:rPr>
          <w:sz w:val="20"/>
          <w:szCs w:val="20"/>
          <w:color w:val="auto"/>
        </w:rPr>
      </w:pPr>
    </w:p>
    <w:p>
      <w:pPr>
        <w:jc w:val="both"/>
        <w:ind w:firstLine="656"/>
        <w:spacing w:after="0" w:line="287" w:lineRule="auto"/>
        <w:tabs>
          <w:tab w:leader="none" w:pos="139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sums payable by the Company under this Agreement shall be paid without set-off or counterclaim, and free and clear of and without deduction or withholding for or on account of any present or future taxes, levies, imposts, duties, fees, assessments or other charges of whatever nature and all interest, penalties or similar liabilities with respect thereto, unless such deduction or withholding is required by law. If the Company is required by law to deduct or withhold for or on account of tax from a payment made under this Agreement, the Company shall pay such additional amounts as may be necessary so that the net amount received by the recipient of the payment is equal to the amount the recipient would have received if such deduction or withholding had not been so required; provided, however, that no such additional amounts shall be payable: (i) with respect to taxes imposed by reason of the recipient having any present or former connection with the jurisdiction imposing such taxes (other than any connection resulting from the transactions contemplated by this Agreement); or (ii) to the extent that such taxes would not have been imposed but for the failure of the recipient to comply with a written notice requesting any certification, identification or other information concerning the nationality, residence, identity or connection with the jurisdiction imposing such taxes of the recipient that it is legally able to provide, if such compliance is required or imposed by law as a precondition to an exemption from, or reduction in, such taxes, and such compliance is not materially more onerous than the provision of an IRS Form W-8 or W-9.</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56"/>
        <w:spacing w:after="0" w:line="257" w:lineRule="auto"/>
        <w:tabs>
          <w:tab w:leader="none" w:pos="1419" w:val="left"/>
        </w:tabs>
        <w:numPr>
          <w:ilvl w:val="1"/>
          <w:numId w:val="54"/>
        </w:numPr>
        <w:rPr>
          <w:rFonts w:ascii="Arial" w:cs="Arial" w:eastAsia="Arial" w:hAnsi="Arial"/>
          <w:sz w:val="18"/>
          <w:szCs w:val="18"/>
          <w:color w:val="auto"/>
        </w:rPr>
      </w:pPr>
      <w:r>
        <w:rPr>
          <w:rFonts w:ascii="Arial" w:cs="Arial" w:eastAsia="Arial" w:hAnsi="Arial"/>
          <w:sz w:val="18"/>
          <w:szCs w:val="18"/>
          <w:color w:val="auto"/>
        </w:rPr>
        <w:t>Where the Company is obliged to pay any fee, commission, underwriting discount or other sum to the Representatives (on behalf of the Underwriters) or to any Underwriter pursuant to this Agreement, and any amount in respect of VAT is properly chargeable on it, being VAT for which the Representatives or relevant Underwriter is liable to account, (i) the relevant Underwriters shall provide to the Company a valid VAT invoice, and (ii) the Company shall pay to the recipient in addition to the sum otherwise payable an amount equal to the VAT for which the Representatives or relevant Underwriter is liable to account.</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4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Where, under the terms of this Agreement, the Company is liable to indemnify or reimburse or otherwise compensate any Underwriter or any other Indemnified Person in respect of any costs, charges or expenses, the payment shall include an amount equal to any VAT thereon that such Underwriter or Indemnified Person determines in good faith is not otherwise recoverable by such Underwriter or Indemnified Person, as applicable (or the representative member of any VAT group of which it forms part). If the relevant cost, charge or expense relates to a supply made to an Underwriter or other Indemnified Person in its capacity as agent of the Company, which is treated for VAT purposes as a supply made direct to the Company, such Underwriter or Indemnified Person shall use reasonable endeavours to procure that the supplier issues to the Company a valid VAT invoice in respect of such cost, charge or expense.</w:t>
      </w:r>
    </w:p>
    <w:p>
      <w:pPr>
        <w:spacing w:after="0" w:line="262" w:lineRule="exact"/>
        <w:rPr>
          <w:rFonts w:ascii="Arial" w:cs="Arial" w:eastAsia="Arial" w:hAnsi="Arial"/>
          <w:sz w:val="18"/>
          <w:szCs w:val="18"/>
          <w:color w:val="auto"/>
        </w:rPr>
      </w:pPr>
    </w:p>
    <w:p>
      <w:pPr>
        <w:jc w:val="both"/>
        <w:ind w:firstLine="656"/>
        <w:spacing w:after="0" w:line="299" w:lineRule="auto"/>
        <w:tabs>
          <w:tab w:leader="none" w:pos="1515"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the purposes of this Section 26, “VAT” shall mean (i) within the United Kingdom, any value added tax imposed by the VAT Act 1994, (ii) within the European Union, such tax as may be levied in accordance with (but subject to derogations from) the Directive 2006/112/EEC,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outside the United Kingdom and the European Union, any tax of a similar nature.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648"/>
        <w:spacing w:after="0" w:line="308" w:lineRule="auto"/>
        <w:rPr>
          <w:sz w:val="20"/>
          <w:szCs w:val="20"/>
          <w:color w:val="auto"/>
        </w:rPr>
      </w:pPr>
      <w:r>
        <w:rPr>
          <w:rFonts w:ascii="Arial" w:cs="Arial" w:eastAsia="Arial" w:hAnsi="Arial"/>
          <w:sz w:val="17"/>
          <w:szCs w:val="17"/>
          <w:color w:val="auto"/>
        </w:rPr>
        <w:t>If the foregoing is in accordance with your understanding, please sign and return this Agreement, and upon the acceptance hereof by you this Agreement and such acceptance hereof shall constitute a binding agreement between each of the Underwriters and the Company.</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Alex Shvartsburg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Elizabeth Wood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Benjamin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Benjamin Bible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James Stahlke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James Stahlke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27"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5020" w:type="dxa"/>
            <w:vAlign w:val="bottom"/>
            <w:gridSpan w:val="4"/>
          </w:tcPr>
          <w:p>
            <w:pPr>
              <w:jc w:val="center"/>
              <w:ind w:right="3520"/>
              <w:spacing w:after="0"/>
              <w:rPr>
                <w:sz w:val="20"/>
                <w:szCs w:val="20"/>
                <w:color w:val="auto"/>
              </w:rPr>
            </w:pPr>
            <w:r>
              <w:rPr>
                <w:rFonts w:ascii="Arial" w:cs="Arial" w:eastAsia="Arial" w:hAnsi="Arial"/>
                <w:sz w:val="18"/>
                <w:szCs w:val="18"/>
                <w:b w:val="1"/>
                <w:bCs w:val="1"/>
                <w:color w:val="auto"/>
              </w:rPr>
              <w:t>SCHEDULE I</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Underwritten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4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Securities to be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Securities to be</w:t>
            </w:r>
          </w:p>
        </w:tc>
      </w:tr>
      <w:tr>
        <w:trPr>
          <w:trHeight w:val="234"/>
        </w:trPr>
        <w:tc>
          <w:tcPr>
            <w:tcW w:w="4880" w:type="dxa"/>
            <w:vAlign w:val="bottom"/>
          </w:tcPr>
          <w:p>
            <w:pPr>
              <w:ind w:left="3640"/>
              <w:spacing w:after="0"/>
              <w:rPr>
                <w:sz w:val="20"/>
                <w:szCs w:val="20"/>
                <w:color w:val="auto"/>
              </w:rPr>
            </w:pPr>
            <w:r>
              <w:rPr>
                <w:rFonts w:ascii="Arial" w:cs="Arial" w:eastAsia="Arial" w:hAnsi="Arial"/>
                <w:sz w:val="18"/>
                <w:szCs w:val="18"/>
                <w:b w:val="1"/>
                <w:bCs w:val="1"/>
                <w:color w:val="auto"/>
              </w:rPr>
              <w:t>Underwriters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Acquired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Acquired</w:t>
            </w:r>
          </w:p>
        </w:tc>
      </w:tr>
      <w:tr>
        <w:trPr>
          <w:trHeight w:val="209"/>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3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1,623,637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Barclays Capital Inc.</w:t>
            </w:r>
          </w:p>
        </w:tc>
        <w:tc>
          <w:tcPr>
            <w:tcW w:w="5020" w:type="dxa"/>
            <w:vAlign w:val="bottom"/>
            <w:gridSpan w:val="4"/>
          </w:tcPr>
          <w:p>
            <w:pPr>
              <w:jc w:val="right"/>
              <w:ind w:right="220"/>
              <w:spacing w:after="0"/>
              <w:rPr>
                <w:sz w:val="20"/>
                <w:szCs w:val="20"/>
                <w:color w:val="auto"/>
              </w:rPr>
            </w:pPr>
            <w:r>
              <w:rPr>
                <w:rFonts w:ascii="Arial" w:cs="Arial" w:eastAsia="Arial" w:hAnsi="Arial"/>
                <w:sz w:val="18"/>
                <w:szCs w:val="18"/>
                <w:color w:val="auto"/>
              </w:rPr>
              <w:t>1,196,364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179,454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5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598,181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Robert W. Baird &amp; Co. Incorporated</w:t>
            </w:r>
          </w:p>
        </w:tc>
        <w:tc>
          <w:tcPr>
            <w:tcW w:w="5020" w:type="dxa"/>
            <w:vAlign w:val="bottom"/>
            <w:gridSpan w:val="4"/>
          </w:tcPr>
          <w:p>
            <w:pPr>
              <w:jc w:val="right"/>
              <w:ind w:right="220"/>
              <w:spacing w:after="0"/>
              <w:rPr>
                <w:sz w:val="20"/>
                <w:szCs w:val="20"/>
                <w:color w:val="auto"/>
              </w:rPr>
            </w:pPr>
            <w:r>
              <w:rPr>
                <w:rFonts w:ascii="Arial" w:cs="Arial" w:eastAsia="Arial" w:hAnsi="Arial"/>
                <w:sz w:val="18"/>
                <w:szCs w:val="18"/>
                <w:color w:val="auto"/>
              </w:rPr>
              <w:t>109,091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16,364</w:t>
            </w:r>
          </w:p>
        </w:tc>
      </w:tr>
      <w:tr>
        <w:trPr>
          <w:trHeight w:val="22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5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109,091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16,364</w:t>
            </w:r>
          </w:p>
        </w:tc>
      </w:tr>
      <w:tr>
        <w:trPr>
          <w:trHeight w:val="224"/>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3,636,364</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545,454</w:t>
            </w:r>
          </w:p>
        </w:tc>
        <w:tc>
          <w:tcPr>
            <w:tcW w:w="100" w:type="dxa"/>
            <w:vAlign w:val="bottom"/>
          </w:tcPr>
          <w:p>
            <w:pPr>
              <w:spacing w:after="0"/>
              <w:rPr>
                <w:sz w:val="19"/>
                <w:szCs w:val="19"/>
                <w:color w:val="auto"/>
              </w:rPr>
            </w:pPr>
          </w:p>
        </w:tc>
      </w:tr>
      <w:tr>
        <w:trPr>
          <w:trHeight w:val="634"/>
        </w:trPr>
        <w:tc>
          <w:tcPr>
            <w:tcW w:w="48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9" w:name="page40"/>
    <w:bookmarkEnd w:id="39"/>
    <w:p>
      <w:pPr>
        <w:ind w:left="5032"/>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left="972" w:right="4059" w:hanging="972"/>
        <w:spacing w:after="0" w:line="277"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None</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23" w:lineRule="exact"/>
        <w:rPr>
          <w:sz w:val="20"/>
          <w:szCs w:val="20"/>
          <w:color w:val="auto"/>
        </w:rPr>
      </w:pPr>
    </w:p>
    <w:p>
      <w:pPr>
        <w:ind w:left="972"/>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ind w:left="972" w:right="3239" w:hanging="972"/>
        <w:spacing w:after="0" w:line="287" w:lineRule="auto"/>
        <w:tabs>
          <w:tab w:leader="none" w:pos="2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Information other than the Pricing Prospectus that comprise the Pricing Disclosure Package: The initial public offering price per share for the Securities is $82.50 per share. The number of Firm Securities acquired by the Underwriters is 3,636,364.</w:t>
      </w:r>
    </w:p>
    <w:p>
      <w:pPr>
        <w:spacing w:after="0" w:line="2" w:lineRule="exact"/>
        <w:rPr>
          <w:rFonts w:ascii="Arial" w:cs="Arial" w:eastAsia="Arial" w:hAnsi="Arial"/>
          <w:sz w:val="16"/>
          <w:szCs w:val="16"/>
          <w:color w:val="auto"/>
        </w:rPr>
      </w:pPr>
    </w:p>
    <w:p>
      <w:pPr>
        <w:ind w:left="972"/>
        <w:spacing w:after="0"/>
        <w:rPr>
          <w:rFonts w:ascii="Arial" w:cs="Arial" w:eastAsia="Arial" w:hAnsi="Arial"/>
          <w:sz w:val="16"/>
          <w:szCs w:val="16"/>
          <w:color w:val="auto"/>
        </w:rPr>
      </w:pPr>
      <w:r>
        <w:rPr>
          <w:rFonts w:ascii="Arial" w:cs="Arial" w:eastAsia="Arial" w:hAnsi="Arial"/>
          <w:sz w:val="16"/>
          <w:szCs w:val="16"/>
          <w:color w:val="auto"/>
        </w:rPr>
        <w:t>The Company has granted the Underwriters the right to acquire up to an additional 545,454 Optional Securities.</w:t>
      </w:r>
    </w:p>
    <w:p>
      <w:pPr>
        <w:spacing w:after="0" w:line="233" w:lineRule="exact"/>
        <w:rPr>
          <w:rFonts w:ascii="Arial" w:cs="Arial" w:eastAsia="Arial" w:hAnsi="Arial"/>
          <w:sz w:val="16"/>
          <w:szCs w:val="16"/>
          <w:color w:val="auto"/>
        </w:rPr>
      </w:pPr>
    </w:p>
    <w:p>
      <w:pPr>
        <w:ind w:left="252" w:hanging="252"/>
        <w:spacing w:after="0"/>
        <w:tabs>
          <w:tab w:leader="none" w:pos="2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23" w:lineRule="exact"/>
        <w:rPr>
          <w:sz w:val="20"/>
          <w:szCs w:val="20"/>
          <w:color w:val="auto"/>
        </w:rPr>
      </w:pPr>
    </w:p>
    <w:p>
      <w:pPr>
        <w:ind w:left="972"/>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ind w:left="549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40" w:name="page41"/>
    <w:bookmarkEnd w:id="40"/>
    <w:p>
      <w:pPr>
        <w:jc w:val="center"/>
        <w:ind w:right="-768"/>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LIST OF PERSONS SUBJECT TO LOCK-UP</w:t>
      </w:r>
    </w:p>
    <w:p>
      <w:pPr>
        <w:spacing w:after="0" w:line="225" w:lineRule="exact"/>
        <w:rPr>
          <w:sz w:val="20"/>
          <w:szCs w:val="20"/>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Damien McDonald</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Alex Shvartsburg</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Keyna Skeffington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Marco Dolci</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Trui Hebbelinck</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William Kozy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Francesco Bianchi</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Stacy Enxing Seng</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Daniel Moore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Alfred J. Novak</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Sharon O'Kane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Arthur L. Rosenthal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Andrea L. Saia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Todd C. Schermerhorn</w:t>
      </w:r>
    </w:p>
    <w:p>
      <w:pPr>
        <w:spacing w:after="0" w:line="200" w:lineRule="exact"/>
        <w:rPr>
          <w:sz w:val="20"/>
          <w:szCs w:val="20"/>
          <w:color w:val="auto"/>
        </w:rPr>
      </w:pPr>
    </w:p>
    <w:p>
      <w:pPr>
        <w:spacing w:after="0" w:line="227" w:lineRule="exact"/>
        <w:rPr>
          <w:sz w:val="20"/>
          <w:szCs w:val="20"/>
          <w:color w:val="auto"/>
        </w:rPr>
      </w:pPr>
    </w:p>
    <w:p>
      <w:pPr>
        <w:ind w:left="520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904"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LivaNova PLC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understands that you propose to enter into an Underwriting Agreement with LivaNova PLC, a company organized under the laws of England and Wales with the registration number 09451374 (the “Company”), providing for a public offering (the “Public Offering”) of the ordinary shares of the Company (the “Ordinary Shares”) pursuant to a Registration Statement on Form S-3 to be filed with the Securities and Exchange Commission (the “SEC”).</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consideration of the agreement by the Underwriters to offer and sell Ordinary Shares in the Public Offering, and of other good and valuable consideration the receipt and sufficiency of which is hereby acknowledged, the undersigned agrees that, during the period beginning from the date of this Lock-Up Agreement and continuing to and including the date 90 days after the date of the final prospectus covering the Public Offering (the “Lock-Up Period”), the undersigned shall not, and shall not cause or direct any of its affiliates to, (i) offer, sell, contract to sell, pledge, grant any option to purchase, lend or otherwise dispose of any Ordinary Shares, or any options or warrants to purchase any Ordinary Shares, or any securities convertible into, exchangeable for or that represent the right to receive Ordinary Shares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Ordinary Shares or Derivative Instruments, whether any such transaction or arrangement (or instrument provided for thereunder) would be settled by delivery of the Ordinary Shares or other securities, in cash or otherwise (any such sale, loan, pledge or other disposition, or transfer of economic consequences, a “Transfer”) or</w:t>
      </w:r>
    </w:p>
    <w:p>
      <w:pPr>
        <w:spacing w:after="0" w:line="2" w:lineRule="exact"/>
        <w:rPr>
          <w:sz w:val="20"/>
          <w:szCs w:val="20"/>
          <w:color w:val="auto"/>
        </w:rPr>
      </w:pPr>
    </w:p>
    <w:p>
      <w:pPr>
        <w:jc w:val="both"/>
        <w:ind w:firstLine="8"/>
        <w:spacing w:after="0" w:line="255" w:lineRule="auto"/>
        <w:tabs>
          <w:tab w:leader="none" w:pos="3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cause any action or activity described in clause (i) above or transaction or arrangement described in clause (ii) above. For the avoidance of doubt, the undersigned agrees that the foregoing provisions shall be equally applicable to any issuer-directed or other Ordinary Shares the undersigned may purchase in the offering.</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83" w:lineRule="auto"/>
        <w:rPr>
          <w:sz w:val="20"/>
          <w:szCs w:val="20"/>
          <w:color w:val="auto"/>
        </w:rPr>
      </w:pPr>
      <w:r>
        <w:rPr>
          <w:rFonts w:ascii="Arial" w:cs="Arial" w:eastAsia="Arial" w:hAnsi="Arial"/>
          <w:sz w:val="16"/>
          <w:szCs w:val="16"/>
          <w:color w:val="auto"/>
        </w:rPr>
        <w:t xml:space="preserve">Notwithstanding the foregoing, the undersigned may transfer the undersigned’s Ordinary Shares or Derivative Instruments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provided that the donee or donees thereof agree to be bound in writing by the restrictions set forth herein and provided further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filing on a Form 5 or Form 13F made after the expiration of the Lock-Up Period), (ii) to the immediate family member of the undersigned, or any trust for the direct or indirect benefit of the undersigned, or any successors upon death, provided that such immediate family member or the trustee of the trust agrees to be bound in writing by the restrictions set forth herein, provided further that any such transfer shall not involve a disposition for value and provided further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filing on a Form 5 or Form 13F made after the expiration of the Lock-Up Period), (iii) to the extent such Ordinary Shares were acquired in open market transactions after the completion of the Offering, provided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filing on a Form 5 or Form 13F made after the expiration of the Lock-Up Period), (iv) by operation of law, such as pursuant to a domestic relations order, pursuant to a will or in connection with a divorce settlement provided that such transferee agrees to be bound in writing by the restrictions set forth herein and provided further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filing on a Form 5 or Form 13F made after the expiration of the Lock-Up Period), (v) in connection with the establishment of a trading plan pursuant to Rule 10b5-1 under the Exchange Act for the transfer of Ordinary Shares, provided that (A) such plan does not provide for the transfer of Ordinary Shares during the Lock-Up Period, (B) if the undersigned is required to file a report under Section 16(a) of the Exchange Act reporting the establishment of such plan during the Lock-Up Period, such filing shall include a statement to the effect that no transfer of Ordinary Shares may be made under such plan during the Lock-Up Period and (C) no other public filing or announcement shall be required or shall be made voluntarily in connection with the establishment of such plan, (vi) to a corporation, partnership, or limited liability company or other entity that controls or is controlled by, or is under common control with, the undersigned and/or by members of the immediate family of the undersigned, or to any investment fund or other entity controlled or managed by the undersigned, provided that the recipient agrees to be bound in writing by the restrictions set forth herein, provided further that any such transfer shall not involve a disposition for value and provided further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filing on a Form 5 or Form 13F made after the expiration of the Lock-Up Period), (vii) to the Company in connection with the “net” or “cashless” exercise of any options outstanding as of the date of this Lock-Up Letter Agreement to acquire Ordinary Shares pursuant to any employee benefit plans described in the prospectus, provided that the Ordinary Shares received upon such exercise shall be subject to the terms of this Lock-Up Letter Agreement and provided further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any required filing under the Exchange Act which indicates the nature of such transfer, and (B) any required filing on a Form 5 or Form 13F made after the expiration of the Lock-Up Period), (viii) to the Company for the primary purposes of satisfying any tax or other governmental withholding obligation with respect to Ordinary Shares issued upon the exercise of an option or warrant (or upon the exchange of another security or securities) pursuant to a plan described in the prospectus, or issued under an employee equity or benefit plan described in the prospectus, provided that no filing by any party under the Exchange Act, or other public announcement reporting a reduction in the beneficial ownership of Ordinary Shares held by the undersigned shall be required or shall be made voluntarily in connection with such transfer, disposition or distribution (other than (A) any required filing under the Exchange Act which indicates the nature of such transfer, and (B) any required filing on a Form 5 or Form 13F made after the expiration of the Lock-Up Period), (ix) pursuant to a bona fide third-party tender offer for all outstanding Ordinary Shares, merger, consolidation or other similar transaction approved by the Board of Directors of the Company and made to all holders of the Ordinary Shares involving a change of control of the Company (including, without limitation, the entering into any lock-up, voting or similar agreement pursuant to which the undersigned may agree to transfer, sell, tender or otherwise dispose of Ordinary Shares or other such securities in connection with such transaction, or vote any Ordinary Shares in favor of any such transaction), provided that in the event that such tender offer, merger, consolidation or other such transaction is not completed, such Ordinary Shares held by the undersigned shall remain subject to the provisions of this Lock-Up Letter Agreement, (x) with the prior written consent of Goldman Sachs &amp; Co. LLC and Barclays Capital Inc. [or (xi) pursuant to the trading plan previously provided to you, which complies with Rule 10b5-1 under the Exchange Act and has been entered into by the undersigned prior to the date of this lock-up agreement, provided that (x) any filing under Section 16 of the Exchange Act made during the Lock-Up Period shall clearly indicate in the footnotes thereto that the filing relates to the circumstances described above and (y) the undersigned does not otherwise voluntarily effect any public filing</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or report regarding such sales or transfers during the Lock-Up Period.]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For purposes of this Lock-Up Agreement, “immediate family” shall mean any relationship by blood, marriage or adoption, not more remote than first cousin. For purposes of this Lock-Up Letter Agreement, “change of control” shall mean the consummation of any bona fide third party tender offer, merger, consolidation or similar transaction the result of which is that any “person” (as defined in Section 13(d)(3) of the Exchange Act), or group of persons, other than the Company, becomes the beneficial owner (as defined in Rules 13d-3 and 13d-5 of the Exchange Act) of 50% of the total voting power of the voting stock of the Company. The undersigned now has, and, except as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contemplated by clause (i) through (x)</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above, for the duration of this Lock-Up Agreement will have, good and marketable title to the undersigned’s Ordinary Shares, free and clear of all liens, encumbrances, and claims whatsoever. The undersigned also agrees and consents to the entry of stop transfer instructions with the Company’s transfer agent and registrar against the transfer of the undersigned’s Ordinary Shares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 NTD: For Dan Moore's active 105-1 plan only.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NTD: To be (xi) for Dan Moore's lock-up agreement.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Lock-Up Agreement and the restrictions contained herein shall terminate automatically upon the earliest to occur, if applicable, of (a) the date the Company has determined not to proceed with the Public Offering and the Company has provided written notice, prior to the execution of the Underwriting Agreement, of such decision to the Underwriters, (b) the termination of the Underwriting Agreement (other than the provisions thereof which survive termination) prior to payment for and delivery of the Ordinary Shares or (c) August 31, 2021 if, and only if, the Underwriting Agreement has not been executed by such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4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-115570</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154305</wp:posOffset>
            </wp:positionV>
            <wp:extent cx="5923280" cy="1628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2328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August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 Eastbourne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6LG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We have acted as special English counsel to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a public limited company incorporated under the laws of England and Wales, in connection with the Company’s offering (the “</w:t>
      </w:r>
      <w:r>
        <w:rPr>
          <w:rFonts w:ascii="Arial" w:cs="Arial" w:eastAsia="Arial" w:hAnsi="Arial"/>
          <w:sz w:val="18"/>
          <w:szCs w:val="18"/>
          <w:b w:val="1"/>
          <w:bCs w:val="1"/>
          <w:color w:val="auto"/>
        </w:rPr>
        <w:t>Offering</w:t>
      </w:r>
      <w:r>
        <w:rPr>
          <w:rFonts w:ascii="Arial" w:cs="Arial" w:eastAsia="Arial" w:hAnsi="Arial"/>
          <w:sz w:val="18"/>
          <w:szCs w:val="18"/>
          <w:color w:val="auto"/>
        </w:rPr>
        <w:t>”) pursuant to a registration statement on Form S-3 (No. 333-258359) of ordinary shares with a nominal value of £1 each (the “</w:t>
      </w:r>
      <w:r>
        <w:rPr>
          <w:rFonts w:ascii="Arial" w:cs="Arial" w:eastAsia="Arial" w:hAnsi="Arial"/>
          <w:sz w:val="18"/>
          <w:szCs w:val="18"/>
          <w:b w:val="1"/>
          <w:bCs w:val="1"/>
          <w:color w:val="auto"/>
        </w:rPr>
        <w:t>Securities</w:t>
      </w:r>
      <w:r>
        <w:rPr>
          <w:rFonts w:ascii="Arial" w:cs="Arial" w:eastAsia="Arial" w:hAnsi="Arial"/>
          <w:sz w:val="18"/>
          <w:szCs w:val="18"/>
          <w:color w:val="auto"/>
        </w:rPr>
        <w:t>”). Such registration statement, as amended as of its most recent effective date (3 August 2021), insofar as it relates to the Securities (as determined for purposes of Rule 430B(f)(2)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including the documents incorporated by reference therein, is herein called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 related prospectus dated 2 August 2021, as supplemented by the related prospectus supplement dated 3 August 2021, each 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Rule 424(b) under the Securities Act, including the documents incorporated by reference therein, is herein called the “</w:t>
      </w:r>
      <w:r>
        <w:rPr>
          <w:rFonts w:ascii="Arial" w:cs="Arial" w:eastAsia="Arial" w:hAnsi="Arial"/>
          <w:sz w:val="18"/>
          <w:szCs w:val="18"/>
          <w:b w:val="1"/>
          <w:bCs w:val="1"/>
          <w:color w:val="auto"/>
        </w:rPr>
        <w:t>Final Prospectus</w:t>
      </w:r>
      <w:r>
        <w:rPr>
          <w:rFonts w:ascii="Arial" w:cs="Arial" w:eastAsia="Arial" w:hAnsi="Arial"/>
          <w:sz w:val="18"/>
          <w:szCs w:val="18"/>
          <w:color w:val="auto"/>
        </w:rPr>
        <w:t>.”</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connection with the Offering, we have been asked to provide an opinion on certain matters as set out below. We have taken instruction in this regard solely from the Company.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We understand that the Securities are not and are not intended to be admitted to trading on any market or exchange, or otherwise listed, in the United Kingdom.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225" w:lineRule="exact"/>
        <w:rPr>
          <w:sz w:val="20"/>
          <w:szCs w:val="20"/>
          <w:color w:val="auto"/>
        </w:rPr>
      </w:pPr>
    </w:p>
    <w:p>
      <w:pPr>
        <w:ind w:left="1920" w:hanging="616"/>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151765</wp:posOffset>
            </wp:positionV>
            <wp:extent cx="5443220" cy="351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43220" cy="3517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800" w:hanging="616"/>
        <w:spacing w:after="0" w:line="282"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copy of the executed underwriting agreement dated 3 August 2021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between the Company and the several underwriters named in Schedule I thereto; and</w:t>
      </w:r>
    </w:p>
    <w:p>
      <w:pPr>
        <w:spacing w:after="0" w:line="161" w:lineRule="exact"/>
        <w:rPr>
          <w:rFonts w:ascii="Arial" w:cs="Arial" w:eastAsia="Arial" w:hAnsi="Arial"/>
          <w:sz w:val="18"/>
          <w:szCs w:val="18"/>
          <w:color w:val="auto"/>
        </w:rPr>
      </w:pPr>
    </w:p>
    <w:p>
      <w:pPr>
        <w:jc w:val="both"/>
        <w:ind w:left="800" w:hanging="616"/>
        <w:spacing w:after="0" w:line="266"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dated 6 August 2021 signed by an authorised signatory of the Company (the “</w:t>
      </w:r>
      <w:r>
        <w:rPr>
          <w:rFonts w:ascii="Arial" w:cs="Arial" w:eastAsia="Arial" w:hAnsi="Arial"/>
          <w:sz w:val="18"/>
          <w:szCs w:val="18"/>
          <w:b w:val="1"/>
          <w:bCs w:val="1"/>
          <w:color w:val="auto"/>
        </w:rPr>
        <w:t>Company’s Certificate</w:t>
      </w:r>
      <w:r>
        <w:rPr>
          <w:rFonts w:ascii="Arial" w:cs="Arial" w:eastAsia="Arial" w:hAnsi="Arial"/>
          <w:sz w:val="18"/>
          <w:szCs w:val="18"/>
          <w:color w:val="auto"/>
        </w:rPr>
        <w:t>”) relating to certain factual matters and having annexed thereto and certified as true, complete and up-to-date copies, the following documents:</w:t>
      </w:r>
    </w:p>
    <w:p>
      <w:pPr>
        <w:spacing w:after="0" w:line="175" w:lineRule="exact"/>
        <w:rPr>
          <w:rFonts w:ascii="Arial" w:cs="Arial" w:eastAsia="Arial" w:hAnsi="Arial"/>
          <w:sz w:val="18"/>
          <w:szCs w:val="18"/>
          <w:color w:val="auto"/>
        </w:rPr>
      </w:pPr>
    </w:p>
    <w:p>
      <w:pPr>
        <w:ind w:left="1440" w:hanging="608"/>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current articles of association of the Company adopted with effect from 29 June 2020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40" w:hanging="608"/>
        <w:spacing w:after="0"/>
        <w:tabs>
          <w:tab w:leader="none" w:pos="14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resolutions passed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on 23 July 2021 (the “</w:t>
      </w:r>
      <w:r>
        <w:rPr>
          <w:rFonts w:ascii="Arial" w:cs="Arial" w:eastAsia="Arial" w:hAnsi="Arial"/>
          <w:sz w:val="16"/>
          <w:szCs w:val="16"/>
          <w:b w:val="1"/>
          <w:bCs w:val="1"/>
          <w:color w:val="auto"/>
        </w:rPr>
        <w:t>Board Resolutions</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440" w:hanging="608"/>
        <w:spacing w:after="0" w:line="282" w:lineRule="auto"/>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resolutions of the committee (the “</w:t>
      </w:r>
      <w:r>
        <w:rPr>
          <w:rFonts w:ascii="Arial" w:cs="Arial" w:eastAsia="Arial" w:hAnsi="Arial"/>
          <w:sz w:val="18"/>
          <w:szCs w:val="18"/>
          <w:b w:val="1"/>
          <w:bCs w:val="1"/>
          <w:color w:val="auto"/>
        </w:rPr>
        <w:t>Committee</w:t>
      </w:r>
      <w:r>
        <w:rPr>
          <w:rFonts w:ascii="Arial" w:cs="Arial" w:eastAsia="Arial" w:hAnsi="Arial"/>
          <w:sz w:val="18"/>
          <w:szCs w:val="18"/>
          <w:color w:val="auto"/>
        </w:rPr>
        <w:t>”) established by the Board passed on 3 August 2021 (the “</w:t>
      </w:r>
      <w:r>
        <w:rPr>
          <w:rFonts w:ascii="Arial" w:cs="Arial" w:eastAsia="Arial" w:hAnsi="Arial"/>
          <w:sz w:val="18"/>
          <w:szCs w:val="18"/>
          <w:b w:val="1"/>
          <w:bCs w:val="1"/>
          <w:color w:val="auto"/>
        </w:rPr>
        <w:t>Committee Resolutions</w:t>
      </w:r>
      <w:r>
        <w:rPr>
          <w:rFonts w:ascii="Arial" w:cs="Arial" w:eastAsia="Arial" w:hAnsi="Arial"/>
          <w:sz w:val="18"/>
          <w:szCs w:val="18"/>
          <w:color w:val="auto"/>
        </w:rPr>
        <w:t>”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jc w:val="both"/>
        <w:ind w:left="1440" w:hanging="608"/>
        <w:spacing w:after="0" w:line="259" w:lineRule="auto"/>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ordinary resolution passed by the shareholders of the Company at the Company’s annual general meeting held on 9 June 2021 (the “</w:t>
      </w:r>
      <w:r>
        <w:rPr>
          <w:rFonts w:ascii="Arial" w:cs="Arial" w:eastAsia="Arial" w:hAnsi="Arial"/>
          <w:sz w:val="18"/>
          <w:szCs w:val="18"/>
          <w:b w:val="1"/>
          <w:bCs w:val="1"/>
          <w:color w:val="auto"/>
        </w:rPr>
        <w:t>2021 AGM</w:t>
      </w:r>
      <w:r>
        <w:rPr>
          <w:rFonts w:ascii="Arial" w:cs="Arial" w:eastAsia="Arial" w:hAnsi="Arial"/>
          <w:sz w:val="18"/>
          <w:szCs w:val="18"/>
          <w:color w:val="auto"/>
        </w:rPr>
        <w:t>”) granting the Board authority, for the purposes of section 551 of the Companies Act 2006, to allot new shares and to grant rights to subscribe for, or to convert any security into, shares, up to an aggregate nominal value of £16,122,679 (the “</w:t>
      </w:r>
      <w:r>
        <w:rPr>
          <w:rFonts w:ascii="Arial" w:cs="Arial" w:eastAsia="Arial" w:hAnsi="Arial"/>
          <w:sz w:val="18"/>
          <w:szCs w:val="18"/>
          <w:b w:val="1"/>
          <w:bCs w:val="1"/>
          <w:color w:val="auto"/>
        </w:rPr>
        <w:t>Shareholders’ Resolution</w:t>
      </w:r>
      <w:r>
        <w:rPr>
          <w:rFonts w:ascii="Arial" w:cs="Arial" w:eastAsia="Arial" w:hAnsi="Arial"/>
          <w:sz w:val="18"/>
          <w:szCs w:val="18"/>
          <w:color w:val="auto"/>
        </w:rPr>
        <w: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rendering the opinions expressed below we have assumed and not verified:</w:t>
      </w:r>
    </w:p>
    <w:p>
      <w:pPr>
        <w:spacing w:after="0" w:line="225" w:lineRule="exact"/>
        <w:rPr>
          <w:sz w:val="20"/>
          <w:szCs w:val="20"/>
          <w:color w:val="auto"/>
        </w:rPr>
      </w:pPr>
    </w:p>
    <w:p>
      <w:pPr>
        <w:ind w:left="840" w:hanging="656"/>
        <w:spacing w:after="0" w:line="277"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the authenticity and completeness of all documents supplied to us and the conformity to the originals of all documents supplied to us as photocopies, facsimile or electronic copies;</w:t>
      </w:r>
    </w:p>
    <w:p>
      <w:pPr>
        <w:spacing w:after="0" w:line="170" w:lineRule="exact"/>
        <w:rPr>
          <w:rFonts w:ascii="Arial" w:cs="Arial" w:eastAsia="Arial" w:hAnsi="Arial"/>
          <w:sz w:val="18"/>
          <w:szCs w:val="18"/>
          <w:color w:val="auto"/>
        </w:rPr>
      </w:pPr>
    </w:p>
    <w:p>
      <w:pPr>
        <w:ind w:left="840" w:right="20" w:hanging="656"/>
        <w:spacing w:after="0" w:line="277"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specimen or certificated form, it has been or will be executed in the form of that draft, specimen or certificate;</w:t>
      </w:r>
    </w:p>
    <w:p>
      <w:pPr>
        <w:spacing w:after="0" w:line="170" w:lineRule="exact"/>
        <w:rPr>
          <w:rFonts w:ascii="Arial" w:cs="Arial" w:eastAsia="Arial" w:hAnsi="Arial"/>
          <w:sz w:val="18"/>
          <w:szCs w:val="18"/>
          <w:color w:val="auto"/>
        </w:rPr>
      </w:pPr>
    </w:p>
    <w:p>
      <w:pPr>
        <w:ind w:left="840" w:hanging="656"/>
        <w:spacing w:after="0" w:line="277"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accuracy as to factual matters of each document we have reviewed, including, without limitation, the accuracy and completeness of all statements in the Company’s Certificate;</w:t>
      </w:r>
    </w:p>
    <w:p>
      <w:pPr>
        <w:spacing w:after="0" w:line="170" w:lineRule="exact"/>
        <w:rPr>
          <w:rFonts w:ascii="Arial" w:cs="Arial" w:eastAsia="Arial" w:hAnsi="Arial"/>
          <w:sz w:val="18"/>
          <w:szCs w:val="18"/>
          <w:color w:val="auto"/>
        </w:rPr>
      </w:pPr>
    </w:p>
    <w:p>
      <w:pPr>
        <w:ind w:left="840" w:hanging="656"/>
        <w:spacing w:after="0" w:line="277"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the copy of the executed Underwriting Agreement presented to us is an accurate copy of the Underwriting Agreement in the form it existed when it was executed;</w:t>
      </w:r>
    </w:p>
    <w:p>
      <w:pPr>
        <w:spacing w:after="0" w:line="170" w:lineRule="exact"/>
        <w:rPr>
          <w:rFonts w:ascii="Arial" w:cs="Arial" w:eastAsia="Arial" w:hAnsi="Arial"/>
          <w:sz w:val="18"/>
          <w:szCs w:val="18"/>
          <w:color w:val="auto"/>
        </w:rPr>
      </w:pPr>
    </w:p>
    <w:p>
      <w:pPr>
        <w:ind w:left="840" w:right="20" w:hanging="656"/>
        <w:spacing w:after="0" w:line="277"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the Underwriting Agreement constitutes valid and binding obligations of each of the parties thereto enforceable under all applicable laws;</w:t>
      </w:r>
    </w:p>
    <w:p>
      <w:pPr>
        <w:spacing w:after="0" w:line="38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jc w:val="both"/>
        <w:ind w:left="840" w:hanging="656"/>
        <w:spacing w:after="0" w:line="259"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the Underwriting Agreement has been entered into for bona fide commercial reasons and on arm’s length terms by each of the parties thereto, the Underwriting Agreement has not been entered into as a result of misrepresentation, mistake, duress or unlawful activity, and there has been no fraud inducing any party to enter into the Underwriting Agreement on the terms set out therein;</w:t>
      </w:r>
    </w:p>
    <w:p>
      <w:pPr>
        <w:spacing w:after="0" w:line="186" w:lineRule="exact"/>
        <w:rPr>
          <w:rFonts w:ascii="Arial" w:cs="Arial" w:eastAsia="Arial" w:hAnsi="Arial"/>
          <w:sz w:val="18"/>
          <w:szCs w:val="18"/>
          <w:color w:val="auto"/>
        </w:rPr>
      </w:pPr>
    </w:p>
    <w:p>
      <w:pPr>
        <w:jc w:val="both"/>
        <w:ind w:left="840" w:hanging="656"/>
        <w:spacing w:after="0" w:line="263"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the performance of any obligations under the Underwriting Agreement that either fall to be performed outside England or that are impacted by applicable local law, is not contrary to applicable local law and there is no local legal requirement that the performance of such obligations by that party needs to be governed by local law;</w:t>
      </w:r>
    </w:p>
    <w:p>
      <w:pPr>
        <w:spacing w:after="0" w:line="183" w:lineRule="exact"/>
        <w:rPr>
          <w:rFonts w:ascii="Arial" w:cs="Arial" w:eastAsia="Arial" w:hAnsi="Arial"/>
          <w:sz w:val="18"/>
          <w:szCs w:val="18"/>
          <w:color w:val="auto"/>
        </w:rPr>
      </w:pPr>
    </w:p>
    <w:p>
      <w:pPr>
        <w:jc w:val="both"/>
        <w:ind w:left="840" w:hanging="656"/>
        <w:spacing w:after="0" w:line="286"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that the Company has fully complied with its obligations under all applicable anti-terrorism, anti-money laundering, sanctions and human rights legislation, and that the performance of any obligations under the Underwriting Agreement and the allotment and issue of Securities pursuant to the Final Prospectus will be compliant with such laws;</w:t>
      </w:r>
    </w:p>
    <w:p>
      <w:pPr>
        <w:spacing w:after="0" w:line="165" w:lineRule="exact"/>
        <w:rPr>
          <w:rFonts w:ascii="Arial" w:cs="Arial" w:eastAsia="Arial" w:hAnsi="Arial"/>
          <w:sz w:val="17"/>
          <w:szCs w:val="17"/>
          <w:color w:val="auto"/>
        </w:rPr>
      </w:pPr>
    </w:p>
    <w:p>
      <w:pPr>
        <w:ind w:left="840" w:hanging="656"/>
        <w:spacing w:after="0" w:line="277"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no document has been entered into by any of the parties thereto in connection with any money laundering or any other unlawful activity;</w:t>
      </w:r>
    </w:p>
    <w:p>
      <w:pPr>
        <w:spacing w:after="0" w:line="170" w:lineRule="exact"/>
        <w:rPr>
          <w:rFonts w:ascii="Arial" w:cs="Arial" w:eastAsia="Arial" w:hAnsi="Arial"/>
          <w:sz w:val="18"/>
          <w:szCs w:val="18"/>
          <w:color w:val="auto"/>
        </w:rPr>
      </w:pPr>
    </w:p>
    <w:p>
      <w:pPr>
        <w:jc w:val="both"/>
        <w:ind w:left="840" w:hanging="656"/>
        <w:spacing w:after="0" w:line="259"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all consents, approvals, notices, filings and registrations which are necessary under any applicable laws or regulations (other than laws or regulations of England and Wales) in order to permit the execution, delivery or performance of the Underwriting Agreement and the allotment and issue of Securities pursuant to the Final Prospectus have been or will be duly made or obtained;</w:t>
      </w:r>
    </w:p>
    <w:p>
      <w:pPr>
        <w:spacing w:after="0" w:line="186" w:lineRule="exact"/>
        <w:rPr>
          <w:rFonts w:ascii="Arial" w:cs="Arial" w:eastAsia="Arial" w:hAnsi="Arial"/>
          <w:sz w:val="18"/>
          <w:szCs w:val="18"/>
          <w:color w:val="auto"/>
        </w:rPr>
      </w:pPr>
    </w:p>
    <w:p>
      <w:pPr>
        <w:jc w:val="both"/>
        <w:ind w:left="840" w:right="20" w:hanging="656"/>
        <w:spacing w:after="0" w:line="263"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183" w:lineRule="exact"/>
        <w:rPr>
          <w:rFonts w:ascii="Arial" w:cs="Arial" w:eastAsia="Arial" w:hAnsi="Arial"/>
          <w:sz w:val="18"/>
          <w:szCs w:val="18"/>
          <w:color w:val="auto"/>
        </w:rPr>
      </w:pPr>
    </w:p>
    <w:p>
      <w:pPr>
        <w:jc w:val="both"/>
        <w:ind w:left="840" w:hanging="656"/>
        <w:spacing w:after="0" w:line="279"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that the Company has complied with all applicable provisions of the Financial Services Act 2012 and the Financial Services and Markets Act 2000, as amended (the “</w:t>
      </w:r>
      <w:r>
        <w:rPr>
          <w:rFonts w:ascii="Arial" w:cs="Arial" w:eastAsia="Arial" w:hAnsi="Arial"/>
          <w:sz w:val="17"/>
          <w:szCs w:val="17"/>
          <w:b w:val="1"/>
          <w:bCs w:val="1"/>
          <w:color w:val="auto"/>
        </w:rPr>
        <w:t>FSMA</w:t>
      </w:r>
      <w:r>
        <w:rPr>
          <w:rFonts w:ascii="Arial" w:cs="Arial" w:eastAsia="Arial" w:hAnsi="Arial"/>
          <w:sz w:val="17"/>
          <w:szCs w:val="17"/>
          <w:color w:val="auto"/>
        </w:rPr>
        <w:t>”) and any applicable secondary legislation made under any of the foregoing with respect to anything done by the Company in relation to the Securities from or otherwise involving the United Kingdom (including Sections 19 (carrying on a regulated activity), 21 (financial promotion), and 85 (public offers) of FSMA);</w:t>
      </w:r>
    </w:p>
    <w:p>
      <w:pPr>
        <w:spacing w:after="0" w:line="171" w:lineRule="exact"/>
        <w:rPr>
          <w:rFonts w:ascii="Arial" w:cs="Arial" w:eastAsia="Arial" w:hAnsi="Arial"/>
          <w:sz w:val="17"/>
          <w:szCs w:val="17"/>
          <w:color w:val="auto"/>
        </w:rPr>
      </w:pPr>
    </w:p>
    <w:p>
      <w:pPr>
        <w:jc w:val="both"/>
        <w:ind w:left="840" w:hanging="656"/>
        <w:spacing w:after="0" w:line="272"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that the information relating to the Company disclosed by our searches on 6 August 2021 at Companies House at their website at www.companieshouse.gov.uk and by an oral enquiry made to the Central Registry of Winding Up Petitions at the Insolvency and Companies List in London in relation to the Company was then complete, up to date and accurate and has not since then been materially altered and that such searches did not fail to disclose any material information which had been delivered for registration but did not appear on that website or on the relevant file in London at the time of our search, and that such oral enquiries did not fail to disclose any material information or any petition for an administration order, dissolution or winding-up order in respect of the Company that has been presented in England and Wales;</w:t>
      </w:r>
    </w:p>
    <w:p>
      <w:pPr>
        <w:spacing w:after="0" w:line="39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8" w:name="page49"/>
    <w:bookmarkEnd w:id="48"/>
    <w:p>
      <w:pPr>
        <w:jc w:val="both"/>
        <w:ind w:left="1960" w:hanging="656"/>
        <w:spacing w:after="0" w:line="263"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meeting of the Board held on 23 July 2021 at which the Board Resolutions were passed was duly convened and held and such resolutions are a true record of the proceedings at such meeting and are valid, in full force and effect and have not been amended, revoked or superseded;</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meeting of the Committee held on 3 August 2021 at which the Committee Resolutions were passed was duly convened and held and such resolutions are a true record of the proceedings at such meeting and are valid, in full force and effect and have not been amended, revoked or superseded;</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2021 AGM at which the Shareholders’ Resolution was passed was duly convened and held and the Shareholders’ Resolution was duly and validly passed at the 2021 AGM, is in full force and effect and has not been amended, revoked or superseded;</w:t>
      </w:r>
    </w:p>
    <w:p>
      <w:pPr>
        <w:spacing w:after="0" w:line="183"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that each director of the Company has disclosed any interest which he or she may have in the transactions contemplated by the Resolutions in accordance with the provisions of the Companies Act 2006 and the Articles, and that none of the relevant directors of the Company have any interest in such transactions except to the extent permitted by the Articles; and</w:t>
      </w:r>
    </w:p>
    <w:p>
      <w:pPr>
        <w:spacing w:after="0" w:line="165" w:lineRule="exact"/>
        <w:rPr>
          <w:rFonts w:ascii="Arial" w:cs="Arial" w:eastAsia="Arial" w:hAnsi="Arial"/>
          <w:sz w:val="17"/>
          <w:szCs w:val="17"/>
          <w:color w:val="auto"/>
        </w:rPr>
      </w:pPr>
    </w:p>
    <w:p>
      <w:pPr>
        <w:ind w:left="1960" w:right="20" w:hanging="656"/>
        <w:spacing w:after="0" w:line="277" w:lineRule="auto"/>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directors consider in good faith that the actions to be carried out pursuant to the Resolutions by the Company will promote the success of the Company for the benefit of its members as a whole.</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Based on the foregoing, and subject to the further qualifications and limitations set forth below, it is our opinion that the Securities have been validly issued by the Company and are fully paid and non-assessable (for the purposes of this opinion, “non-assessable” means that no further contributions in respect of the Securities will be required to be made to the Company by the holders thereof, by reason solely of their being such holders).</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Other than as set out above, we express no opinion as to any agreement, instrument or other document that may be entered into, or as to any liability to tax or obligation to report to any tax authority which may arise or be incurred as a result of or in connection with the Securities or their creation, issue, offer or any other transaction.</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opinions set out above are limited to the laws of England and Wales in force as at the date of this opinion letter (taking into account the effect of the Agreement on the withdrawal of the United Kingdom of Great Britain and Northern Ireland from the European Union and the European Atomic Energy Community and the European Union (Withdrawal) Act 2018), as currently applied by the courts in England and Wales, and are given on the basis that this opinion letter and any non-contractual obligations arising out of or in connection with it will be governed by and construed in accordance with English law.</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296"/>
        <w:spacing w:after="0" w:line="259" w:lineRule="auto"/>
        <w:rPr>
          <w:sz w:val="20"/>
          <w:szCs w:val="20"/>
          <w:color w:val="auto"/>
        </w:rPr>
      </w:pPr>
      <w:r>
        <w:rPr>
          <w:rFonts w:ascii="Arial" w:cs="Arial" w:eastAsia="Arial" w:hAnsi="Arial"/>
          <w:sz w:val="18"/>
          <w:szCs w:val="18"/>
          <w:color w:val="auto"/>
        </w:rPr>
        <w:t>We hereby consent to the use of our name in the Final Prospectus under the heading “Legal Matters” as counsel for the Company that has passed on the validity of the Securities, and to the filing of this opinion letter as Exhibit 5.1 to the Company’s Current Report on Form 8-K dated 6 August 2021. In giving such consent, we do not thereby admit that we are within the category of persons whose consent is required under Section 7 of the Securities Act or the rules and regulations of the Commission thereunder.</w:t>
      </w:r>
    </w:p>
    <w:p>
      <w:pPr>
        <w:spacing w:after="0" w:line="18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CLEARY GOTTLIEB STEEN &amp; HAMILTON LLP</w:t>
      </w: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Bagot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 Bagot,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68805" cy="617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688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LivaNova Prices Offering of Ordinary Shares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London, August 3, 2021 – </w:t>
      </w:r>
      <w:r>
        <w:rPr>
          <w:rFonts w:ascii="Arial" w:cs="Arial" w:eastAsia="Arial" w:hAnsi="Arial"/>
          <w:sz w:val="17"/>
          <w:szCs w:val="17"/>
          <w:color w:val="auto"/>
        </w:rPr>
        <w:t>LivaNova PLC (NASDAQ:LIVN), a market-leading medical technology and innovation company,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priced an underwritten offering of 3,636,364 ordinary shares at a price to the public of $82.50 per share. The Company also granted the underwriters a 30-day option to acquire up to 545,454 additional ordinary shares offered on the same terms as the initial shares.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proceeds of the offering are expected to be approximately $280.1 million (or approximately $322.4 million if the underwriters exercise in full the option to acquire additional ordinary shares), after deducting underwriting discounts and commissions and estimated offering expenses payable by LivaNova. LivaNova intends to use the net proceeds of the offering to partially fund the repayment of its existing $450 million five-year senior secured term loan (the Term Loan). Borrowings under the Term Loan bear interest at a variable annual rate equal to the three-month LIBOR rate (subject to a 1% floor), plus an applicable margin of 6.5% per annum. In the second quarter of 2021, interest expense under the Term Loan was $9.7 million of which $1.2 million is amortization of debt issuance costs.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Goldman Sachs &amp; Co. LLC, Barclays and UBS Investment Bank are acting as joint bookrunners for the offering. Baird and Stifel are acting as co-managers for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Friday, August 6, 2021, subject to customary closing conditions.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offering is being made pursuant to an effective shelf registration statement on Form S-3 dated August 2, 2021, containing a base prospectus, that has been filed with the Securities and Exchange Commission (SEC). A preliminary prospectus supplement related to the offering dated August 2, 2021 has been filed with the SEC and is available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Copies of the prospectus supplement and the base prospectus relating to these securities may be obtained from Goldman Sachs &amp; Co. LLC, Attention: Prospectus Department, 200 West Street, New York, NY 10282, telephone: 1-866-471-2526, facsimile: 1-212-902-9316 or by emailing </w:t>
      </w:r>
      <w:r>
        <w:rPr>
          <w:rFonts w:ascii="Arial" w:cs="Arial" w:eastAsia="Arial" w:hAnsi="Arial"/>
          <w:sz w:val="18"/>
          <w:szCs w:val="18"/>
          <w:u w:val="single" w:color="auto"/>
          <w:color w:val="auto"/>
        </w:rPr>
        <w:t>prospectus-ny@ny.email.gs.com;</w:t>
      </w:r>
      <w:r>
        <w:rPr>
          <w:rFonts w:ascii="Arial" w:cs="Arial" w:eastAsia="Arial" w:hAnsi="Arial"/>
          <w:sz w:val="18"/>
          <w:szCs w:val="18"/>
          <w:color w:val="auto"/>
        </w:rPr>
        <w:t xml:space="preserve"> Barclays Capital Inc., c/o Broadridge Financial Solutions, 1155 Long Island Avenue, Edgewood, NY 11717, telephone: 1-888-603-5847 or by emailing </w:t>
      </w:r>
      <w:r>
        <w:rPr>
          <w:rFonts w:ascii="Arial" w:cs="Arial" w:eastAsia="Arial" w:hAnsi="Arial"/>
          <w:sz w:val="18"/>
          <w:szCs w:val="18"/>
          <w:u w:val="single" w:color="auto"/>
          <w:color w:val="auto"/>
        </w:rPr>
        <w:t>barclaysprospectus@broadridge.com;</w:t>
      </w:r>
      <w:r>
        <w:rPr>
          <w:rFonts w:ascii="Arial" w:cs="Arial" w:eastAsia="Arial" w:hAnsi="Arial"/>
          <w:sz w:val="18"/>
          <w:szCs w:val="18"/>
          <w:color w:val="auto"/>
        </w:rPr>
        <w:t xml:space="preserve"> or UBS Securities LLC, Attention: Prospectus Department, 1285 Avenue of the Americas, New York, NY 10019, telephone: 1-888-827-7275 or by emailing </w:t>
      </w:r>
      <w:r>
        <w:rPr>
          <w:rFonts w:ascii="Arial" w:cs="Arial" w:eastAsia="Arial" w:hAnsi="Arial"/>
          <w:sz w:val="18"/>
          <w:szCs w:val="18"/>
          <w:u w:val="single" w:color="auto"/>
          <w:color w:val="auto"/>
        </w:rPr>
        <w:t>ol-prospectus-request@ubs.com.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The offering is being made solely by means of the base prospectus and prospectus supplement referred to above. This press release is neither an offer to sell nor a solicitation of an offer to buy any of the ordinary shares or any other security of LivaNova, nor shall there be any sale of the ordinary shares in any jurisdiction in which such an offer, solicitation or sale would be unlawful prior to registration or qualification under the securities laws of any such jurisdiction.</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notice and any other documents or materials relating to the offering are for distribution (a) within the European Economic Area only to persons who are Qualified Investors as defined in Article 2(e) of Regulation (EU) 2017/1129; and (b) within the United Kingdom only to persons who are Qualified Investors as defined in Article 2(e) of Regulation (EU) 2017/1129 as it forms part of the domestic law of the United Kingdom by virtue of the European Union (Withdrawal) Act 2018, as amended, and who are (i) investment professionals falling within Article 19(5) of the Financial Services and Markets Act 2000 (Financial Promotion) Order 2005 (the Order), (ii) high-net-worth companies, unincorporated associations and partnerships and trustees of high-value trusts as described in Article 49(2)(a) to (d) of the Order or (iii) other persons to whom it may otherwise lawfully be communicated (all such persons in</w:t>
      </w:r>
    </w:p>
    <w:p>
      <w:pPr>
        <w:spacing w:after="0" w:line="4" w:lineRule="exact"/>
        <w:rPr>
          <w:sz w:val="20"/>
          <w:szCs w:val="20"/>
          <w:color w:val="auto"/>
        </w:rPr>
      </w:pPr>
    </w:p>
    <w:p>
      <w:pPr>
        <w:jc w:val="both"/>
        <w:ind w:firstLine="8"/>
        <w:spacing w:after="0" w:line="255"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and (b) together being referred to as Relevant Persons). The ordinary shares are only available to, and any invitation, offer or agreement to subscribe, purchase or otherwise acquire such ordinary shares will be engaged in only with, Relevant Persons. Any person who is not a Relevant Person should not act or rely on this document or any of its contents.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About LivaNova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the potential consummation of the offering described and the use of any proceeds if the offering is successfully consummated. Actual events may differ materially from those indicated in our forward-looking statements as a result of various factors, including market conditions applicable to the offering and those factors set forth in Item 1A of our Annual Report on Form 10-K for the year ended December 31, 2020, as supplemented by any risk factors contained in our Quarterly Reports on Form 10-Q and our Current Reports on Form 8-K. We undertake no obligation to update the information contained in this press release to reflect subsequently occurring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LivaNova Investor Relations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Lindsey Little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+1 281-895-2382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InvestorRelations@livanova.com</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8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lvl w:ilvl="1">
      <w:lvlJc w:val="left"/>
      <w:lvlText w:val="(%2)"/>
      <w:numFmt w:val="lowerLetter"/>
      <w:start w:val="1"/>
    </w:lvl>
  </w:abstractNum>
  <w:abstractNum w:abstractNumId="2">
    <w:nsid w:val="614FD4A1"/>
    <w:multiLevelType w:val="hybridMultilevel"/>
    <w:lvl w:ilvl="0">
      <w:lvlJc w:val="left"/>
      <w:lvlText w:val="(%1)"/>
      <w:numFmt w:val="lowerLetter"/>
      <w:start w:val="2"/>
    </w:lvl>
  </w:abstractNum>
  <w:abstractNum w:abstractNumId="3">
    <w:nsid w:val="419AC241"/>
    <w:multiLevelType w:val="hybridMultilevel"/>
    <w:lvl w:ilvl="0">
      <w:lvlJc w:val="left"/>
      <w:lvlText w:val="(%1)"/>
      <w:numFmt w:val="lowerLetter"/>
      <w:start w:val="4"/>
    </w:lvl>
  </w:abstractNum>
  <w:abstractNum w:abstractNumId="4">
    <w:nsid w:val="5577F8E1"/>
    <w:multiLevelType w:val="hybridMultilevel"/>
    <w:lvl w:ilvl="0">
      <w:lvlJc w:val="left"/>
      <w:lvlText w:val="%1"/>
      <w:numFmt w:val="lowerLetter"/>
      <w:start w:val="1"/>
    </w:lvl>
    <w:lvl w:ilvl="1">
      <w:lvlJc w:val="left"/>
      <w:lvlText w:val="(%2)"/>
      <w:numFmt w:val="lowerLetter"/>
      <w:start w:val="6"/>
    </w:lvl>
  </w:abstractNum>
  <w:abstractNum w:abstractNumId="5">
    <w:nsid w:val="440BADFC"/>
    <w:multiLevelType w:val="hybridMultilevel"/>
    <w:lvl w:ilvl="0">
      <w:lvlJc w:val="left"/>
      <w:lvlText w:val="(%1)"/>
      <w:numFmt w:val="lowerLetter"/>
      <w:start w:val="35"/>
    </w:lvl>
    <w:lvl w:ilvl="1">
      <w:lvlJc w:val="left"/>
      <w:lvlText w:val="(%2)"/>
      <w:numFmt w:val="lowerLetter"/>
      <w:start w:val="7"/>
    </w:lvl>
  </w:abstractNum>
  <w:abstractNum w:abstractNumId="6">
    <w:nsid w:val="5072367"/>
    <w:multiLevelType w:val="hybridMultilevel"/>
    <w:lvl w:ilvl="0">
      <w:lvlJc w:val="left"/>
      <w:lvlText w:val="%1"/>
      <w:numFmt w:val="upperLetter"/>
      <w:start w:val="1"/>
    </w:lvl>
    <w:lvl w:ilvl="1">
      <w:lvlJc w:val="left"/>
      <w:lvlText w:val="(%2)"/>
      <w:numFmt w:val="lowerLetter"/>
      <w:start w:val="9"/>
    </w:lvl>
  </w:abstractNum>
  <w:abstractNum w:abstractNumId="7">
    <w:nsid w:val="3804823E"/>
    <w:multiLevelType w:val="hybridMultilevel"/>
    <w:lvl w:ilvl="0">
      <w:lvlJc w:val="left"/>
      <w:lvlText w:val="(%1)"/>
      <w:numFmt w:val="upperLetter"/>
      <w:start w:val="1"/>
    </w:lvl>
    <w:lvl w:ilvl="1">
      <w:lvlJc w:val="left"/>
      <w:lvlText w:val="%2"/>
      <w:numFmt w:val="lowerLetter"/>
      <w:start w:val="1"/>
    </w:lvl>
  </w:abstractNum>
  <w:abstractNum w:abstractNumId="8">
    <w:nsid w:val="77465F01"/>
    <w:multiLevelType w:val="hybridMultilevel"/>
    <w:lvl w:ilvl="0">
      <w:lvlJc w:val="left"/>
      <w:lvlText w:val="(%1)"/>
      <w:numFmt w:val="lowerLetter"/>
      <w:start w:val="12"/>
    </w:lvl>
  </w:abstractNum>
  <w:abstractNum w:abstractNumId="9">
    <w:nsid w:val="7724C67E"/>
    <w:multiLevelType w:val="hybridMultilevel"/>
    <w:lvl w:ilvl="0">
      <w:lvlJc w:val="left"/>
      <w:lvlText w:val="(%1)"/>
      <w:numFmt w:val="lowerLetter"/>
      <w:start w:val="15"/>
    </w:lvl>
  </w:abstractNum>
  <w:abstractNum w:abstractNumId="10">
    <w:nsid w:val="5C482A97"/>
    <w:multiLevelType w:val="hybridMultilevel"/>
    <w:lvl w:ilvl="0">
      <w:lvlJc w:val="left"/>
      <w:lvlText w:val="(%1)"/>
      <w:numFmt w:val="upperLetter"/>
      <w:start w:val="2"/>
    </w:lvl>
  </w:abstractNum>
  <w:abstractNum w:abstractNumId="11">
    <w:nsid w:val="2463B9EA"/>
    <w:multiLevelType w:val="hybridMultilevel"/>
    <w:lvl w:ilvl="0">
      <w:lvlJc w:val="left"/>
      <w:lvlText w:val="(%1)"/>
      <w:numFmt w:val="lowerLetter"/>
      <w:start w:val="19"/>
    </w:lvl>
  </w:abstractNum>
  <w:abstractNum w:abstractNumId="12">
    <w:nsid w:val="5E884ADC"/>
    <w:multiLevelType w:val="hybridMultilevel"/>
    <w:lvl w:ilvl="0">
      <w:lvlJc w:val="left"/>
      <w:lvlText w:val="%1"/>
      <w:numFmt w:val="lowerLetter"/>
      <w:start w:val="1"/>
    </w:lvl>
    <w:lvl w:ilvl="1">
      <w:lvlJc w:val="left"/>
      <w:lvlText w:val="(%2)"/>
      <w:numFmt w:val="lowerLetter"/>
      <w:start w:val="23"/>
    </w:lvl>
  </w:abstractNum>
  <w:abstractNum w:abstractNumId="13">
    <w:nsid w:val="51EAD36B"/>
    <w:multiLevelType w:val="hybridMultilevel"/>
    <w:lvl w:ilvl="0">
      <w:lvlJc w:val="left"/>
      <w:lvlText w:val="(%1)"/>
      <w:numFmt w:val="lowerLetter"/>
      <w:start w:val="9"/>
    </w:lvl>
    <w:lvl w:ilvl="1">
      <w:lvlJc w:val="left"/>
      <w:lvlText w:val="(%2)"/>
      <w:numFmt w:val="lowerLetter"/>
      <w:start w:val="24"/>
    </w:lvl>
  </w:abstractNum>
  <w:abstractNum w:abstractNumId="14">
    <w:nsid w:val="2D517796"/>
    <w:multiLevelType w:val="hybridMultilevel"/>
    <w:lvl w:ilvl="0">
      <w:lvlJc w:val="left"/>
      <w:lvlText w:val="(%1)"/>
      <w:numFmt w:val="lowerLetter"/>
      <w:start w:val="27"/>
    </w:lvl>
  </w:abstractNum>
  <w:abstractNum w:abstractNumId="15">
    <w:nsid w:val="580BD78F"/>
    <w:multiLevelType w:val="hybridMultilevel"/>
    <w:lvl w:ilvl="0">
      <w:lvlJc w:val="left"/>
      <w:lvlText w:val="(%1)"/>
      <w:numFmt w:val="lowerLetter"/>
      <w:start w:val="29"/>
    </w:lvl>
  </w:abstractNum>
  <w:abstractNum w:abstractNumId="16">
    <w:nsid w:val="153EA438"/>
    <w:multiLevelType w:val="hybridMultilevel"/>
    <w:lvl w:ilvl="0">
      <w:lvlJc w:val="left"/>
      <w:lvlText w:val="(%1)"/>
      <w:numFmt w:val="lowerLetter"/>
      <w:start w:val="31"/>
    </w:lvl>
  </w:abstractNum>
  <w:abstractNum w:abstractNumId="17">
    <w:nsid w:val="3855585C"/>
    <w:multiLevelType w:val="hybridMultilevel"/>
    <w:lvl w:ilvl="0">
      <w:lvlJc w:val="left"/>
      <w:lvlText w:val="(%1)"/>
      <w:numFmt w:val="lowerLetter"/>
      <w:start w:val="36"/>
    </w:lvl>
  </w:abstractNum>
  <w:abstractNum w:abstractNumId="18">
    <w:nsid w:val="70A64E2A"/>
    <w:multiLevelType w:val="hybridMultilevel"/>
    <w:lvl w:ilvl="0">
      <w:lvlJc w:val="left"/>
      <w:lvlText w:val="%1"/>
      <w:numFmt w:val="decimal"/>
      <w:start w:val="1"/>
    </w:lvl>
    <w:lvl w:ilvl="1">
      <w:lvlJc w:val="left"/>
      <w:lvlText w:val="(%2)"/>
      <w:numFmt w:val="lowerLetter"/>
      <w:start w:val="44"/>
    </w:lvl>
  </w:abstractNum>
  <w:abstractNum w:abstractNumId="19">
    <w:nsid w:val="6A2342EC"/>
    <w:multiLevelType w:val="hybridMultilevel"/>
    <w:lvl w:ilvl="0">
      <w:lvlJc w:val="left"/>
      <w:lvlText w:val="%1."/>
      <w:numFmt w:val="decimal"/>
      <w:start w:val="2"/>
    </w:lvl>
    <w:lvl w:ilvl="1">
      <w:lvlJc w:val="left"/>
      <w:lvlText w:val="%2"/>
      <w:numFmt w:val="lowerLetter"/>
      <w:start w:val="1"/>
    </w:lvl>
  </w:abstractNum>
  <w:abstractNum w:abstractNumId="20">
    <w:nsid w:val="2A487CB0"/>
    <w:multiLevelType w:val="hybridMultilevel"/>
    <w:lvl w:ilvl="0">
      <w:lvlJc w:val="left"/>
      <w:lvlText w:val="%1."/>
      <w:numFmt w:val="decimal"/>
      <w:start w:val="3"/>
    </w:lvl>
  </w:abstractNum>
  <w:abstractNum w:abstractNumId="21">
    <w:nsid w:val="1D4ED43B"/>
    <w:multiLevelType w:val="hybridMultilevel"/>
    <w:lvl w:ilvl="0">
      <w:lvlJc w:val="left"/>
      <w:lvlText w:val="(%1)"/>
      <w:numFmt w:val="lowerLetter"/>
      <w:start w:val="2"/>
    </w:lvl>
  </w:abstractNum>
  <w:abstractNum w:abstractNumId="22">
    <w:nsid w:val="725A06FB"/>
    <w:multiLevelType w:val="hybridMultilevel"/>
    <w:lvl w:ilvl="0">
      <w:lvlJc w:val="left"/>
      <w:lvlText w:val="%1."/>
      <w:numFmt w:val="decimal"/>
      <w:start w:val="5"/>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lowerLetter"/>
      <w:start w:val="4"/>
    </w:lvl>
  </w:abstractNum>
  <w:abstractNum w:abstractNumId="25">
    <w:nsid w:val="7A6D8D3C"/>
    <w:multiLevelType w:val="hybridMultilevel"/>
    <w:lvl w:ilvl="0">
      <w:lvlJc w:val="left"/>
      <w:lvlText w:val="%1"/>
      <w:numFmt w:val="lowerLetter"/>
      <w:start w:val="1"/>
    </w:lvl>
    <w:lvl w:ilvl="1">
      <w:lvlJc w:val="left"/>
      <w:lvlText w:val="(%2)"/>
      <w:numFmt w:val="lowerLetter"/>
      <w:start w:val="7"/>
    </w:lvl>
  </w:abstractNum>
  <w:abstractNum w:abstractNumId="26">
    <w:nsid w:val="4B588F54"/>
    <w:multiLevelType w:val="hybridMultilevel"/>
    <w:lvl w:ilvl="0">
      <w:lvlJc w:val="left"/>
      <w:lvlText w:val="(%1)"/>
      <w:numFmt w:val="lowerLetter"/>
      <w:start w:val="9"/>
    </w:lvl>
    <w:lvl w:ilvl="1">
      <w:lvlJc w:val="left"/>
      <w:lvlText w:val="(%2)"/>
      <w:numFmt w:val="lowerLetter"/>
      <w:start w:val="8"/>
    </w:lvl>
  </w:abstractNum>
  <w:abstractNum w:abstractNumId="27">
    <w:nsid w:val="542289EC"/>
    <w:multiLevelType w:val="hybridMultilevel"/>
    <w:lvl w:ilvl="0">
      <w:lvlJc w:val="left"/>
      <w:lvlText w:val="(%1)"/>
      <w:numFmt w:val="lowerLetter"/>
      <w:start w:val="1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lowerLetter"/>
      <w:start w:val="5"/>
    </w:lvl>
  </w:abstractNum>
  <w:abstractNum w:abstractNumId="30">
    <w:nsid w:val="7644A45C"/>
    <w:multiLevelType w:val="hybridMultilevel"/>
    <w:lvl w:ilvl="0">
      <w:lvlJc w:val="left"/>
      <w:lvlText w:val="%1."/>
      <w:numFmt w:val="decimal"/>
      <w:start w:val="7"/>
    </w:lvl>
  </w:abstractNum>
  <w:abstractNum w:abstractNumId="31">
    <w:nsid w:val="32FFF902"/>
    <w:multiLevelType w:val="hybridMultilevel"/>
    <w:lvl w:ilvl="0">
      <w:lvlJc w:val="left"/>
      <w:lvlText w:val="%1."/>
      <w:numFmt w:val="decimal"/>
      <w:start w:val="8"/>
    </w:lvl>
  </w:abstractNum>
  <w:abstractNum w:abstractNumId="32">
    <w:nsid w:val="684A481A"/>
    <w:multiLevelType w:val="hybridMultilevel"/>
    <w:lvl w:ilvl="0">
      <w:lvlJc w:val="left"/>
      <w:lvlText w:val="%1"/>
      <w:numFmt w:val="lowerLetter"/>
      <w:start w:val="1"/>
    </w:lvl>
    <w:lvl w:ilvl="1">
      <w:lvlJc w:val="left"/>
      <w:lvlText w:val="(%2)"/>
      <w:numFmt w:val="lowerLetter"/>
      <w:start w:val="1"/>
    </w:lvl>
  </w:abstractNum>
  <w:abstractNum w:abstractNumId="33">
    <w:nsid w:val="579478FE"/>
    <w:multiLevelType w:val="hybridMultilevel"/>
    <w:lvl w:ilvl="0">
      <w:lvlJc w:val="left"/>
      <w:lvlText w:val="(%1)"/>
      <w:numFmt w:val="lowerLetter"/>
      <w:start w:val="9"/>
    </w:lvl>
    <w:lvl w:ilvl="1">
      <w:lvlJc w:val="left"/>
      <w:lvlText w:val="%2"/>
      <w:numFmt w:val="lowerLetter"/>
      <w:start w:val="1"/>
    </w:lvl>
  </w:abstractNum>
  <w:abstractNum w:abstractNumId="34">
    <w:nsid w:val="749ABB43"/>
    <w:multiLevelType w:val="hybridMultilevel"/>
    <w:lvl w:ilvl="0">
      <w:lvlJc w:val="left"/>
      <w:lvlText w:val="%1"/>
      <w:numFmt w:val="lowerLetter"/>
      <w:start w:val="1"/>
    </w:lvl>
    <w:lvl w:ilvl="1">
      <w:lvlJc w:val="left"/>
      <w:lvlText w:val="(%2)"/>
      <w:numFmt w:val="lowerLetter"/>
      <w:start w:val="7"/>
    </w:lvl>
  </w:abstractNum>
  <w:abstractNum w:abstractNumId="35">
    <w:nsid w:val="3DC240FB"/>
    <w:multiLevelType w:val="hybridMultilevel"/>
    <w:lvl w:ilvl="0">
      <w:lvlJc w:val="left"/>
      <w:lvlText w:val="(%1)"/>
      <w:numFmt w:val="lowerLetter"/>
      <w:start w:val="61"/>
    </w:lvl>
    <w:lvl w:ilvl="1">
      <w:lvlJc w:val="left"/>
      <w:lvlText w:val="(%2)"/>
      <w:numFmt w:val="lowerLetter"/>
      <w:start w:val="9"/>
    </w:lvl>
  </w:abstractNum>
  <w:abstractNum w:abstractNumId="36">
    <w:nsid w:val="1BA026FA"/>
    <w:multiLevelType w:val="hybridMultilevel"/>
    <w:lvl w:ilvl="0">
      <w:lvlJc w:val="left"/>
      <w:lvlText w:val="(%1)"/>
      <w:numFmt w:val="lowerLetter"/>
      <w:start w:val="10"/>
    </w:lvl>
  </w:abstractNum>
  <w:abstractNum w:abstractNumId="37">
    <w:nsid w:val="79A1DEAA"/>
    <w:multiLevelType w:val="hybridMultilevel"/>
    <w:lvl w:ilvl="0">
      <w:lvlJc w:val="left"/>
      <w:lvlText w:val="%1."/>
      <w:numFmt w:val="decimal"/>
      <w:start w:val="9"/>
    </w:lvl>
  </w:abstractNum>
  <w:abstractNum w:abstractNumId="38">
    <w:nsid w:val="75C6C33A"/>
    <w:multiLevelType w:val="hybridMultilevel"/>
    <w:lvl w:ilvl="0">
      <w:lvlJc w:val="left"/>
      <w:lvlText w:val="(%1)"/>
      <w:numFmt w:val="lowerLetter"/>
      <w:start w:val="2"/>
    </w:lvl>
  </w:abstractNum>
  <w:abstractNum w:abstractNumId="39">
    <w:nsid w:val="12E685FB"/>
    <w:multiLevelType w:val="hybridMultilevel"/>
    <w:lvl w:ilvl="0">
      <w:lvlJc w:val="left"/>
      <w:lvlText w:val="(%1)"/>
      <w:numFmt w:val="lowerLetter"/>
      <w:start w:val="3"/>
    </w:lvl>
  </w:abstractNum>
  <w:abstractNum w:abstractNumId="40">
    <w:nsid w:val="70C6A529"/>
    <w:multiLevelType w:val="hybridMultilevel"/>
    <w:lvl w:ilvl="0">
      <w:lvlJc w:val="left"/>
      <w:lvlText w:val="(%1)"/>
      <w:numFmt w:val="lowerLetter"/>
      <w:start w:val="5"/>
    </w:lvl>
  </w:abstractNum>
  <w:abstractNum w:abstractNumId="41">
    <w:nsid w:val="520EEDD1"/>
    <w:multiLevelType w:val="hybridMultilevel"/>
    <w:lvl w:ilvl="0">
      <w:lvlJc w:val="left"/>
      <w:lvlText w:val="%1."/>
      <w:numFmt w:val="decimal"/>
      <w:start w:val="10"/>
    </w:lvl>
  </w:abstractNum>
  <w:abstractNum w:abstractNumId="42">
    <w:nsid w:val="374A3FE6"/>
    <w:multiLevelType w:val="hybridMultilevel"/>
    <w:lvl w:ilvl="0">
      <w:lvlJc w:val="left"/>
      <w:lvlText w:val="(%1)"/>
      <w:numFmt w:val="lowerLetter"/>
      <w:start w:val="2"/>
    </w:lvl>
  </w:abstractNum>
  <w:abstractNum w:abstractNumId="43">
    <w:nsid w:val="4F4EF005"/>
    <w:multiLevelType w:val="hybridMultilevel"/>
    <w:lvl w:ilvl="0">
      <w:lvlJc w:val="left"/>
      <w:lvlText w:val="%1."/>
      <w:numFmt w:val="decimal"/>
      <w:start w:val="11"/>
    </w:lvl>
  </w:abstractNum>
  <w:abstractNum w:abstractNumId="44">
    <w:nsid w:val="23F9C13C"/>
    <w:multiLevelType w:val="hybridMultilevel"/>
    <w:lvl w:ilvl="0">
      <w:lvlJc w:val="left"/>
      <w:lvlText w:val="%1."/>
      <w:numFmt w:val="decimal"/>
      <w:start w:val="12"/>
    </w:lvl>
  </w:abstractNum>
  <w:abstractNum w:abstractNumId="45">
    <w:nsid w:val="649BB77C"/>
    <w:multiLevelType w:val="hybridMultilevel"/>
    <w:lvl w:ilvl="0">
      <w:lvlJc w:val="left"/>
      <w:lvlText w:val="%1."/>
      <w:numFmt w:val="decimal"/>
      <w:start w:val="14"/>
    </w:lvl>
  </w:abstractNum>
  <w:abstractNum w:abstractNumId="46">
    <w:nsid w:val="275AC794"/>
    <w:multiLevelType w:val="hybridMultilevel"/>
    <w:lvl w:ilvl="0">
      <w:lvlJc w:val="left"/>
      <w:lvlText w:val="%1."/>
      <w:numFmt w:val="decimal"/>
      <w:start w:val="16"/>
    </w:lvl>
  </w:abstractNum>
  <w:abstractNum w:abstractNumId="47">
    <w:nsid w:val="39386575"/>
    <w:multiLevelType w:val="hybridMultilevel"/>
    <w:lvl w:ilvl="0">
      <w:lvlJc w:val="left"/>
      <w:lvlText w:val="%1"/>
      <w:numFmt w:val="lowerRoman"/>
      <w:start w:val="1"/>
    </w:lvl>
    <w:lvl w:ilvl="1">
      <w:lvlJc w:val="left"/>
      <w:lvlText w:val="%2."/>
      <w:numFmt w:val="decimal"/>
      <w:start w:val="20"/>
    </w:lvl>
  </w:abstractNum>
  <w:abstractNum w:abstractNumId="48">
    <w:nsid w:val="1CF10FD8"/>
    <w:multiLevelType w:val="hybridMultilevel"/>
    <w:lvl w:ilvl="0">
      <w:lvlJc w:val="left"/>
      <w:lvlText w:val="(%1)"/>
      <w:numFmt w:val="lowerRoman"/>
      <w:start w:val="1"/>
    </w:lvl>
    <w:lvl w:ilvl="1">
      <w:lvlJc w:val="left"/>
      <w:lvlText w:val="%2."/>
      <w:numFmt w:val="decimal"/>
      <w:start w:val="22"/>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Roman"/>
      <w:start w:val="1"/>
    </w:lvl>
  </w:abstractNum>
  <w:abstractNum w:abstractNumId="51">
    <w:nsid w:val="47398C89"/>
    <w:multiLevelType w:val="hybridMultilevel"/>
    <w:lvl w:ilvl="0">
      <w:lvlJc w:val="left"/>
      <w:lvlText w:val="%1."/>
      <w:numFmt w:val="decimal"/>
      <w:start w:val="25"/>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lvl w:ilvl="1">
      <w:lvlJc w:val="left"/>
      <w:lvlText w:val="(%2)"/>
      <w:numFmt w:val="lowerLetter"/>
      <w:start w:val="2"/>
    </w:lvl>
  </w:abstractNum>
  <w:abstractNum w:abstractNumId="54">
    <w:nsid w:val="741226BB"/>
    <w:multiLevelType w:val="hybridMultilevel"/>
    <w:lvl w:ilvl="0">
      <w:lvlJc w:val="left"/>
      <w:lvlText w:val="(%1)"/>
      <w:numFmt w:val="lowerLetter"/>
      <w:start w:val="61"/>
    </w:lvl>
    <w:lvl w:ilvl="1">
      <w:lvlJc w:val="left"/>
      <w:lvlText w:val="%2"/>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3"/>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lowerRoman"/>
      <w:start w:val="3"/>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3"/>
    </w:lvl>
    <w:lvl w:ilvl="1">
      <w:lvlJc w:val="left"/>
      <w:lvlText w:val="(%2)"/>
      <w:numFmt w:val="lowerRoman"/>
      <w:start w:val="1"/>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lowerLetter"/>
      <w:start w:val="6"/>
    </w:lvl>
  </w:abstractNum>
  <w:abstractNum w:abstractNumId="63">
    <w:nsid w:val="5FF87E05"/>
    <w:multiLevelType w:val="hybridMultilevel"/>
    <w:lvl w:ilvl="0">
      <w:lvlJc w:val="left"/>
      <w:lvlText w:val="(%1)"/>
      <w:numFmt w:val="lowerLetter"/>
      <w:start w:val="14"/>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2021-08-06T15:59:07Z</dcterms:created>
  <dcterms:modified xsi:type="dcterms:W3CDTF">2021-08-06T15:59:07Z</dcterms:modified>
</cp:coreProperties>
</file>