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0425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04253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80"/>
          </w:cols>
          <w:pgMar w:left="240" w:top="226" w:right="15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Novak Alfred J</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20 EASTBOURNE TERRACE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LivaNova PLC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LIVN</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9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06/14/2018</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0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443"/>
          </w:cols>
          <w:pgMar w:left="240" w:top="226" w:right="15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20" w:type="dxa"/>
            <w:vAlign w:val="bottom"/>
          </w:tcPr>
          <w:p>
            <w:pPr>
              <w:spacing w:after="0"/>
              <w:rPr>
                <w:sz w:val="20"/>
                <w:szCs w:val="20"/>
                <w:color w:val="auto"/>
              </w:rPr>
            </w:pPr>
            <w:r>
              <w:rPr>
                <w:rFonts w:ascii="Arial" w:cs="Arial" w:eastAsia="Arial" w:hAnsi="Arial"/>
                <w:sz w:val="18"/>
                <w:szCs w:val="18"/>
                <w:color w:val="0000FF"/>
              </w:rPr>
              <w:t>LONDON</w:t>
            </w:r>
          </w:p>
        </w:tc>
        <w:tc>
          <w:tcPr>
            <w:tcW w:w="1100" w:type="dxa"/>
            <w:vAlign w:val="bottom"/>
          </w:tcPr>
          <w:p>
            <w:pPr>
              <w:ind w:left="260"/>
              <w:spacing w:after="0"/>
              <w:rPr>
                <w:sz w:val="20"/>
                <w:szCs w:val="20"/>
                <w:color w:val="auto"/>
              </w:rPr>
            </w:pPr>
            <w:r>
              <w:rPr>
                <w:rFonts w:ascii="Arial" w:cs="Arial" w:eastAsia="Arial" w:hAnsi="Arial"/>
                <w:sz w:val="18"/>
                <w:szCs w:val="18"/>
                <w:color w:val="0000FF"/>
              </w:rPr>
              <w:t>X0</w:t>
            </w:r>
          </w:p>
        </w:tc>
        <w:tc>
          <w:tcPr>
            <w:tcW w:w="1680" w:type="dxa"/>
            <w:vAlign w:val="bottom"/>
          </w:tcPr>
          <w:p>
            <w:pPr>
              <w:ind w:left="420"/>
              <w:spacing w:after="0"/>
              <w:rPr>
                <w:sz w:val="20"/>
                <w:szCs w:val="20"/>
                <w:color w:val="auto"/>
              </w:rPr>
            </w:pPr>
            <w:r>
              <w:rPr>
                <w:rFonts w:ascii="Arial" w:cs="Arial" w:eastAsia="Arial" w:hAnsi="Arial"/>
                <w:sz w:val="18"/>
                <w:szCs w:val="18"/>
                <w:color w:val="0000FF"/>
              </w:rPr>
              <w:t>W2 6LG</w:t>
            </w:r>
          </w:p>
        </w:tc>
      </w:tr>
      <w:tr>
        <w:trPr>
          <w:trHeight w:val="158"/>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4"/>
                <w:szCs w:val="14"/>
                <w:color w:val="auto"/>
              </w:rPr>
              <w:t>(City)</w:t>
            </w:r>
          </w:p>
        </w:tc>
        <w:tc>
          <w:tcPr>
            <w:tcW w:w="1100" w:type="dxa"/>
            <w:vAlign w:val="bottom"/>
          </w:tcPr>
          <w:p>
            <w:pPr>
              <w:ind w:left="2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420"/>
          </w:cols>
          <w:pgMar w:left="240" w:top="226" w:right="159" w:bottom="1440" w:gutter="0" w:footer="0" w:header="0"/>
          <w:type w:val="continuous"/>
        </w:sectPr>
      </w:pPr>
    </w:p>
    <w:p>
      <w:pPr>
        <w:jc w:val="center"/>
        <w:ind w:right="8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8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88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26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4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80" w:type="dxa"/>
            <w:vAlign w:val="bottom"/>
            <w:gridSpan w:val="2"/>
          </w:tcPr>
          <w:p>
            <w:pPr>
              <w:ind w:left="500"/>
              <w:spacing w:after="0" w:line="135"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460" w:type="dxa"/>
            <w:vAlign w:val="bottom"/>
          </w:tcPr>
          <w:p>
            <w:pPr>
              <w:spacing w:after="0"/>
              <w:rPr>
                <w:sz w:val="6"/>
                <w:szCs w:val="6"/>
                <w:color w:val="auto"/>
              </w:rPr>
            </w:pPr>
          </w:p>
        </w:tc>
        <w:tc>
          <w:tcPr>
            <w:tcW w:w="26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4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460" w:type="dxa"/>
            <w:vAlign w:val="bottom"/>
          </w:tcPr>
          <w:p>
            <w:pPr>
              <w:spacing w:after="0"/>
              <w:rPr>
                <w:sz w:val="5"/>
                <w:szCs w:val="5"/>
                <w:color w:val="auto"/>
              </w:rPr>
            </w:pPr>
          </w:p>
        </w:tc>
        <w:tc>
          <w:tcPr>
            <w:tcW w:w="26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Ordinary Shares</w:t>
            </w:r>
          </w:p>
        </w:tc>
        <w:tc>
          <w:tcPr>
            <w:tcW w:w="11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jc w:val="right"/>
              <w:ind w:right="118"/>
              <w:spacing w:after="0"/>
              <w:rPr>
                <w:sz w:val="20"/>
                <w:szCs w:val="20"/>
                <w:color w:val="auto"/>
              </w:rPr>
            </w:pPr>
            <w:r>
              <w:rPr>
                <w:rFonts w:ascii="Arial" w:cs="Arial" w:eastAsia="Arial" w:hAnsi="Arial"/>
                <w:sz w:val="18"/>
                <w:szCs w:val="18"/>
                <w:color w:val="0000FF"/>
              </w:rPr>
              <w:t>06/14/2018</w:t>
            </w:r>
          </w:p>
        </w:tc>
        <w:tc>
          <w:tcPr>
            <w:tcW w:w="42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S</w:t>
            </w:r>
          </w:p>
        </w:tc>
        <w:tc>
          <w:tcPr>
            <w:tcW w:w="760" w:type="dxa"/>
            <w:vAlign w:val="bottom"/>
            <w:tcBorders>
              <w:bottom w:val="single" w:sz="8" w:color="2C2C2C"/>
            </w:tcBorders>
          </w:tcPr>
          <w:p>
            <w:pPr>
              <w:jc w:val="right"/>
              <w:ind w:right="116"/>
              <w:spacing w:after="0"/>
              <w:rPr>
                <w:sz w:val="20"/>
                <w:szCs w:val="20"/>
                <w:color w:val="auto"/>
              </w:rPr>
            </w:pPr>
            <w:r>
              <w:rPr>
                <w:rFonts w:ascii="Arial" w:cs="Arial" w:eastAsia="Arial" w:hAnsi="Arial"/>
                <w:sz w:val="18"/>
                <w:szCs w:val="18"/>
                <w:color w:val="0000FF"/>
              </w:rPr>
              <w:t>1,000</w:t>
            </w:r>
          </w:p>
        </w:tc>
        <w:tc>
          <w:tcPr>
            <w:tcW w:w="580" w:type="dxa"/>
            <w:vAlign w:val="bottom"/>
            <w:tcBorders>
              <w:bottom w:val="single" w:sz="8" w:color="2C2C2C"/>
            </w:tcBorders>
          </w:tcPr>
          <w:p>
            <w:pPr>
              <w:ind w:left="240"/>
              <w:spacing w:after="0"/>
              <w:rPr>
                <w:sz w:val="20"/>
                <w:szCs w:val="20"/>
                <w:color w:val="auto"/>
              </w:rPr>
            </w:pPr>
            <w:r>
              <w:rPr>
                <w:rFonts w:ascii="Arial" w:cs="Arial" w:eastAsia="Arial" w:hAnsi="Arial"/>
                <w:sz w:val="18"/>
                <w:szCs w:val="18"/>
                <w:color w:val="0000FF"/>
              </w:rPr>
              <w:t>D</w:t>
            </w:r>
          </w:p>
        </w:tc>
        <w:tc>
          <w:tcPr>
            <w:tcW w:w="900" w:type="dxa"/>
            <w:vAlign w:val="bottom"/>
            <w:tcBorders>
              <w:bottom w:val="single" w:sz="8" w:color="2C2C2C"/>
            </w:tcBorders>
            <w:gridSpan w:val="2"/>
          </w:tcPr>
          <w:p>
            <w:pPr>
              <w:ind w:left="4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104.431</w:t>
            </w:r>
            <w:r>
              <w:rPr>
                <w:rFonts w:ascii="Arial" w:cs="Arial" w:eastAsia="Arial" w:hAnsi="Arial"/>
                <w:sz w:val="22"/>
                <w:szCs w:val="22"/>
                <w:color w:val="008000"/>
                <w:w w:val="90"/>
                <w:vertAlign w:val="superscript"/>
              </w:rPr>
              <w:t>(1)</w:t>
            </w:r>
          </w:p>
        </w:tc>
        <w:tc>
          <w:tcPr>
            <w:tcW w:w="1240" w:type="dxa"/>
            <w:vAlign w:val="bottom"/>
            <w:tcBorders>
              <w:bottom w:val="single" w:sz="8" w:color="2C2C2C"/>
            </w:tcBorders>
            <w:gridSpan w:val="2"/>
          </w:tcPr>
          <w:p>
            <w:pPr>
              <w:ind w:left="400"/>
              <w:spacing w:after="0"/>
              <w:rPr>
                <w:sz w:val="20"/>
                <w:szCs w:val="20"/>
                <w:color w:val="auto"/>
              </w:rPr>
            </w:pPr>
            <w:r>
              <w:rPr>
                <w:rFonts w:ascii="Arial" w:cs="Arial" w:eastAsia="Arial" w:hAnsi="Arial"/>
                <w:sz w:val="18"/>
                <w:szCs w:val="18"/>
                <w:color w:val="0000FF"/>
              </w:rPr>
              <w:t>9,850</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420" w:type="dxa"/>
            <w:vAlign w:val="bottom"/>
            <w:tcBorders>
              <w:top w:val="single" w:sz="8" w:color="2C2C2C"/>
            </w:tcBorders>
            <w:gridSpan w:val="12"/>
          </w:tcPr>
          <w:p>
            <w:pPr>
              <w:ind w:left="104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40" w:type="dxa"/>
            <w:vAlign w:val="bottom"/>
            <w:tcBorders>
              <w:top w:val="single" w:sz="8" w:color="2C2C2C"/>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540" w:type="dxa"/>
            <w:vAlign w:val="bottom"/>
            <w:gridSpan w:val="9"/>
          </w:tcPr>
          <w:p>
            <w:pPr>
              <w:ind w:left="64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    10.</w:t>
            </w:r>
          </w:p>
        </w:tc>
        <w:tc>
          <w:tcPr>
            <w:tcW w:w="760" w:type="dxa"/>
            <w:vAlign w:val="bottom"/>
            <w:gridSpan w:val="2"/>
          </w:tcPr>
          <w:p>
            <w:pPr>
              <w:ind w:left="120"/>
              <w:spacing w:after="0"/>
              <w:rPr>
                <w:sz w:val="20"/>
                <w:szCs w:val="20"/>
                <w:color w:val="auto"/>
              </w:rPr>
            </w:pPr>
            <w:r>
              <w:rPr>
                <w:rFonts w:ascii="Arial" w:cs="Arial" w:eastAsia="Arial" w:hAnsi="Arial"/>
                <w:sz w:val="12"/>
                <w:szCs w:val="12"/>
                <w:b w:val="1"/>
                <w:bCs w:val="1"/>
                <w:color w:val="auto"/>
              </w:rPr>
              <w:t>11. Nature</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260" w:type="dxa"/>
            <w:vAlign w:val="bottom"/>
          </w:tcPr>
          <w:p>
            <w:pPr>
              <w:spacing w:after="0"/>
              <w:rPr>
                <w:sz w:val="11"/>
                <w:szCs w:val="11"/>
                <w:color w:val="auto"/>
              </w:rPr>
            </w:pP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7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w w:val="99"/>
              </w:rPr>
              <w:t>Ownership</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Underlying</w:t>
            </w:r>
          </w:p>
        </w:tc>
        <w:tc>
          <w:tcPr>
            <w:tcW w:w="7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Beneficially</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w w:val="99"/>
              </w:rPr>
              <w:t>Ownership</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 Security</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 or</w:t>
            </w: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and 4)</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 (D)</w:t>
            </w: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6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40" w:type="dxa"/>
            <w:vAlign w:val="bottom"/>
          </w:tcPr>
          <w:p>
            <w:pPr>
              <w:spacing w:after="0"/>
              <w:rPr>
                <w:sz w:val="4"/>
                <w:szCs w:val="4"/>
                <w:color w:val="auto"/>
              </w:rPr>
            </w:pPr>
          </w:p>
        </w:tc>
        <w:tc>
          <w:tcPr>
            <w:tcW w:w="50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60" w:type="dxa"/>
            <w:vAlign w:val="bottom"/>
          </w:tcPr>
          <w:p>
            <w:pPr>
              <w:ind w:left="12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or</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580" w:type="dxa"/>
            <w:vAlign w:val="bottom"/>
          </w:tcPr>
          <w:p>
            <w:pPr>
              <w:spacing w:after="0"/>
              <w:rPr>
                <w:sz w:val="11"/>
                <w:szCs w:val="11"/>
                <w:color w:val="auto"/>
              </w:rPr>
            </w:pPr>
          </w:p>
        </w:tc>
        <w:tc>
          <w:tcPr>
            <w:tcW w:w="66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of</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460" w:type="dxa"/>
            <w:vAlign w:val="bottom"/>
          </w:tcPr>
          <w:p>
            <w:pPr>
              <w:ind w:left="40"/>
              <w:spacing w:after="0"/>
              <w:rPr>
                <w:sz w:val="20"/>
                <w:szCs w:val="20"/>
                <w:color w:val="auto"/>
              </w:rPr>
            </w:pPr>
            <w:r>
              <w:rPr>
                <w:rFonts w:ascii="Arial" w:cs="Arial" w:eastAsia="Arial" w:hAnsi="Arial"/>
                <w:sz w:val="12"/>
                <w:szCs w:val="12"/>
                <w:b w:val="1"/>
                <w:bCs w:val="1"/>
                <w:color w:val="auto"/>
              </w:rPr>
              <w:t>(A)</w:t>
            </w:r>
          </w:p>
        </w:tc>
        <w:tc>
          <w:tcPr>
            <w:tcW w:w="26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8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60" w:type="dxa"/>
            <w:vAlign w:val="bottom"/>
          </w:tcPr>
          <w:p>
            <w:pPr>
              <w:ind w:left="120"/>
              <w:spacing w:after="0"/>
              <w:rPr>
                <w:sz w:val="20"/>
                <w:szCs w:val="20"/>
                <w:color w:val="auto"/>
              </w:rPr>
            </w:pPr>
            <w:r>
              <w:rPr>
                <w:rFonts w:ascii="Arial" w:cs="Arial" w:eastAsia="Arial" w:hAnsi="Arial"/>
                <w:sz w:val="12"/>
                <w:szCs w:val="12"/>
                <w:b w:val="1"/>
                <w:bCs w:val="1"/>
                <w:color w:val="auto"/>
              </w:rPr>
              <w:t>Shares</w:t>
            </w: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(2)</w:t>
            </w: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(3)</w:t>
            </w:r>
          </w:p>
        </w:tc>
        <w:tc>
          <w:tcPr>
            <w:tcW w:w="760" w:type="dxa"/>
            <w:vAlign w:val="bottom"/>
            <w:vMerge w:val="restart"/>
          </w:tcPr>
          <w:p>
            <w:pPr>
              <w:jc w:val="right"/>
              <w:ind w:right="236"/>
              <w:spacing w:after="0"/>
              <w:rPr>
                <w:sz w:val="20"/>
                <w:szCs w:val="20"/>
                <w:color w:val="auto"/>
              </w:rPr>
            </w:pPr>
            <w:r>
              <w:rPr>
                <w:rFonts w:ascii="Arial" w:cs="Arial" w:eastAsia="Arial" w:hAnsi="Arial"/>
                <w:sz w:val="11"/>
                <w:szCs w:val="11"/>
                <w:color w:val="008000"/>
              </w:rPr>
              <w:t>(3)</w:t>
            </w:r>
          </w:p>
        </w:tc>
        <w:tc>
          <w:tcPr>
            <w:tcW w:w="580" w:type="dxa"/>
            <w:vAlign w:val="bottom"/>
            <w:vMerge w:val="restart"/>
          </w:tcPr>
          <w:p>
            <w:pPr>
              <w:ind w:left="80"/>
              <w:spacing w:after="0"/>
              <w:rPr>
                <w:sz w:val="20"/>
                <w:szCs w:val="20"/>
                <w:color w:val="auto"/>
              </w:rPr>
            </w:pPr>
            <w:r>
              <w:rPr>
                <w:rFonts w:ascii="Arial" w:cs="Arial" w:eastAsia="Arial" w:hAnsi="Arial"/>
                <w:sz w:val="14"/>
                <w:szCs w:val="14"/>
                <w:color w:val="0000FF"/>
                <w:w w:val="89"/>
              </w:rPr>
              <w:t>Ordinary</w:t>
            </w:r>
          </w:p>
        </w:tc>
        <w:tc>
          <w:tcPr>
            <w:tcW w:w="660" w:type="dxa"/>
            <w:vAlign w:val="bottom"/>
            <w:vMerge w:val="restart"/>
          </w:tcPr>
          <w:p>
            <w:pPr>
              <w:ind w:left="160"/>
              <w:spacing w:after="0"/>
              <w:rPr>
                <w:sz w:val="20"/>
                <w:szCs w:val="20"/>
                <w:color w:val="auto"/>
              </w:rPr>
            </w:pPr>
            <w:r>
              <w:rPr>
                <w:rFonts w:ascii="Arial" w:cs="Arial" w:eastAsia="Arial" w:hAnsi="Arial"/>
                <w:sz w:val="18"/>
                <w:szCs w:val="18"/>
                <w:color w:val="0000FF"/>
              </w:rPr>
              <w:t>1,048</w:t>
            </w:r>
          </w:p>
        </w:tc>
        <w:tc>
          <w:tcPr>
            <w:tcW w:w="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vMerge w:val="restart"/>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5"/>
                <w:szCs w:val="5"/>
                <w:color w:val="auto"/>
              </w:rPr>
            </w:pPr>
          </w:p>
        </w:tc>
        <w:tc>
          <w:tcPr>
            <w:tcW w:w="1140" w:type="dxa"/>
            <w:vAlign w:val="bottom"/>
            <w:vMerge w:val="restart"/>
          </w:tcPr>
          <w:p>
            <w:pPr>
              <w:ind w:left="260"/>
              <w:spacing w:after="0" w:line="149" w:lineRule="exact"/>
              <w:rPr>
                <w:sz w:val="20"/>
                <w:szCs w:val="20"/>
                <w:color w:val="auto"/>
              </w:rPr>
            </w:pPr>
            <w:r>
              <w:rPr>
                <w:rFonts w:ascii="Arial" w:cs="Arial" w:eastAsia="Arial" w:hAnsi="Arial"/>
                <w:sz w:val="14"/>
                <w:szCs w:val="14"/>
                <w:color w:val="0000FF"/>
              </w:rPr>
              <w:t>06/15/2018</w:t>
            </w:r>
          </w:p>
        </w:tc>
        <w:tc>
          <w:tcPr>
            <w:tcW w:w="1140" w:type="dxa"/>
            <w:vAlign w:val="bottom"/>
          </w:tcPr>
          <w:p>
            <w:pPr>
              <w:spacing w:after="0"/>
              <w:rPr>
                <w:sz w:val="5"/>
                <w:szCs w:val="5"/>
                <w:color w:val="auto"/>
              </w:rPr>
            </w:pPr>
          </w:p>
        </w:tc>
        <w:tc>
          <w:tcPr>
            <w:tcW w:w="440" w:type="dxa"/>
            <w:vAlign w:val="bottom"/>
            <w:vMerge w:val="restart"/>
          </w:tcPr>
          <w:p>
            <w:pPr>
              <w:jc w:val="right"/>
              <w:ind w:right="118"/>
              <w:spacing w:after="0" w:line="149" w:lineRule="exact"/>
              <w:rPr>
                <w:sz w:val="20"/>
                <w:szCs w:val="20"/>
                <w:color w:val="auto"/>
              </w:rPr>
            </w:pPr>
            <w:r>
              <w:rPr>
                <w:rFonts w:ascii="Arial" w:cs="Arial" w:eastAsia="Arial" w:hAnsi="Arial"/>
                <w:sz w:val="14"/>
                <w:szCs w:val="14"/>
                <w:color w:val="0000FF"/>
              </w:rPr>
              <w:t>A</w:t>
            </w:r>
          </w:p>
        </w:tc>
        <w:tc>
          <w:tcPr>
            <w:tcW w:w="420" w:type="dxa"/>
            <w:vAlign w:val="bottom"/>
          </w:tcPr>
          <w:p>
            <w:pPr>
              <w:spacing w:after="0"/>
              <w:rPr>
                <w:sz w:val="5"/>
                <w:szCs w:val="5"/>
                <w:color w:val="auto"/>
              </w:rPr>
            </w:pPr>
          </w:p>
        </w:tc>
        <w:tc>
          <w:tcPr>
            <w:tcW w:w="460" w:type="dxa"/>
            <w:vAlign w:val="bottom"/>
            <w:vMerge w:val="restart"/>
          </w:tcPr>
          <w:p>
            <w:pPr>
              <w:ind w:left="60"/>
              <w:spacing w:after="0" w:line="149" w:lineRule="exact"/>
              <w:rPr>
                <w:sz w:val="20"/>
                <w:szCs w:val="20"/>
                <w:color w:val="auto"/>
              </w:rPr>
            </w:pPr>
            <w:r>
              <w:rPr>
                <w:rFonts w:ascii="Arial" w:cs="Arial" w:eastAsia="Arial" w:hAnsi="Arial"/>
                <w:sz w:val="14"/>
                <w:szCs w:val="14"/>
                <w:color w:val="0000FF"/>
              </w:rPr>
              <w:t>1,048</w:t>
            </w:r>
          </w:p>
        </w:tc>
        <w:tc>
          <w:tcPr>
            <w:tcW w:w="26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500" w:type="dxa"/>
            <w:vAlign w:val="bottom"/>
            <w:vMerge w:val="restart"/>
          </w:tcPr>
          <w:p>
            <w:pPr>
              <w:ind w:left="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740" w:type="dxa"/>
            <w:vAlign w:val="bottom"/>
            <w:vMerge w:val="restart"/>
          </w:tcPr>
          <w:p>
            <w:pPr>
              <w:ind w:left="320"/>
              <w:spacing w:after="0" w:line="149" w:lineRule="exact"/>
              <w:rPr>
                <w:sz w:val="20"/>
                <w:szCs w:val="20"/>
                <w:color w:val="auto"/>
              </w:rPr>
            </w:pPr>
            <w:r>
              <w:rPr>
                <w:rFonts w:ascii="Arial" w:cs="Arial" w:eastAsia="Arial" w:hAnsi="Arial"/>
                <w:sz w:val="14"/>
                <w:szCs w:val="14"/>
                <w:color w:val="0000FF"/>
              </w:rPr>
              <w:t>2,763</w:t>
            </w:r>
          </w:p>
        </w:tc>
        <w:tc>
          <w:tcPr>
            <w:tcW w:w="940" w:type="dxa"/>
            <w:vAlign w:val="bottom"/>
            <w:vMerge w:val="restart"/>
          </w:tcPr>
          <w:p>
            <w:pPr>
              <w:ind w:left="560"/>
              <w:spacing w:after="0" w:line="149"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44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46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580" w:type="dxa"/>
            <w:vAlign w:val="bottom"/>
            <w:vMerge w:val="restart"/>
          </w:tcPr>
          <w:p>
            <w:pPr>
              <w:ind w:left="140"/>
              <w:spacing w:after="0"/>
              <w:rPr>
                <w:sz w:val="20"/>
                <w:szCs w:val="20"/>
                <w:color w:val="auto"/>
              </w:rPr>
            </w:pPr>
            <w:r>
              <w:rPr>
                <w:rFonts w:ascii="Arial" w:cs="Arial" w:eastAsia="Arial" w:hAnsi="Arial"/>
                <w:sz w:val="14"/>
                <w:szCs w:val="14"/>
                <w:color w:val="0000FF"/>
                <w:w w:val="94"/>
              </w:rPr>
              <w:t>Shares</w:t>
            </w:r>
          </w:p>
        </w:tc>
        <w:tc>
          <w:tcPr>
            <w:tcW w:w="66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94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460" w:type="dxa"/>
            <w:vAlign w:val="bottom"/>
          </w:tcPr>
          <w:p>
            <w:pPr>
              <w:spacing w:after="0"/>
              <w:rPr>
                <w:sz w:val="7"/>
                <w:szCs w:val="7"/>
                <w:color w:val="auto"/>
              </w:rPr>
            </w:pPr>
          </w:p>
        </w:tc>
        <w:tc>
          <w:tcPr>
            <w:tcW w:w="26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660" w:type="dxa"/>
            <w:vAlign w:val="bottom"/>
          </w:tcPr>
          <w:p>
            <w:pPr>
              <w:spacing w:after="0"/>
              <w:rPr>
                <w:sz w:val="7"/>
                <w:szCs w:val="7"/>
                <w:color w:val="auto"/>
              </w:rPr>
            </w:pPr>
          </w:p>
        </w:tc>
        <w:tc>
          <w:tcPr>
            <w:tcW w:w="240" w:type="dxa"/>
            <w:vAlign w:val="bottom"/>
          </w:tcPr>
          <w:p>
            <w:pPr>
              <w:spacing w:after="0"/>
              <w:rPr>
                <w:sz w:val="7"/>
                <w:szCs w:val="7"/>
                <w:color w:val="auto"/>
              </w:rPr>
            </w:pPr>
          </w:p>
        </w:tc>
        <w:tc>
          <w:tcPr>
            <w:tcW w:w="500" w:type="dxa"/>
            <w:vAlign w:val="bottom"/>
          </w:tcPr>
          <w:p>
            <w:pPr>
              <w:spacing w:after="0"/>
              <w:rPr>
                <w:sz w:val="7"/>
                <w:szCs w:val="7"/>
                <w:color w:val="auto"/>
              </w:rPr>
            </w:pPr>
          </w:p>
        </w:tc>
        <w:tc>
          <w:tcPr>
            <w:tcW w:w="74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460" w:type="dxa"/>
            <w:vAlign w:val="bottom"/>
          </w:tcPr>
          <w:p>
            <w:pPr>
              <w:spacing w:after="0"/>
              <w:rPr>
                <w:sz w:val="7"/>
                <w:szCs w:val="7"/>
                <w:color w:val="auto"/>
              </w:rPr>
            </w:pPr>
          </w:p>
        </w:tc>
        <w:tc>
          <w:tcPr>
            <w:tcW w:w="26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40" w:type="dxa"/>
            <w:vAlign w:val="bottom"/>
          </w:tcPr>
          <w:p>
            <w:pPr>
              <w:spacing w:after="0"/>
              <w:rPr>
                <w:sz w:val="7"/>
                <w:szCs w:val="7"/>
                <w:color w:val="auto"/>
              </w:rPr>
            </w:pPr>
          </w:p>
        </w:tc>
        <w:tc>
          <w:tcPr>
            <w:tcW w:w="500" w:type="dxa"/>
            <w:vAlign w:val="bottom"/>
          </w:tcPr>
          <w:p>
            <w:pPr>
              <w:spacing w:after="0"/>
              <w:rPr>
                <w:sz w:val="7"/>
                <w:szCs w:val="7"/>
                <w:color w:val="auto"/>
              </w:rPr>
            </w:pPr>
          </w:p>
        </w:tc>
        <w:tc>
          <w:tcPr>
            <w:tcW w:w="74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6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weighted average selling price. Securities sold through approximately 2 separate sales on the transaction date at prices ranging from $104.42 to $104.53. The reporting person hereby undertakes to provide upon request to the SEC, the issuer or any stockholder of the issuer, the full information regarding the number of shares and prices at which the transaction was effected.</w:t>
      </w:r>
    </w:p>
    <w:p>
      <w:pPr>
        <w:ind w:left="40" w:right="5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Each restricted stock unit (RSU) represents a contingent right to receive one ordinary share (Ordinary Share) of LivaNova PLC (the Company), GBP 1.00 par value, in accordance with the terms of the LivaNova PLC 2015 Incentive Award Plan (the Plan) and the award agreement.</w:t>
      </w:r>
    </w:p>
    <w:p>
      <w:pPr>
        <w:spacing w:after="0" w:line="30" w:lineRule="exact"/>
        <w:rPr>
          <w:rFonts w:ascii="Arial" w:cs="Arial" w:eastAsia="Arial" w:hAnsi="Arial"/>
          <w:sz w:val="14"/>
          <w:szCs w:val="14"/>
          <w:color w:val="008000"/>
        </w:rPr>
      </w:pPr>
    </w:p>
    <w:p>
      <w:pPr>
        <w:ind w:left="40" w:right="3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Reporting person was granted RSUs that vest and all forfeiture restrictions thereon shall lapse on June 15, 2019. The RSUs are subject to forfeiture prior to vesting in accordance with the terms of the Plan and the award agreement.</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2"/>
          </w:tcPr>
          <w:p>
            <w:pPr>
              <w:spacing w:after="0"/>
              <w:rPr>
                <w:sz w:val="20"/>
                <w:szCs w:val="20"/>
                <w:color w:val="auto"/>
              </w:rPr>
            </w:pPr>
            <w:r>
              <w:rPr>
                <w:rFonts w:ascii="Arial" w:cs="Arial" w:eastAsia="Arial" w:hAnsi="Arial"/>
                <w:sz w:val="18"/>
                <w:szCs w:val="18"/>
                <w:color w:val="0000FF"/>
              </w:rPr>
              <w:t>/s/ Sarah K. Mohr POA</w:t>
            </w: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06/18/2018</w:t>
            </w:r>
          </w:p>
        </w:tc>
      </w:tr>
      <w:tr>
        <w:trPr>
          <w:trHeight w:val="20"/>
        </w:trPr>
        <w:tc>
          <w:tcPr>
            <w:tcW w:w="16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6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00"/>
      </w:cols>
      <w:pgMar w:left="240" w:top="226" w:right="1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88862" TargetMode="External"/><Relationship Id="rId13"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2019-12-24T09:12:44Z</dcterms:created>
  <dcterms:modified xsi:type="dcterms:W3CDTF">2019-12-24T09:12:44Z</dcterms:modified>
</cp:coreProperties>
</file>