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November 2, 2017, LivaNova PLC (the “Company”) issued a press release announcing financial results for the third quarter ended September 30, 2017. The Company will host a business update conference call and webcast today, November 2, 2017, at 8:00 a.m. Central Time (9:00 a.m. Eastern Time, 2:00 p.m. GMT), during which the Company will discuss the financial results. The conference call will be available to interested parties through a live audio webcast commencing at 8:00 a.m. Central Time (9:00 a.m. Eastern Time, 2:00 p.m. GMT) and accessible through the Investor Relations section of the LivaNova corporate website at www.livanova.com. A copy of the Company’s press release is furnished as Exhibit 99.1 on this Current Report on Form 8-K.</w:t>
      </w:r>
    </w:p>
    <w:p>
      <w:pPr>
        <w:spacing w:after="0" w:line="15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387" w:lineRule="exact"/>
        <w:rPr>
          <w:sz w:val="20"/>
          <w:szCs w:val="20"/>
          <w:color w:val="auto"/>
        </w:rPr>
      </w:pPr>
    </w:p>
    <w:p>
      <w:pPr>
        <w:ind w:left="40"/>
        <w:spacing w:after="0"/>
        <w:tabs>
          <w:tab w:leader="none" w:pos="16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issued by LivaNova PLC dated November 2, 2017</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20"/>
          </w:cols>
          <w:pgMar w:left="240" w:top="36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300" w:type="dxa"/>
            <w:vAlign w:val="bottom"/>
          </w:tcPr>
          <w:p>
            <w:pPr>
              <w:spacing w:after="0"/>
              <w:rPr>
                <w:sz w:val="24"/>
                <w:szCs w:val="24"/>
                <w:color w:val="auto"/>
              </w:rPr>
            </w:pPr>
          </w:p>
        </w:tc>
        <w:tc>
          <w:tcPr>
            <w:tcW w:w="498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574"/>
        </w:trPr>
        <w:tc>
          <w:tcPr>
            <w:tcW w:w="600" w:type="dxa"/>
            <w:vAlign w:val="bottom"/>
            <w:gridSpan w:val="2"/>
          </w:tcPr>
          <w:p>
            <w:pPr>
              <w:jc w:val="center"/>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w w:val="89"/>
              </w:rPr>
              <w:t>Press Release issued by LivaNova PLC dated November 2, 2017</w:t>
            </w:r>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9959"/>
          </w:cols>
          <w:pgMar w:left="50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2470150" cy="788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788670"/>
                    </a:xfrm>
                    <a:prstGeom prst="rect">
                      <a:avLst/>
                    </a:prstGeom>
                    <a:noFill/>
                    <a:ln>
                      <a:noFill/>
                    </a:ln>
                  </pic:spPr>
                </pic:pic>
              </a:graphicData>
            </a:graphic>
          </wp:inline>
        </w:drawing>
      </w:r>
      <w:r>
        <w:rPr>
          <w:rFonts w:ascii="Arial" w:cs="Arial" w:eastAsia="Arial" w:hAnsi="Arial"/>
          <w:sz w:val="20"/>
          <w:szCs w:val="20"/>
          <w:color w:val="FF5C39"/>
        </w:rPr>
        <w:t xml:space="preserve"> 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Third Quarter 2017 Results</w:t>
      </w:r>
    </w:p>
    <w:p>
      <w:pPr>
        <w:spacing w:after="0" w:line="200" w:lineRule="exact"/>
        <w:rPr>
          <w:sz w:val="20"/>
          <w:szCs w:val="20"/>
          <w:color w:val="auto"/>
        </w:rPr>
      </w:pPr>
    </w:p>
    <w:p>
      <w:pPr>
        <w:spacing w:after="0" w:line="397"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November 2, 2017 – </w:t>
      </w:r>
      <w:r>
        <w:rPr>
          <w:rFonts w:ascii="Arial" w:cs="Arial" w:eastAsia="Arial" w:hAnsi="Arial"/>
          <w:sz w:val="20"/>
          <w:szCs w:val="20"/>
          <w:color w:val="auto"/>
        </w:rPr>
        <w:t>LivaNova PLC (NASDAQ:LIVN) (“LivaNova” or the “Company”), a market-leading medical</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and innovation company, today reported results for the quarter ended September 30, 2017.</w:t>
      </w:r>
    </w:p>
    <w:p>
      <w:pPr>
        <w:spacing w:after="0" w:line="31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For the third quarter of 2017, worldwide sales were $309.7 million, an increase of 4.9 percent on a reported basis and an increase of 3.1 percent on a constant currency basis, as compared to the same quarter of the previous year. On the basis of U.S. Generally Accepted Accounting Principles (GAAP), third quarter 2017 diluted earnings per share were $0.57. Third quarter 2017 adjusted diluted earnings per share were $0.93.</w:t>
      </w:r>
    </w:p>
    <w:p>
      <w:pPr>
        <w:spacing w:after="0" w:line="345" w:lineRule="exact"/>
        <w:rPr>
          <w:sz w:val="20"/>
          <w:szCs w:val="20"/>
          <w:color w:val="auto"/>
        </w:rPr>
      </w:pPr>
    </w:p>
    <w:p>
      <w:pPr>
        <w:jc w:val="both"/>
        <w:spacing w:after="0" w:line="347" w:lineRule="auto"/>
        <w:rPr>
          <w:sz w:val="20"/>
          <w:szCs w:val="20"/>
          <w:color w:val="auto"/>
        </w:rPr>
      </w:pPr>
      <w:r>
        <w:rPr>
          <w:rFonts w:ascii="Arial" w:cs="Arial" w:eastAsia="Arial" w:hAnsi="Arial"/>
          <w:sz w:val="20"/>
          <w:szCs w:val="20"/>
          <w:color w:val="auto"/>
        </w:rPr>
        <w:t>"We delivered solid sales and earnings performance in the third quarter, with record growth in several of our product areas," said Damien McDonald, LivaNova's Chief Executive Officer. “While we grew in Neuromodulation, results were impacted due to delays in procedures as a result of hurricane-related activity, and also from broad patient deferrals in anticipation of the launch of our newest VNS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SenTiva</w:t>
      </w:r>
      <w:r>
        <w:rPr>
          <w:rFonts w:ascii="Arial" w:cs="Arial" w:eastAsia="Arial" w:hAnsi="Arial"/>
          <w:sz w:val="25"/>
          <w:szCs w:val="25"/>
          <w:color w:val="auto"/>
          <w:vertAlign w:val="superscript"/>
        </w:rPr>
        <w:t>TM</w:t>
      </w:r>
      <w:r>
        <w:rPr>
          <w:rFonts w:ascii="Arial" w:cs="Arial" w:eastAsia="Arial" w:hAnsi="Arial"/>
          <w:sz w:val="20"/>
          <w:szCs w:val="20"/>
          <w:color w:val="auto"/>
        </w:rPr>
        <w:t>, which received U.S. Food and Drug Administration approval in early October. Growth in our Cardiac Rhythm Management business was slightly positive, aided by continued demand in Japan for our KORA250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device, even as we explore strategic options for this franchise. Cardiac Surgery had numerous positive initiatives that coalesced, resulting in mid-single-digit growth in both our cardiopulmonary and heart valve product lines. Due to our strong year-to-date results and momentum across our business, we are increasing our full-year guidance for adjusted diluted earnings per share to $3.30 to $3.45. We remain on track to meet our other full-year commitments and will continue to take actions that strengthen LivaNova’s position as a focused med-tech innovator dedicated to improving the lives of patients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1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Third Quarter 2017 Results</w:t>
      </w:r>
    </w:p>
    <w:p>
      <w:pPr>
        <w:spacing w:after="0" w:line="321" w:lineRule="exact"/>
        <w:rPr>
          <w:sz w:val="20"/>
          <w:szCs w:val="20"/>
          <w:color w:val="auto"/>
        </w:rPr>
      </w:pPr>
    </w:p>
    <w:p>
      <w:pPr>
        <w:ind w:right="20"/>
        <w:spacing w:after="0" w:line="373" w:lineRule="auto"/>
        <w:rPr>
          <w:sz w:val="20"/>
          <w:szCs w:val="20"/>
          <w:color w:val="auto"/>
        </w:rPr>
      </w:pPr>
      <w:r>
        <w:rPr>
          <w:rFonts w:ascii="Arial" w:cs="Arial" w:eastAsia="Arial" w:hAnsi="Arial"/>
          <w:sz w:val="20"/>
          <w:szCs w:val="20"/>
          <w:color w:val="auto"/>
        </w:rPr>
        <w:t>Worldwide sales for the third quarter were $309.7 million, up 3.1 percent on a constant currency basis compared to the third quarter of 2016. The following table highlights worldwide sales for the third quarter of 2017 by Business Franchise:</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580" w:type="dxa"/>
            <w:vAlign w:val="bottom"/>
            <w:tcBorders>
              <w:top w:val="single" w:sz="8" w:color="auto"/>
              <w:bottom w:val="single" w:sz="8" w:color="00000A"/>
              <w:right w:val="single" w:sz="8" w:color="00000A"/>
            </w:tcBorders>
            <w:gridSpan w:val="2"/>
          </w:tcPr>
          <w:p>
            <w:pPr>
              <w:jc w:val="right"/>
              <w:ind w:right="244"/>
              <w:spacing w:after="0"/>
              <w:rPr>
                <w:sz w:val="20"/>
                <w:szCs w:val="20"/>
                <w:color w:val="auto"/>
              </w:rPr>
            </w:pPr>
            <w:r>
              <w:rPr>
                <w:rFonts w:ascii="Arial" w:cs="Arial" w:eastAsia="Arial" w:hAnsi="Arial"/>
                <w:sz w:val="18"/>
                <w:szCs w:val="18"/>
                <w:color w:val="auto"/>
              </w:rPr>
              <w:t>Three months ended September 30,</w:t>
            </w:r>
          </w:p>
        </w:tc>
        <w:tc>
          <w:tcPr>
            <w:tcW w:w="1800" w:type="dxa"/>
            <w:vAlign w:val="bottom"/>
            <w:tcBorders>
              <w:top w:val="single" w:sz="8" w:color="auto"/>
              <w:bottom w:val="single" w:sz="8" w:color="auto"/>
              <w:right w:val="single" w:sz="8" w:color="auto"/>
            </w:tcBorders>
            <w:vMerge w:val="restart"/>
          </w:tcPr>
          <w:p>
            <w:pPr>
              <w:jc w:val="right"/>
              <w:ind w:right="404"/>
              <w:spacing w:after="0"/>
              <w:rPr>
                <w:sz w:val="20"/>
                <w:szCs w:val="20"/>
                <w:color w:val="auto"/>
              </w:rPr>
            </w:pPr>
            <w:r>
              <w:rPr>
                <w:rFonts w:ascii="Arial" w:cs="Arial" w:eastAsia="Arial" w:hAnsi="Arial"/>
                <w:sz w:val="18"/>
                <w:szCs w:val="18"/>
                <w:color w:val="auto"/>
              </w:rPr>
              <w:t>% Change</w:t>
            </w:r>
          </w:p>
        </w:tc>
        <w:tc>
          <w:tcPr>
            <w:tcW w:w="1680" w:type="dxa"/>
            <w:vAlign w:val="bottom"/>
            <w:tcBorders>
              <w:top w:val="single" w:sz="8" w:color="auto"/>
              <w:right w:val="single" w:sz="8" w:color="auto"/>
            </w:tcBorders>
          </w:tcPr>
          <w:p>
            <w:pPr>
              <w:jc w:val="right"/>
              <w:ind w:right="25"/>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102"/>
        </w:trPr>
        <w:tc>
          <w:tcPr>
            <w:tcW w:w="4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Business Franchise / Product Line:</w:t>
            </w:r>
          </w:p>
        </w:tc>
        <w:tc>
          <w:tcPr>
            <w:tcW w:w="2000" w:type="dxa"/>
            <w:vAlign w:val="bottom"/>
            <w:tcBorders>
              <w:right w:val="single" w:sz="8" w:color="00000A"/>
            </w:tcBorders>
            <w:vMerge w:val="restart"/>
          </w:tcPr>
          <w:p>
            <w:pPr>
              <w:jc w:val="right"/>
              <w:ind w:right="725"/>
              <w:spacing w:after="0"/>
              <w:rPr>
                <w:sz w:val="20"/>
                <w:szCs w:val="20"/>
                <w:color w:val="auto"/>
              </w:rPr>
            </w:pPr>
            <w:r>
              <w:rPr>
                <w:rFonts w:ascii="Arial" w:cs="Arial" w:eastAsia="Arial" w:hAnsi="Arial"/>
                <w:sz w:val="18"/>
                <w:szCs w:val="18"/>
                <w:color w:val="auto"/>
              </w:rPr>
              <w:t>2017</w:t>
            </w:r>
          </w:p>
        </w:tc>
        <w:tc>
          <w:tcPr>
            <w:tcW w:w="1580" w:type="dxa"/>
            <w:vAlign w:val="bottom"/>
            <w:tcBorders>
              <w:right w:val="single" w:sz="8" w:color="00000A"/>
            </w:tcBorders>
            <w:vMerge w:val="restart"/>
          </w:tcPr>
          <w:p>
            <w:pPr>
              <w:jc w:val="right"/>
              <w:ind w:right="504"/>
              <w:spacing w:after="0"/>
              <w:rPr>
                <w:sz w:val="20"/>
                <w:szCs w:val="20"/>
                <w:color w:val="auto"/>
              </w:rPr>
            </w:pPr>
            <w:r>
              <w:rPr>
                <w:rFonts w:ascii="Arial" w:cs="Arial" w:eastAsia="Arial" w:hAnsi="Arial"/>
                <w:sz w:val="18"/>
                <w:szCs w:val="18"/>
                <w:color w:val="auto"/>
              </w:rPr>
              <w:t>2016</w:t>
            </w:r>
          </w:p>
        </w:tc>
        <w:tc>
          <w:tcPr>
            <w:tcW w:w="180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restart"/>
          </w:tcPr>
          <w:p>
            <w:pPr>
              <w:jc w:val="right"/>
              <w:ind w:right="345"/>
              <w:spacing w:after="0" w:line="197"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56"/>
        </w:trPr>
        <w:tc>
          <w:tcPr>
            <w:tcW w:w="43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000" w:type="dxa"/>
            <w:vAlign w:val="bottom"/>
            <w:tcBorders>
              <w:bottom w:val="single" w:sz="8" w:color="auto"/>
              <w:right w:val="single" w:sz="8" w:color="00000A"/>
            </w:tcBorders>
            <w:vMerge w:val="continue"/>
          </w:tcPr>
          <w:p>
            <w:pPr>
              <w:spacing w:after="0"/>
              <w:rPr>
                <w:sz w:val="13"/>
                <w:szCs w:val="13"/>
                <w:color w:val="auto"/>
              </w:rPr>
            </w:pPr>
          </w:p>
        </w:tc>
        <w:tc>
          <w:tcPr>
            <w:tcW w:w="1580" w:type="dxa"/>
            <w:vAlign w:val="bottom"/>
            <w:tcBorders>
              <w:bottom w:val="single" w:sz="8" w:color="auto"/>
              <w:right w:val="single" w:sz="8" w:color="00000A"/>
            </w:tcBorders>
            <w:vMerge w:val="continue"/>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3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200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$123.6</w:t>
            </w:r>
          </w:p>
        </w:tc>
        <w:tc>
          <w:tcPr>
            <w:tcW w:w="1580" w:type="dxa"/>
            <w:vAlign w:val="bottom"/>
            <w:tcBorders>
              <w:right w:val="single" w:sz="8" w:color="00000A"/>
            </w:tcBorders>
          </w:tcPr>
          <w:p>
            <w:pPr>
              <w:jc w:val="right"/>
              <w:ind w:right="44"/>
              <w:spacing w:after="0"/>
              <w:rPr>
                <w:sz w:val="20"/>
                <w:szCs w:val="20"/>
                <w:color w:val="auto"/>
              </w:rPr>
            </w:pPr>
            <w:r>
              <w:rPr>
                <w:rFonts w:ascii="Arial" w:cs="Arial" w:eastAsia="Arial" w:hAnsi="Arial"/>
                <w:sz w:val="18"/>
                <w:szCs w:val="18"/>
                <w:i w:val="1"/>
                <w:iCs w:val="1"/>
                <w:color w:val="auto"/>
              </w:rPr>
              <w:t>$114.8</w:t>
            </w:r>
          </w:p>
        </w:tc>
        <w:tc>
          <w:tcPr>
            <w:tcW w:w="180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7.7%</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244"/>
        </w:trPr>
        <w:tc>
          <w:tcPr>
            <w:tcW w:w="43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2000" w:type="dxa"/>
            <w:vAlign w:val="bottom"/>
            <w:tcBorders>
              <w:top w:val="single" w:sz="8" w:color="auto"/>
              <w:bottom w:val="single" w:sz="8" w:color="00000A"/>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36.3</w:t>
            </w:r>
          </w:p>
        </w:tc>
        <w:tc>
          <w:tcPr>
            <w:tcW w:w="1580" w:type="dxa"/>
            <w:vAlign w:val="bottom"/>
            <w:tcBorders>
              <w:top w:val="single" w:sz="8" w:color="auto"/>
              <w:bottom w:val="single" w:sz="8" w:color="00000A"/>
              <w:right w:val="single" w:sz="8" w:color="00000A"/>
            </w:tcBorders>
          </w:tcPr>
          <w:p>
            <w:pPr>
              <w:jc w:val="right"/>
              <w:ind w:right="44"/>
              <w:spacing w:after="0"/>
              <w:rPr>
                <w:sz w:val="20"/>
                <w:szCs w:val="20"/>
                <w:color w:val="auto"/>
              </w:rPr>
            </w:pPr>
            <w:r>
              <w:rPr>
                <w:rFonts w:ascii="Arial" w:cs="Arial" w:eastAsia="Arial" w:hAnsi="Arial"/>
                <w:sz w:val="18"/>
                <w:szCs w:val="18"/>
                <w:i w:val="1"/>
                <w:iCs w:val="1"/>
                <w:color w:val="auto"/>
              </w:rPr>
              <w:t>33.7</w:t>
            </w:r>
          </w:p>
        </w:tc>
        <w:tc>
          <w:tcPr>
            <w:tcW w:w="1800" w:type="dxa"/>
            <w:vAlign w:val="bottom"/>
            <w:tcBorders>
              <w:top w:val="single" w:sz="8" w:color="00000A"/>
              <w:bottom w:val="single" w:sz="8" w:color="00000A"/>
              <w:right w:val="single" w:sz="8" w:color="00000A"/>
            </w:tcBorders>
          </w:tcPr>
          <w:p>
            <w:pPr>
              <w:jc w:val="right"/>
              <w:spacing w:after="0"/>
              <w:rPr>
                <w:sz w:val="20"/>
                <w:szCs w:val="20"/>
                <w:color w:val="auto"/>
              </w:rPr>
            </w:pPr>
            <w:r>
              <w:rPr>
                <w:rFonts w:ascii="Arial" w:cs="Arial" w:eastAsia="Arial" w:hAnsi="Arial"/>
                <w:sz w:val="18"/>
                <w:szCs w:val="18"/>
                <w:i w:val="1"/>
                <w:iCs w:val="1"/>
                <w:color w:val="auto"/>
              </w:rPr>
              <w:t>7.7%</w:t>
            </w:r>
          </w:p>
        </w:tc>
        <w:tc>
          <w:tcPr>
            <w:tcW w:w="1680" w:type="dxa"/>
            <w:vAlign w:val="bottom"/>
            <w:tcBorders>
              <w:top w:val="single" w:sz="8" w:color="00000A"/>
              <w:bottom w:val="single" w:sz="8" w:color="00000A"/>
              <w:right w:val="single" w:sz="8" w:color="auto"/>
            </w:tcBorders>
          </w:tcPr>
          <w:p>
            <w:pPr>
              <w:jc w:val="right"/>
              <w:spacing w:after="0"/>
              <w:rPr>
                <w:sz w:val="20"/>
                <w:szCs w:val="20"/>
                <w:color w:val="auto"/>
              </w:rPr>
            </w:pPr>
            <w:r>
              <w:rPr>
                <w:rFonts w:ascii="Arial" w:cs="Arial" w:eastAsia="Arial" w:hAnsi="Arial"/>
                <w:sz w:val="18"/>
                <w:szCs w:val="18"/>
                <w:i w:val="1"/>
                <w:iCs w:val="1"/>
                <w:color w:val="auto"/>
              </w:rPr>
              <w:t>5.1%</w:t>
            </w:r>
          </w:p>
        </w:tc>
        <w:tc>
          <w:tcPr>
            <w:tcW w:w="0" w:type="dxa"/>
            <w:vAlign w:val="bottom"/>
          </w:tcPr>
          <w:p>
            <w:pPr>
              <w:spacing w:after="0"/>
              <w:rPr>
                <w:sz w:val="1"/>
                <w:szCs w:val="1"/>
                <w:color w:val="auto"/>
              </w:rPr>
            </w:pPr>
          </w:p>
        </w:tc>
      </w:tr>
      <w:tr>
        <w:trPr>
          <w:trHeight w:val="265"/>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159.8</w:t>
            </w:r>
          </w:p>
        </w:tc>
        <w:tc>
          <w:tcPr>
            <w:tcW w:w="1580" w:type="dxa"/>
            <w:vAlign w:val="bottom"/>
            <w:tcBorders>
              <w:bottom w:val="single" w:sz="8" w:color="00000A"/>
              <w:right w:val="single" w:sz="8" w:color="00000A"/>
            </w:tcBorders>
          </w:tcPr>
          <w:p>
            <w:pPr>
              <w:jc w:val="right"/>
              <w:ind w:right="44"/>
              <w:spacing w:after="0"/>
              <w:rPr>
                <w:sz w:val="20"/>
                <w:szCs w:val="20"/>
                <w:color w:val="auto"/>
              </w:rPr>
            </w:pPr>
            <w:r>
              <w:rPr>
                <w:rFonts w:ascii="Arial" w:cs="Arial" w:eastAsia="Arial" w:hAnsi="Arial"/>
                <w:sz w:val="20"/>
                <w:szCs w:val="20"/>
                <w:color w:val="auto"/>
              </w:rPr>
              <w:t>148.5</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7.6%</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56"/>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Rhythm Management</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58.4</w:t>
            </w:r>
          </w:p>
        </w:tc>
        <w:tc>
          <w:tcPr>
            <w:tcW w:w="1580" w:type="dxa"/>
            <w:vAlign w:val="bottom"/>
            <w:tcBorders>
              <w:bottom w:val="single" w:sz="8" w:color="00000A"/>
              <w:right w:val="single" w:sz="8" w:color="00000A"/>
            </w:tcBorders>
          </w:tcPr>
          <w:p>
            <w:pPr>
              <w:jc w:val="right"/>
              <w:ind w:right="44"/>
              <w:spacing w:after="0"/>
              <w:rPr>
                <w:sz w:val="20"/>
                <w:szCs w:val="20"/>
                <w:color w:val="auto"/>
              </w:rPr>
            </w:pPr>
            <w:r>
              <w:rPr>
                <w:rFonts w:ascii="Arial" w:cs="Arial" w:eastAsia="Arial" w:hAnsi="Arial"/>
                <w:sz w:val="20"/>
                <w:szCs w:val="20"/>
                <w:color w:val="auto"/>
              </w:rPr>
              <w:t>56.8</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2.8%</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65"/>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91.0</w:t>
            </w:r>
          </w:p>
        </w:tc>
        <w:tc>
          <w:tcPr>
            <w:tcW w:w="1580" w:type="dxa"/>
            <w:vAlign w:val="bottom"/>
            <w:tcBorders>
              <w:bottom w:val="single" w:sz="8" w:color="00000A"/>
              <w:right w:val="single" w:sz="8" w:color="00000A"/>
            </w:tcBorders>
          </w:tcPr>
          <w:p>
            <w:pPr>
              <w:jc w:val="right"/>
              <w:ind w:right="44"/>
              <w:spacing w:after="0"/>
              <w:rPr>
                <w:sz w:val="20"/>
                <w:szCs w:val="20"/>
                <w:color w:val="auto"/>
              </w:rPr>
            </w:pPr>
            <w:r>
              <w:rPr>
                <w:rFonts w:ascii="Arial" w:cs="Arial" w:eastAsia="Arial" w:hAnsi="Arial"/>
                <w:sz w:val="20"/>
                <w:szCs w:val="20"/>
                <w:color w:val="auto"/>
              </w:rPr>
              <w:t>89.5</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1.7%</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64"/>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0.4</w:t>
            </w:r>
          </w:p>
        </w:tc>
        <w:tc>
          <w:tcPr>
            <w:tcW w:w="1580" w:type="dxa"/>
            <w:vAlign w:val="bottom"/>
            <w:tcBorders>
              <w:bottom w:val="single" w:sz="8" w:color="00000A"/>
              <w:right w:val="single" w:sz="8" w:color="00000A"/>
            </w:tcBorders>
          </w:tcPr>
          <w:p>
            <w:pPr>
              <w:jc w:val="right"/>
              <w:ind w:right="44"/>
              <w:spacing w:after="0"/>
              <w:rPr>
                <w:sz w:val="20"/>
                <w:szCs w:val="20"/>
                <w:color w:val="auto"/>
              </w:rPr>
            </w:pPr>
            <w:r>
              <w:rPr>
                <w:rFonts w:ascii="Arial" w:cs="Arial" w:eastAsia="Arial" w:hAnsi="Arial"/>
                <w:sz w:val="20"/>
                <w:szCs w:val="20"/>
                <w:color w:val="auto"/>
              </w:rPr>
              <w:t>0.5</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200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$309.7</w:t>
            </w:r>
          </w:p>
        </w:tc>
        <w:tc>
          <w:tcPr>
            <w:tcW w:w="1580" w:type="dxa"/>
            <w:vAlign w:val="bottom"/>
            <w:tcBorders>
              <w:bottom w:val="single" w:sz="8" w:color="auto"/>
              <w:right w:val="single" w:sz="8" w:color="00000A"/>
            </w:tcBorders>
          </w:tcPr>
          <w:p>
            <w:pPr>
              <w:jc w:val="right"/>
              <w:ind w:right="44"/>
              <w:spacing w:after="0"/>
              <w:rPr>
                <w:sz w:val="20"/>
                <w:szCs w:val="20"/>
                <w:color w:val="auto"/>
              </w:rPr>
            </w:pPr>
            <w:r>
              <w:rPr>
                <w:rFonts w:ascii="Arial" w:cs="Arial" w:eastAsia="Arial" w:hAnsi="Arial"/>
                <w:sz w:val="20"/>
                <w:szCs w:val="20"/>
                <w:color w:val="auto"/>
              </w:rPr>
              <w:t>$295.3</w:t>
            </w:r>
          </w:p>
        </w:tc>
        <w:tc>
          <w:tcPr>
            <w:tcW w:w="1800" w:type="dxa"/>
            <w:vAlign w:val="bottom"/>
            <w:tcBorders>
              <w:bottom w:val="single" w:sz="8" w:color="auto"/>
              <w:right w:val="single" w:sz="8" w:color="00000A"/>
            </w:tcBorders>
          </w:tcPr>
          <w:p>
            <w:pPr>
              <w:jc w:val="right"/>
              <w:spacing w:after="0"/>
              <w:rPr>
                <w:sz w:val="20"/>
                <w:szCs w:val="20"/>
                <w:color w:val="auto"/>
              </w:rPr>
            </w:pPr>
            <w:r>
              <w:rPr>
                <w:rFonts w:ascii="Arial" w:cs="Arial" w:eastAsia="Arial" w:hAnsi="Arial"/>
                <w:sz w:val="20"/>
                <w:szCs w:val="20"/>
                <w:color w:val="auto"/>
              </w:rPr>
              <w:t>4.9%</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 currency % change is considered a non-GAAP metric.</w:t>
      </w:r>
    </w:p>
    <w:p>
      <w:pPr>
        <w:spacing w:after="0" w:line="256"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145"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Cardiac Surgery sales, which include cardiopulmonary products and heart valves, were $160 million, representing a 5.5 percent increase versus the comparable period in 2016.</w:t>
      </w:r>
    </w:p>
    <w:p>
      <w:pPr>
        <w:spacing w:after="0" w:line="339"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Sales in cardiopulmonary products were $124 million, representing a 5.6 percent increase versus the third quarter of 2016. This was due to strength in our heart-lung machines as a result of geographic expansion and continued progress in upgrading customers from older S3 machines to our current S5 machines.</w:t>
      </w:r>
    </w:p>
    <w:p>
      <w:pPr>
        <w:spacing w:after="0" w:line="341" w:lineRule="exact"/>
        <w:rPr>
          <w:sz w:val="20"/>
          <w:szCs w:val="20"/>
          <w:color w:val="auto"/>
        </w:rPr>
      </w:pPr>
    </w:p>
    <w:p>
      <w:pPr>
        <w:jc w:val="both"/>
        <w:ind w:right="20"/>
        <w:spacing w:after="0" w:line="340" w:lineRule="auto"/>
        <w:rPr>
          <w:sz w:val="20"/>
          <w:szCs w:val="20"/>
          <w:color w:val="auto"/>
        </w:rPr>
      </w:pPr>
      <w:r>
        <w:rPr>
          <w:rFonts w:ascii="Arial" w:cs="Arial" w:eastAsia="Arial" w:hAnsi="Arial"/>
          <w:sz w:val="20"/>
          <w:szCs w:val="20"/>
          <w:color w:val="auto"/>
        </w:rPr>
        <w:t>Heart valve sales, including tissue and mechanical heart valves, were $36 million, an increase of 5.1 percent compared to the same period the previous year. Growth in tissue valves, driven by demand for the Perceval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sutureless aortic heart valve in the U.S. and improvement in Europe more than offset declines in mechanical heart valves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612" w:right="2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Cardiac Rhythm Management (CRM)</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CRM sales for the period totaled $58 million, an increase of 0.1 percent as compared to the third quarter of 2016. The increase is primarily due to continued strong demand for KORA250 pacemakers in Japan. This was offset by declines in defibrillators due to lack of MRI compatibility.</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Neuromodulation sales were $91 million in the third quarter, representing an 1.3 percent increase versus the third quarter of 2016. Demand for the AspireSR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generator continued to be strong, but sales were impacted by lower procedural volumes primarily due to hurricane-related impacts, and also patient deferrals in anticipation of the launch of SenTiva.</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third quarter 2017 income from operations was $32 million. Adjusted income from operations for the third quarter of 2017 was $60 million, an increase of 9.2 percent as compared to the third quarter of 2016, primarily driven by favorable product mix and lower operating expenses.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2017 Guidance</w:t>
      </w:r>
    </w:p>
    <w:p>
      <w:pPr>
        <w:spacing w:after="0" w:line="145" w:lineRule="exact"/>
        <w:rPr>
          <w:sz w:val="20"/>
          <w:szCs w:val="20"/>
          <w:color w:val="auto"/>
        </w:rPr>
      </w:pPr>
    </w:p>
    <w:p>
      <w:pPr>
        <w:jc w:val="both"/>
        <w:spacing w:after="0" w:line="392" w:lineRule="auto"/>
        <w:rPr>
          <w:sz w:val="20"/>
          <w:szCs w:val="20"/>
          <w:color w:val="auto"/>
        </w:rPr>
      </w:pPr>
      <w:r>
        <w:rPr>
          <w:rFonts w:ascii="Arial" w:cs="Arial" w:eastAsia="Arial" w:hAnsi="Arial"/>
          <w:sz w:val="19"/>
          <w:szCs w:val="19"/>
          <w:color w:val="auto"/>
        </w:rPr>
        <w:t>LivaNova reiterates that worldwide net sales for full-year 2017 will remain between 1 and 3 percent growth on a constant currency basis. Due to strong year-to-date results and momentum across the business, adjusted diluted earnings per share projections for full-year 2017 are now expected to be in the range of $3.30 to $3.45. The Company continues to expect adjusted cash flow from operations, excluding integration, restructuring and 3T remediation payments, to be in the range of $170 to $190 million.</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 xml:space="preserve">The Company will host a live audio webcast for interested parties commencing at 8 a.m. Central time (9 a.m. Eastern time, 1 p.m. UK time) on Thursday, November 2 that will be accessible through the Investor Relations section of the LivaNova corporate website at </w:t>
      </w:r>
      <w:r>
        <w:rPr>
          <w:rFonts w:ascii="Arial" w:cs="Arial" w:eastAsia="Arial" w:hAnsi="Arial"/>
          <w:sz w:val="20"/>
          <w:szCs w:val="20"/>
          <w:u w:val="single" w:color="auto"/>
          <w:color w:val="1443BF"/>
        </w:rPr>
        <w:t>www.livanova.com</w:t>
      </w:r>
      <w:r>
        <w:rPr>
          <w:rFonts w:ascii="Arial" w:cs="Arial" w:eastAsia="Arial" w:hAnsi="Arial"/>
          <w:sz w:val="20"/>
          <w:szCs w:val="20"/>
          <w:b w:val="1"/>
          <w:bCs w:val="1"/>
          <w:color w:val="006EBF"/>
        </w:rPr>
        <w:t>.</w:t>
      </w:r>
      <w:r>
        <w:rPr>
          <w:rFonts w:ascii="Arial" w:cs="Arial" w:eastAsia="Arial" w:hAnsi="Arial"/>
          <w:sz w:val="20"/>
          <w:szCs w:val="20"/>
          <w:color w:val="auto"/>
        </w:rPr>
        <w:t xml:space="preserve"> To listen to the conference call live by telephone, dial (866) 393-4306 (if dialing from within the U.S.) or (734) 385-2616 (if dialing from outside the U.S.). The conference ID is 91786987.</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7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FF5C39"/>
        </w:rPr>
        <w:t>About LivaNova</w:t>
      </w:r>
    </w:p>
    <w:p>
      <w:pPr>
        <w:spacing w:after="0" w:line="121"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703" w:right="239" w:bottom="1440" w:gutter="0" w:footer="0" w:header="0"/>
        </w:sectPr>
      </w:pPr>
    </w:p>
    <w:bookmarkStart w:id="8" w:name="page9"/>
    <w:bookmarkEnd w:id="8"/>
    <w:p>
      <w:pPr>
        <w:jc w:val="both"/>
        <w:spacing w:after="0" w:line="353" w:lineRule="auto"/>
        <w:rPr>
          <w:sz w:val="20"/>
          <w:szCs w:val="20"/>
          <w:color w:val="auto"/>
        </w:rPr>
      </w:pPr>
      <w:r>
        <w:rPr>
          <w:rFonts w:ascii="Arial" w:cs="Arial" w:eastAsia="Arial" w:hAnsi="Arial"/>
          <w:sz w:val="20"/>
          <w:szCs w:val="20"/>
          <w:color w:val="auto"/>
        </w:rPr>
        <w:t>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press release,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w:t>
      </w:r>
    </w:p>
    <w:p>
      <w:pPr>
        <w:spacing w:after="0" w:line="210"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color w:val="auto"/>
        </w:rPr>
        <w:t>,</w:t>
      </w:r>
      <w:r>
        <w:rPr>
          <w:rFonts w:ascii="Arial" w:cs="Arial" w:eastAsia="Arial" w:hAnsi="Arial"/>
          <w:sz w:val="20"/>
          <w:szCs w:val="20"/>
          <w:b w:val="1"/>
          <w:bCs w:val="1"/>
          <w:color w:val="auto"/>
        </w:rPr>
        <w:t xml:space="preserve"> or contact: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Investor Relations and Media</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Karen King</w:t>
      </w:r>
    </w:p>
    <w:p>
      <w:pPr>
        <w:ind w:left="180"/>
        <w:spacing w:after="0" w:line="236" w:lineRule="auto"/>
        <w:rPr>
          <w:sz w:val="20"/>
          <w:szCs w:val="20"/>
          <w:color w:val="auto"/>
        </w:rPr>
      </w:pPr>
      <w:r>
        <w:rPr>
          <w:rFonts w:ascii="Arial" w:cs="Arial" w:eastAsia="Arial" w:hAnsi="Arial"/>
          <w:sz w:val="20"/>
          <w:szCs w:val="20"/>
          <w:color w:val="auto"/>
        </w:rPr>
        <w:t>Vice President, Investor Relations &amp; Corporate Communications</w:t>
      </w:r>
    </w:p>
    <w:p>
      <w:pPr>
        <w:ind w:left="180"/>
        <w:spacing w:after="0" w:line="225" w:lineRule="auto"/>
        <w:rPr>
          <w:sz w:val="20"/>
          <w:szCs w:val="20"/>
          <w:color w:val="auto"/>
        </w:rPr>
      </w:pPr>
      <w:r>
        <w:rPr>
          <w:rFonts w:ascii="Arial" w:cs="Arial" w:eastAsia="Arial" w:hAnsi="Arial"/>
          <w:sz w:val="20"/>
          <w:szCs w:val="20"/>
          <w:color w:val="auto"/>
        </w:rPr>
        <w:t>Phone: +1 (281) 228-7262</w:t>
      </w:r>
    </w:p>
    <w:p>
      <w:pPr>
        <w:ind w:left="180"/>
        <w:spacing w:after="0" w:line="226" w:lineRule="auto"/>
        <w:rPr>
          <w:sz w:val="20"/>
          <w:szCs w:val="20"/>
          <w:color w:val="auto"/>
        </w:rPr>
      </w:pPr>
      <w:r>
        <w:rPr>
          <w:rFonts w:ascii="Arial" w:cs="Arial" w:eastAsia="Arial" w:hAnsi="Arial"/>
          <w:sz w:val="20"/>
          <w:szCs w:val="20"/>
          <w:color w:val="auto"/>
        </w:rPr>
        <w:t>Fax: +1 (281) 218-9332</w:t>
      </w:r>
    </w:p>
    <w:p>
      <w:pPr>
        <w:ind w:left="18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LIVANOVA PLC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SALES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6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Three Months Ended September 30,</w:t>
            </w:r>
          </w:p>
        </w:tc>
        <w:tc>
          <w:tcPr>
            <w:tcW w:w="2000" w:type="dxa"/>
            <w:vAlign w:val="bottom"/>
            <w:tcBorders>
              <w:bottom w:val="single" w:sz="8" w:color="auto"/>
            </w:tcBorders>
          </w:tcPr>
          <w:p>
            <w:pPr>
              <w:spacing w:after="0"/>
              <w:rPr>
                <w:sz w:val="22"/>
                <w:szCs w:val="22"/>
                <w:color w:val="auto"/>
              </w:rPr>
            </w:pPr>
          </w:p>
        </w:tc>
      </w:tr>
      <w:tr>
        <w:trPr>
          <w:trHeight w:val="328"/>
        </w:trPr>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Change at Actual</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59"/>
        </w:trPr>
        <w:tc>
          <w:tcPr>
            <w:tcW w:w="3360" w:type="dxa"/>
            <w:vAlign w:val="bottom"/>
          </w:tcPr>
          <w:p>
            <w:pPr>
              <w:spacing w:after="0"/>
              <w:rPr>
                <w:sz w:val="22"/>
                <w:szCs w:val="22"/>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Currency Rates</w:t>
            </w:r>
          </w:p>
        </w:tc>
        <w:tc>
          <w:tcPr>
            <w:tcW w:w="2000" w:type="dxa"/>
            <w:vAlign w:val="bottom"/>
          </w:tcPr>
          <w:p>
            <w:pPr>
              <w:jc w:val="right"/>
              <w:ind w:right="250"/>
              <w:spacing w:after="0"/>
              <w:rPr>
                <w:sz w:val="20"/>
                <w:szCs w:val="20"/>
                <w:color w:val="auto"/>
              </w:rPr>
            </w:pPr>
            <w:r>
              <w:rPr>
                <w:rFonts w:ascii="Arial" w:cs="Arial" w:eastAsia="Arial" w:hAnsi="Arial"/>
                <w:sz w:val="18"/>
                <w:szCs w:val="18"/>
                <w:b w:val="1"/>
                <w:bCs w:val="1"/>
                <w:color w:val="auto"/>
              </w:rPr>
              <w:t>Currency Rates</w:t>
            </w:r>
          </w:p>
        </w:tc>
      </w:tr>
      <w:tr>
        <w:trPr>
          <w:trHeight w:val="257"/>
        </w:trPr>
        <w:tc>
          <w:tcPr>
            <w:tcW w:w="3360" w:type="dxa"/>
            <w:vAlign w:val="bottom"/>
          </w:tcPr>
          <w:p>
            <w:pPr>
              <w:spacing w:after="0"/>
              <w:rPr>
                <w:sz w:val="20"/>
                <w:szCs w:val="20"/>
                <w:color w:val="auto"/>
              </w:rPr>
            </w:pPr>
            <w:r>
              <w:rPr>
                <w:rFonts w:ascii="Arial" w:cs="Arial" w:eastAsia="Arial" w:hAnsi="Arial"/>
                <w:sz w:val="18"/>
                <w:szCs w:val="18"/>
                <w:b w:val="1"/>
                <w:bCs w:val="1"/>
                <w:color w:val="auto"/>
              </w:rPr>
              <w:t>Cardiopulmonary</w:t>
            </w: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114.8</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5.6%</w:t>
            </w:r>
          </w:p>
        </w:tc>
      </w:tr>
      <w:tr>
        <w:trPr>
          <w:trHeight w:val="446"/>
        </w:trPr>
        <w:tc>
          <w:tcPr>
            <w:tcW w:w="3360" w:type="dxa"/>
            <w:vAlign w:val="bottom"/>
          </w:tcPr>
          <w:p>
            <w:pPr>
              <w:spacing w:after="0"/>
              <w:rPr>
                <w:sz w:val="20"/>
                <w:szCs w:val="20"/>
                <w:color w:val="auto"/>
              </w:rPr>
            </w:pPr>
            <w:r>
              <w:rPr>
                <w:rFonts w:ascii="Arial" w:cs="Arial" w:eastAsia="Arial" w:hAnsi="Arial"/>
                <w:sz w:val="18"/>
                <w:szCs w:val="18"/>
                <w:b w:val="1"/>
                <w:bCs w:val="1"/>
                <w:color w:val="auto"/>
              </w:rPr>
              <w:t>Heart Valves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r>
      <w:tr>
        <w:trPr>
          <w:trHeight w:val="446"/>
        </w:trPr>
        <w:tc>
          <w:tcPr>
            <w:tcW w:w="336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148.5</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CRM</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r>
      <w:tr>
        <w:trPr>
          <w:trHeight w:val="446"/>
        </w:trPr>
        <w:tc>
          <w:tcPr>
            <w:tcW w:w="336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446"/>
        </w:trPr>
        <w:tc>
          <w:tcPr>
            <w:tcW w:w="33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N/A</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N/A</w:t>
            </w:r>
          </w:p>
        </w:tc>
      </w:tr>
      <w:tr>
        <w:trPr>
          <w:trHeight w:val="446"/>
        </w:trPr>
        <w:tc>
          <w:tcPr>
            <w:tcW w:w="3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309.7</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295.3</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2"/>
                <w:szCs w:val="22"/>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0"/>
        </w:trPr>
        <w:tc>
          <w:tcPr>
            <w:tcW w:w="3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ectPr>
          <w:pgSz w:w="11900" w:h="16838" w:orient="portrait"/>
          <w:cols w:equalWidth="0" w:num="1">
            <w:col w:w="10500"/>
          </w:cols>
          <w:pgMar w:left="720" w:top="778" w:right="679" w:bottom="1440" w:gutter="0" w:footer="0" w:header="0"/>
        </w:sect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00"/>
          </w:cols>
          <w:pgMar w:left="720" w:top="778" w:right="6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LIVANOVA PLC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NINE MONTH SALES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20" w:type="dxa"/>
            <w:vAlign w:val="bottom"/>
            <w:tcBorders>
              <w:bottom w:val="single" w:sz="8" w:color="auto"/>
            </w:tcBorders>
            <w:gridSpan w:val="6"/>
          </w:tcPr>
          <w:p>
            <w:pPr>
              <w:ind w:left="1060"/>
              <w:spacing w:after="0"/>
              <w:rPr>
                <w:sz w:val="20"/>
                <w:szCs w:val="20"/>
                <w:color w:val="auto"/>
              </w:rPr>
            </w:pPr>
            <w:r>
              <w:rPr>
                <w:rFonts w:ascii="Arial" w:cs="Arial" w:eastAsia="Arial" w:hAnsi="Arial"/>
                <w:sz w:val="18"/>
                <w:szCs w:val="18"/>
                <w:b w:val="1"/>
                <w:bCs w:val="1"/>
                <w:color w:val="auto"/>
              </w:rPr>
              <w:t>Nine Months Ended September 30,</w:t>
            </w:r>
          </w:p>
        </w:tc>
        <w:tc>
          <w:tcPr>
            <w:tcW w:w="2020" w:type="dxa"/>
            <w:vAlign w:val="bottom"/>
            <w:tcBorders>
              <w:bottom w:val="single" w:sz="8" w:color="auto"/>
            </w:tcBorders>
          </w:tcPr>
          <w:p>
            <w:pPr>
              <w:spacing w:after="0"/>
              <w:rPr>
                <w:sz w:val="21"/>
                <w:szCs w:val="21"/>
                <w:color w:val="auto"/>
              </w:rPr>
            </w:pPr>
          </w:p>
        </w:tc>
      </w:tr>
      <w:tr>
        <w:trPr>
          <w:trHeight w:val="328"/>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Change at Actual</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46"/>
        </w:trPr>
        <w:tc>
          <w:tcPr>
            <w:tcW w:w="3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Currency Rates</w:t>
            </w: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rPr>
              <w:t>Currency Rates</w:t>
            </w:r>
          </w:p>
        </w:tc>
      </w:tr>
      <w:tr>
        <w:trPr>
          <w:trHeight w:val="257"/>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Cardiopulmonary</w:t>
            </w: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94.7</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142.0</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349.7</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r>
      <w:tr>
        <w:trPr>
          <w:trHeight w:val="419"/>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Heart Valves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103.3</w:t>
            </w: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(0.6%)</w:t>
            </w:r>
          </w:p>
        </w:tc>
      </w:tr>
      <w:tr>
        <w:trPr>
          <w:trHeight w:val="39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Cardiac Surgery</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134.0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128.2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190.8</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453.0</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39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CRM</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188.1</w:t>
            </w: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9"/>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Neuromodulation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220.9</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260.9</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r>
      <w:tr>
        <w:trPr>
          <w:trHeight w:val="44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1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1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N/A</w:t>
            </w:r>
          </w:p>
        </w:tc>
        <w:tc>
          <w:tcPr>
            <w:tcW w:w="2020" w:type="dxa"/>
            <w:vAlign w:val="bottom"/>
          </w:tcPr>
          <w:p>
            <w:pPr>
              <w:jc w:val="right"/>
              <w:ind w:right="170"/>
              <w:spacing w:after="0"/>
              <w:rPr>
                <w:sz w:val="20"/>
                <w:szCs w:val="20"/>
                <w:color w:val="auto"/>
              </w:rPr>
            </w:pPr>
            <w:r>
              <w:rPr>
                <w:rFonts w:ascii="Arial" w:cs="Arial" w:eastAsia="Arial" w:hAnsi="Arial"/>
                <w:sz w:val="18"/>
                <w:szCs w:val="18"/>
                <w:b w:val="1"/>
                <w:bCs w:val="1"/>
                <w:color w:val="auto"/>
              </w:rPr>
              <w:t>N/A</w:t>
            </w:r>
          </w:p>
        </w:tc>
      </w:tr>
      <w:tr>
        <w:trPr>
          <w:trHeight w:val="44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362.4</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301.7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239.2</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5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916.2</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903.3</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ectPr>
          <w:pgSz w:w="11900" w:h="16838" w:orient="portrait"/>
          <w:cols w:equalWidth="0" w:num="1">
            <w:col w:w="11300"/>
          </w:cols>
          <w:pgMar w:left="320" w:top="774" w:right="279" w:bottom="1440" w:gutter="0" w:footer="0" w:header="0"/>
        </w:sect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00"/>
          </w:cols>
          <w:pgMar w:left="320" w:top="774" w:right="279" w:bottom="1440" w:gutter="0" w:footer="0" w:header="0"/>
          <w:type w:val="continuous"/>
        </w:sectPr>
      </w:pPr>
    </w:p>
    <w:bookmarkStart w:id="11" w:name="page12"/>
    <w:bookmarkEnd w:id="11"/>
    <w:p>
      <w:pPr>
        <w:ind w:left="360"/>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left="360" w:right="4880"/>
        <w:spacing w:after="0" w:line="34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4900" w:type="dxa"/>
            <w:vAlign w:val="bottom"/>
          </w:tcPr>
          <w:p>
            <w:pPr>
              <w:spacing w:after="0"/>
              <w:rPr>
                <w:sz w:val="19"/>
                <w:szCs w:val="19"/>
                <w:color w:val="auto"/>
              </w:rPr>
            </w:pPr>
          </w:p>
        </w:tc>
        <w:tc>
          <w:tcPr>
            <w:tcW w:w="386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64"/>
        </w:trPr>
        <w:tc>
          <w:tcPr>
            <w:tcW w:w="490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440"/>
        </w:trPr>
        <w:tc>
          <w:tcPr>
            <w:tcW w:w="610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$295.3</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Cost of sales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106.5</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83"/>
        </w:trPr>
        <w:tc>
          <w:tcPr>
            <w:tcW w:w="4900" w:type="dxa"/>
            <w:vAlign w:val="bottom"/>
          </w:tcPr>
          <w:p>
            <w:pPr>
              <w:ind w:left="620"/>
              <w:spacing w:after="0"/>
              <w:rPr>
                <w:sz w:val="20"/>
                <w:szCs w:val="20"/>
                <w:color w:val="auto"/>
              </w:rPr>
            </w:pPr>
            <w:r>
              <w:rPr>
                <w:rFonts w:ascii="Arial" w:cs="Arial" w:eastAsia="Arial" w:hAnsi="Arial"/>
                <w:sz w:val="16"/>
                <w:szCs w:val="16"/>
                <w:color w:val="auto"/>
              </w:rPr>
              <w:t>Product remediation</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6"/>
                <w:szCs w:val="16"/>
                <w:color w:val="auto"/>
              </w:rPr>
              <w:t>Gross Profit</w:t>
            </w: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r>
      <w:tr>
        <w:trPr>
          <w:trHeight w:val="413"/>
        </w:trPr>
        <w:tc>
          <w:tcPr>
            <w:tcW w:w="61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109.2</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Research and development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Merger and integration expense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Restructuring expense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83"/>
        </w:trPr>
        <w:tc>
          <w:tcPr>
            <w:tcW w:w="4900" w:type="dxa"/>
            <w:vAlign w:val="bottom"/>
          </w:tcPr>
          <w:p>
            <w:pPr>
              <w:ind w:left="620"/>
              <w:spacing w:after="0"/>
              <w:rPr>
                <w:sz w:val="20"/>
                <w:szCs w:val="20"/>
                <w:color w:val="auto"/>
              </w:rPr>
            </w:pPr>
            <w:r>
              <w:rPr>
                <w:rFonts w:ascii="Arial" w:cs="Arial" w:eastAsia="Arial" w:hAnsi="Arial"/>
                <w:sz w:val="16"/>
                <w:szCs w:val="16"/>
                <w:color w:val="auto"/>
              </w:rPr>
              <w:t>Amortization of intangibles</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0"/>
        </w:trPr>
        <w:tc>
          <w:tcPr>
            <w:tcW w:w="610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165.1</w:t>
            </w:r>
          </w:p>
        </w:tc>
        <w:tc>
          <w:tcPr>
            <w:tcW w:w="20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189"/>
        </w:trPr>
        <w:tc>
          <w:tcPr>
            <w:tcW w:w="4900" w:type="dxa"/>
            <w:vAlign w:val="bottom"/>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top w:val="single" w:sz="8" w:color="auto"/>
              <w:bottom w:val="single" w:sz="8" w:color="auto"/>
            </w:tcBorders>
          </w:tcPr>
          <w:p>
            <w:pPr>
              <w:spacing w:after="0"/>
              <w:rPr>
                <w:sz w:val="16"/>
                <w:szCs w:val="16"/>
                <w:color w:val="auto"/>
              </w:rPr>
            </w:pPr>
          </w:p>
        </w:tc>
      </w:tr>
      <w:tr>
        <w:trPr>
          <w:trHeight w:val="244"/>
        </w:trPr>
        <w:tc>
          <w:tcPr>
            <w:tcW w:w="49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r>
      <w:tr>
        <w:trPr>
          <w:trHeight w:val="386"/>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Interest expense, net</w:t>
            </w: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3"/>
        </w:trPr>
        <w:tc>
          <w:tcPr>
            <w:tcW w:w="4900" w:type="dxa"/>
            <w:vAlign w:val="bottom"/>
          </w:tcPr>
          <w:p>
            <w:pPr>
              <w:ind w:left="620"/>
              <w:spacing w:after="0"/>
              <w:rPr>
                <w:sz w:val="20"/>
                <w:szCs w:val="20"/>
                <w:color w:val="auto"/>
              </w:rPr>
            </w:pPr>
            <w:r>
              <w:rPr>
                <w:rFonts w:ascii="Arial" w:cs="Arial" w:eastAsia="Arial" w:hAnsi="Arial"/>
                <w:sz w:val="16"/>
                <w:szCs w:val="16"/>
                <w:color w:val="auto"/>
              </w:rPr>
              <w:t>Foreign exchange and other gains</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w:t>
            </w:r>
          </w:p>
        </w:tc>
      </w:tr>
      <w:tr>
        <w:trPr>
          <w:trHeight w:val="413"/>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Losses from equity method investments</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3"/>
        </w:trPr>
        <w:tc>
          <w:tcPr>
            <w:tcW w:w="4900" w:type="dxa"/>
            <w:vAlign w:val="bottom"/>
          </w:tcPr>
          <w:p>
            <w:pPr>
              <w:ind w:left="620"/>
              <w:spacing w:after="0"/>
              <w:rPr>
                <w:sz w:val="20"/>
                <w:szCs w:val="20"/>
                <w:color w:val="auto"/>
              </w:rPr>
            </w:pPr>
            <w:r>
              <w:rPr>
                <w:rFonts w:ascii="Arial" w:cs="Arial" w:eastAsia="Arial" w:hAnsi="Arial"/>
                <w:sz w:val="16"/>
                <w:szCs w:val="16"/>
                <w:color w:val="auto"/>
              </w:rPr>
              <w:t>Income tax expense</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7"/>
        </w:trPr>
        <w:tc>
          <w:tcPr>
            <w:tcW w:w="61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1,837.5%</w:t>
            </w:r>
          </w:p>
        </w:tc>
      </w:tr>
      <w:tr>
        <w:trPr>
          <w:trHeight w:val="20"/>
        </w:trPr>
        <w:tc>
          <w:tcPr>
            <w:tcW w:w="4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6100" w:type="dxa"/>
            <w:vAlign w:val="bottom"/>
            <w:gridSpan w:val="2"/>
          </w:tcPr>
          <w:p>
            <w:pPr>
              <w:spacing w:after="0"/>
              <w:rPr>
                <w:sz w:val="20"/>
                <w:szCs w:val="20"/>
                <w:color w:val="auto"/>
              </w:rPr>
            </w:pPr>
            <w:r>
              <w:rPr>
                <w:rFonts w:ascii="Arial" w:cs="Arial" w:eastAsia="Arial" w:hAnsi="Arial"/>
                <w:sz w:val="16"/>
                <w:szCs w:val="16"/>
                <w:color w:val="auto"/>
              </w:rPr>
              <w:t>Earnings Per Common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Basic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Diluted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Basic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49.1</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Diluted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49.1</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75"/>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$190.4</w:t>
            </w: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104.0</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Operations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55.2</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276"/>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$0.78</w:t>
            </w: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19.2%</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40" w:type="dxa"/>
            <w:vAlign w:val="bottom"/>
          </w:tcPr>
          <w:p>
            <w:pPr>
              <w:spacing w:after="0"/>
              <w:rPr>
                <w:sz w:val="23"/>
                <w:szCs w:val="23"/>
                <w:color w:val="auto"/>
              </w:rPr>
            </w:pPr>
          </w:p>
        </w:tc>
        <w:tc>
          <w:tcPr>
            <w:tcW w:w="3460" w:type="dxa"/>
            <w:vAlign w:val="bottom"/>
            <w:gridSpan w:val="4"/>
          </w:tcPr>
          <w:p>
            <w:pPr>
              <w:jc w:val="right"/>
              <w:spacing w:after="0"/>
              <w:rPr>
                <w:sz w:val="20"/>
                <w:szCs w:val="20"/>
                <w:color w:val="auto"/>
              </w:rPr>
            </w:pPr>
            <w:r>
              <w:rPr>
                <w:rFonts w:ascii="Arial" w:cs="Arial" w:eastAsia="Arial" w:hAnsi="Arial"/>
                <w:sz w:val="16"/>
                <w:szCs w:val="16"/>
                <w:color w:val="auto"/>
              </w:rPr>
              <w:t>GAAP Three Months Ended September 30,</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3"/>
          </w:tcPr>
          <w:p>
            <w:pPr>
              <w:jc w:val="right"/>
              <w:ind w:right="27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Three Months Ended September 30,</w:t>
            </w:r>
          </w:p>
        </w:tc>
      </w:tr>
      <w:tr>
        <w:trPr>
          <w:trHeight w:val="208"/>
        </w:trPr>
        <w:tc>
          <w:tcPr>
            <w:tcW w:w="2840" w:type="dxa"/>
            <w:vAlign w:val="bottom"/>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2017</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2016</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2016</w:t>
            </w:r>
          </w:p>
        </w:tc>
      </w:tr>
      <w:tr>
        <w:trPr>
          <w:trHeight w:val="237"/>
        </w:trPr>
        <w:tc>
          <w:tcPr>
            <w:tcW w:w="41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4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4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R&amp;D</w:t>
            </w:r>
          </w:p>
        </w:tc>
        <w:tc>
          <w:tcPr>
            <w:tcW w:w="6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25.5%</w:t>
            </w:r>
          </w:p>
        </w:tc>
      </w:tr>
    </w:tbl>
    <w:p>
      <w:pPr>
        <w:spacing w:after="0" w:line="240" w:lineRule="exact"/>
        <w:rPr>
          <w:sz w:val="20"/>
          <w:szCs w:val="20"/>
          <w:color w:val="auto"/>
        </w:rPr>
      </w:pPr>
    </w:p>
    <w:p>
      <w:pPr>
        <w:ind w:left="440" w:right="240" w:hanging="330"/>
        <w:spacing w:after="0" w:line="258" w:lineRule="auto"/>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40" w:hanging="270"/>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ectPr>
          <w:pgSz w:w="11900" w:h="16838" w:orient="portrait"/>
          <w:cols w:equalWidth="0" w:num="1">
            <w:col w:w="11280"/>
          </w:cols>
          <w:pgMar w:left="320" w:top="774" w:right="299" w:bottom="172"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20" w:top="774" w:right="299" w:bottom="172" w:gutter="0" w:footer="0" w:header="0"/>
          <w:type w:val="continuous"/>
        </w:sectPr>
      </w:pPr>
    </w:p>
    <w:bookmarkStart w:id="12" w:name="page13"/>
    <w:bookmarkEnd w:id="12"/>
    <w:p>
      <w:pPr>
        <w:ind w:left="142"/>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left="142" w:right="4760"/>
        <w:spacing w:after="0" w:line="34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36" w:lineRule="exact"/>
        <w:rPr>
          <w:sz w:val="20"/>
          <w:szCs w:val="20"/>
          <w:color w:val="auto"/>
        </w:rPr>
      </w:pPr>
    </w:p>
    <w:tbl>
      <w:tblPr>
        <w:tblLayout w:type="fixed"/>
        <w:tblInd w:w="142"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4"/>
        </w:trPr>
        <w:tc>
          <w:tcPr>
            <w:tcW w:w="5060" w:type="dxa"/>
            <w:vAlign w:val="bottom"/>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440"/>
        </w:trPr>
        <w:tc>
          <w:tcPr>
            <w:tcW w:w="628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$916.2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$903.3</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Cost of sales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318.6</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360.7</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83"/>
        </w:trPr>
        <w:tc>
          <w:tcPr>
            <w:tcW w:w="5060" w:type="dxa"/>
            <w:vAlign w:val="bottom"/>
          </w:tcPr>
          <w:p>
            <w:pPr>
              <w:ind w:left="520"/>
              <w:spacing w:after="0"/>
              <w:rPr>
                <w:sz w:val="20"/>
                <w:szCs w:val="20"/>
                <w:color w:val="auto"/>
              </w:rPr>
            </w:pPr>
            <w:r>
              <w:rPr>
                <w:rFonts w:ascii="Arial" w:cs="Arial" w:eastAsia="Arial" w:hAnsi="Arial"/>
                <w:sz w:val="16"/>
                <w:szCs w:val="16"/>
                <w:color w:val="auto"/>
              </w:rPr>
              <w:t>Product remediation</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6"/>
                <w:szCs w:val="16"/>
                <w:color w:val="auto"/>
              </w:rPr>
              <w:t>Gross Profit</w:t>
            </w:r>
          </w:p>
        </w:tc>
        <w:tc>
          <w:tcPr>
            <w:tcW w:w="1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595.0</w:t>
            </w: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540.4</w:t>
            </w:r>
          </w:p>
        </w:tc>
        <w:tc>
          <w:tcPr>
            <w:tcW w:w="200" w:type="dxa"/>
            <w:vAlign w:val="bottom"/>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r>
      <w:tr>
        <w:trPr>
          <w:trHeight w:val="413"/>
        </w:trPr>
        <w:tc>
          <w:tcPr>
            <w:tcW w:w="6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345.7</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Research and development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94.1</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Merger and integration expense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Restructuring expense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83"/>
        </w:trPr>
        <w:tc>
          <w:tcPr>
            <w:tcW w:w="5060" w:type="dxa"/>
            <w:vAlign w:val="bottom"/>
          </w:tcPr>
          <w:p>
            <w:pPr>
              <w:ind w:left="520"/>
              <w:spacing w:after="0"/>
              <w:rPr>
                <w:sz w:val="20"/>
                <w:szCs w:val="20"/>
                <w:color w:val="auto"/>
              </w:rPr>
            </w:pPr>
            <w:r>
              <w:rPr>
                <w:rFonts w:ascii="Arial" w:cs="Arial" w:eastAsia="Arial" w:hAnsi="Arial"/>
                <w:sz w:val="16"/>
                <w:szCs w:val="16"/>
                <w:color w:val="auto"/>
              </w:rPr>
              <w:t>Amortization of intangibles</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w:t>
            </w:r>
          </w:p>
        </w:tc>
        <w:tc>
          <w:tcPr>
            <w:tcW w:w="2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62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531.5</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5060" w:type="dxa"/>
            <w:vAlign w:val="bottom"/>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top w:val="single" w:sz="8" w:color="auto"/>
              <w:bottom w:val="single" w:sz="8" w:color="auto"/>
            </w:tcBorders>
          </w:tcPr>
          <w:p>
            <w:pPr>
              <w:spacing w:after="0"/>
              <w:rPr>
                <w:sz w:val="16"/>
                <w:szCs w:val="16"/>
                <w:color w:val="auto"/>
              </w:rPr>
            </w:pPr>
          </w:p>
        </w:tc>
      </w:tr>
      <w:tr>
        <w:trPr>
          <w:trHeight w:val="244"/>
        </w:trPr>
        <w:tc>
          <w:tcPr>
            <w:tcW w:w="506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829.5%</w:t>
            </w:r>
          </w:p>
        </w:tc>
      </w:tr>
      <w:tr>
        <w:trPr>
          <w:trHeight w:val="386"/>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Interest expense, net</w:t>
            </w: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Gain on acquisition of Caisson Interventional, LLC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23"/>
                <w:szCs w:val="23"/>
                <w:color w:val="auto"/>
              </w:rPr>
            </w:pPr>
          </w:p>
        </w:tc>
      </w:tr>
      <w:tr>
        <w:trPr>
          <w:trHeight w:val="283"/>
        </w:trPr>
        <w:tc>
          <w:tcPr>
            <w:tcW w:w="5060" w:type="dxa"/>
            <w:vAlign w:val="bottom"/>
          </w:tcPr>
          <w:p>
            <w:pPr>
              <w:ind w:left="520"/>
              <w:spacing w:after="0"/>
              <w:rPr>
                <w:sz w:val="20"/>
                <w:szCs w:val="20"/>
                <w:color w:val="auto"/>
              </w:rPr>
            </w:pPr>
            <w:r>
              <w:rPr>
                <w:rFonts w:ascii="Arial" w:cs="Arial" w:eastAsia="Arial" w:hAnsi="Arial"/>
                <w:sz w:val="16"/>
                <w:szCs w:val="16"/>
                <w:color w:val="auto"/>
              </w:rPr>
              <w:t>Foreign exchange and other gains</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3,463.6%</w:t>
            </w:r>
          </w:p>
        </w:tc>
      </w:tr>
      <w:tr>
        <w:trPr>
          <w:trHeight w:val="413"/>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Losses from equity method investments</w:t>
            </w:r>
          </w:p>
        </w:tc>
        <w:tc>
          <w:tcPr>
            <w:tcW w:w="68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3"/>
        </w:trPr>
        <w:tc>
          <w:tcPr>
            <w:tcW w:w="5060" w:type="dxa"/>
            <w:vAlign w:val="bottom"/>
          </w:tcPr>
          <w:p>
            <w:pPr>
              <w:ind w:left="520"/>
              <w:spacing w:after="0"/>
              <w:rPr>
                <w:sz w:val="20"/>
                <w:szCs w:val="20"/>
                <w:color w:val="auto"/>
              </w:rPr>
            </w:pPr>
            <w:r>
              <w:rPr>
                <w:rFonts w:ascii="Arial" w:cs="Arial" w:eastAsia="Arial" w:hAnsi="Arial"/>
                <w:sz w:val="16"/>
                <w:szCs w:val="16"/>
                <w:color w:val="auto"/>
              </w:rPr>
              <w:t>Income tax expense</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67"/>
        </w:trPr>
        <w:tc>
          <w:tcPr>
            <w:tcW w:w="62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362.4%</w:t>
            </w:r>
          </w:p>
        </w:tc>
      </w:tr>
      <w:tr>
        <w:trPr>
          <w:trHeight w:val="20"/>
        </w:trPr>
        <w:tc>
          <w:tcPr>
            <w:tcW w:w="50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396"/>
        </w:trPr>
        <w:tc>
          <w:tcPr>
            <w:tcW w:w="6280" w:type="dxa"/>
            <w:vAlign w:val="bottom"/>
            <w:gridSpan w:val="2"/>
          </w:tcPr>
          <w:p>
            <w:pPr>
              <w:spacing w:after="0"/>
              <w:rPr>
                <w:sz w:val="20"/>
                <w:szCs w:val="20"/>
                <w:color w:val="auto"/>
              </w:rPr>
            </w:pPr>
            <w:r>
              <w:rPr>
                <w:rFonts w:ascii="Arial" w:cs="Arial" w:eastAsia="Arial" w:hAnsi="Arial"/>
                <w:sz w:val="16"/>
                <w:szCs w:val="16"/>
                <w:color w:val="auto"/>
              </w:rPr>
              <w:t>Earnings (Loss) Per Common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Basic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($0.67)</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Diluted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($0.67)</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Basic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6280" w:type="dxa"/>
            <w:vAlign w:val="bottom"/>
            <w:gridSpan w:val="2"/>
          </w:tcPr>
          <w:p>
            <w:pPr>
              <w:ind w:left="520"/>
              <w:spacing w:after="0"/>
              <w:rPr>
                <w:sz w:val="20"/>
                <w:szCs w:val="20"/>
                <w:color w:val="auto"/>
              </w:rPr>
            </w:pPr>
            <w:r>
              <w:rPr>
                <w:rFonts w:ascii="Arial" w:cs="Arial" w:eastAsia="Arial" w:hAnsi="Arial"/>
                <w:sz w:val="16"/>
                <w:szCs w:val="16"/>
                <w:color w:val="auto"/>
              </w:rPr>
              <w:t>Diluted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75"/>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$584.5</w:t>
            </w: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0"/>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332.0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92.5</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Operations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161.5</w:t>
            </w: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270"/>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107.8</w:t>
            </w: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276"/>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20.5%</w:t>
            </w:r>
          </w:p>
        </w:tc>
      </w:tr>
    </w:tbl>
    <w:p>
      <w:pPr>
        <w:spacing w:after="0" w:line="3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96" w:lineRule="exact"/>
        <w:rPr>
          <w:sz w:val="20"/>
          <w:szCs w:val="20"/>
          <w:color w:val="auto"/>
        </w:rPr>
      </w:pPr>
    </w:p>
    <w:tbl>
      <w:tblPr>
        <w:tblLayout w:type="fixed"/>
        <w:tblInd w:w="2" w:type="dxa"/>
        <w:tblCellMar>
          <w:top w:w="0" w:type="dxa"/>
          <w:left w:w="0" w:type="dxa"/>
          <w:bottom w:w="0" w:type="dxa"/>
          <w:right w:w="0" w:type="dxa"/>
        </w:tblCellMar>
      </w:tblPr>
      <w:tr>
        <w:trPr>
          <w:trHeight w:val="275"/>
        </w:trPr>
        <w:tc>
          <w:tcPr>
            <w:tcW w:w="2940" w:type="dxa"/>
            <w:vAlign w:val="bottom"/>
          </w:tcPr>
          <w:p>
            <w:pPr>
              <w:spacing w:after="0"/>
              <w:rPr>
                <w:sz w:val="23"/>
                <w:szCs w:val="23"/>
                <w:color w:val="auto"/>
              </w:rPr>
            </w:pPr>
          </w:p>
        </w:tc>
        <w:tc>
          <w:tcPr>
            <w:tcW w:w="3820" w:type="dxa"/>
            <w:vAlign w:val="bottom"/>
            <w:gridSpan w:val="5"/>
          </w:tcPr>
          <w:p>
            <w:pPr>
              <w:ind w:left="280"/>
              <w:spacing w:after="0"/>
              <w:rPr>
                <w:sz w:val="20"/>
                <w:szCs w:val="20"/>
                <w:color w:val="auto"/>
              </w:rPr>
            </w:pPr>
            <w:r>
              <w:rPr>
                <w:rFonts w:ascii="Arial" w:cs="Arial" w:eastAsia="Arial" w:hAnsi="Arial"/>
                <w:sz w:val="16"/>
                <w:szCs w:val="16"/>
                <w:color w:val="auto"/>
              </w:rPr>
              <w:t>GAAP Nine Months Ended September 30,</w:t>
            </w:r>
          </w:p>
        </w:tc>
        <w:tc>
          <w:tcPr>
            <w:tcW w:w="4180" w:type="dxa"/>
            <w:vAlign w:val="bottom"/>
            <w:gridSpan w:val="3"/>
          </w:tcPr>
          <w:p>
            <w:pPr>
              <w:jc w:val="right"/>
              <w:ind w:right="27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Nine Months Ended September 30,</w:t>
            </w:r>
          </w:p>
        </w:tc>
      </w:tr>
      <w:tr>
        <w:trPr>
          <w:trHeight w:val="208"/>
        </w:trPr>
        <w:tc>
          <w:tcPr>
            <w:tcW w:w="2940" w:type="dxa"/>
            <w:vAlign w:val="bottom"/>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2017</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2016</w:t>
            </w:r>
          </w:p>
        </w:tc>
      </w:tr>
      <w:tr>
        <w:trPr>
          <w:trHeight w:val="237"/>
        </w:trPr>
        <w:tc>
          <w:tcPr>
            <w:tcW w:w="41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0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R&amp;D</w:t>
            </w: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70"/>
        </w:trPr>
        <w:tc>
          <w:tcPr>
            <w:tcW w:w="412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514.5%</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26.3%</w:t>
            </w:r>
          </w:p>
        </w:tc>
      </w:tr>
    </w:tbl>
    <w:p>
      <w:pPr>
        <w:spacing w:after="0" w:line="240" w:lineRule="exact"/>
        <w:rPr>
          <w:sz w:val="20"/>
          <w:szCs w:val="20"/>
          <w:color w:val="auto"/>
        </w:rPr>
      </w:pPr>
    </w:p>
    <w:p>
      <w:pPr>
        <w:ind w:left="622" w:right="340" w:hanging="622"/>
        <w:spacing w:after="0" w:line="258" w:lineRule="auto"/>
        <w:tabs>
          <w:tab w:leader="none" w:pos="622"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rFonts w:ascii="Arial" w:cs="Arial" w:eastAsia="Arial" w:hAnsi="Arial"/>
          <w:sz w:val="14"/>
          <w:szCs w:val="14"/>
          <w:color w:val="auto"/>
        </w:rPr>
      </w:pPr>
    </w:p>
    <w:p>
      <w:pPr>
        <w:ind w:left="502"/>
        <w:spacing w:after="0"/>
        <w:rPr>
          <w:rFonts w:ascii="Arial" w:cs="Arial" w:eastAsia="Arial" w:hAnsi="Arial"/>
          <w:sz w:val="14"/>
          <w:szCs w:val="14"/>
          <w:color w:val="auto"/>
        </w:rPr>
      </w:pPr>
      <w:r>
        <w:rPr>
          <w:rFonts w:ascii="Arial" w:cs="Arial" w:eastAsia="Arial" w:hAnsi="Arial"/>
          <w:sz w:val="14"/>
          <w:szCs w:val="14"/>
          <w:color w:val="auto"/>
        </w:rPr>
        <w:t>* Numbers may not add up precisely due to rounding.</w:t>
      </w:r>
    </w:p>
    <w:p>
      <w:pPr>
        <w:sectPr>
          <w:pgSz w:w="11900" w:h="16838" w:orient="portrait"/>
          <w:cols w:equalWidth="0" w:num="1">
            <w:col w:w="10942"/>
          </w:cols>
          <w:pgMar w:left="498" w:top="774" w:right="459"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42"/>
          </w:cols>
          <w:pgMar w:left="498" w:top="774" w:right="459" w:bottom="0" w:gutter="0" w:footer="0" w:header="0"/>
          <w:type w:val="continuous"/>
        </w:sectPr>
      </w:pPr>
    </w:p>
    <w:bookmarkStart w:id="13" w:name="page14"/>
    <w:bookmarkEnd w:id="13"/>
    <w:p>
      <w:pPr>
        <w:ind w:left="20" w:right="4880"/>
        <w:spacing w:after="0" w:line="392"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7134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Income from</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September 30, 2017</w:t>
            </w: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Sales</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Gross Profit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Operations</w:t>
            </w: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Net Income</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Diluted EPS</w:t>
            </w:r>
          </w:p>
        </w:tc>
      </w:tr>
      <w:tr>
        <w:trPr>
          <w:trHeight w:val="264"/>
        </w:trPr>
        <w:tc>
          <w:tcPr>
            <w:tcW w:w="5080" w:type="dxa"/>
            <w:vAlign w:val="bottom"/>
          </w:tcPr>
          <w:p>
            <w:pPr>
              <w:ind w:left="20"/>
              <w:spacing w:after="0"/>
              <w:rPr>
                <w:sz w:val="20"/>
                <w:szCs w:val="20"/>
                <w:color w:val="auto"/>
              </w:rPr>
            </w:pPr>
            <w:r>
              <w:rPr>
                <w:rFonts w:ascii="Arial" w:cs="Arial" w:eastAsia="Arial" w:hAnsi="Arial"/>
                <w:sz w:val="16"/>
                <w:szCs w:val="16"/>
                <w:color w:val="auto"/>
              </w:rPr>
              <w:t>GAAP Financial Measures</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r>
      <w:tr>
        <w:trPr>
          <w:trHeight w:val="251"/>
        </w:trPr>
        <w:tc>
          <w:tcPr>
            <w:tcW w:w="5080" w:type="dxa"/>
            <w:vAlign w:val="bottom"/>
          </w:tcPr>
          <w:p>
            <w:pPr>
              <w:ind w:left="20"/>
              <w:spacing w:after="0"/>
              <w:rPr>
                <w:sz w:val="20"/>
                <w:szCs w:val="20"/>
                <w:color w:val="auto"/>
              </w:rPr>
            </w:pPr>
            <w:r>
              <w:rPr>
                <w:rFonts w:ascii="Arial" w:cs="Arial" w:eastAsia="Arial" w:hAnsi="Arial"/>
                <w:sz w:val="16"/>
                <w:szCs w:val="16"/>
                <w:color w:val="auto"/>
              </w:rPr>
              <w:t>Specified Items</w:t>
            </w:r>
          </w:p>
        </w:tc>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Merger and integration expenses (A)</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0.04</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Restructuring expenses (B)</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0.8</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0.01</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Depreciation and amortization (C)</w:t>
            </w:r>
          </w:p>
        </w:tc>
        <w:tc>
          <w:tcPr>
            <w:tcW w:w="132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13.9</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11.0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0.23</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Product remediation (D)</w:t>
            </w:r>
          </w:p>
        </w:tc>
        <w:tc>
          <w:tcPr>
            <w:tcW w:w="132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0.02</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Caisson acquisition (E)</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0.02</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Other income / (expenses) &amp; litigations (F)</w:t>
            </w:r>
          </w:p>
        </w:tc>
        <w:tc>
          <w:tcPr>
            <w:tcW w:w="132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0.02</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Equity compensation (G)</w:t>
            </w:r>
          </w:p>
        </w:tc>
        <w:tc>
          <w:tcPr>
            <w:tcW w:w="132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0.07</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Certain interest adjustments (H)</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0.00</w:t>
            </w:r>
          </w:p>
        </w:tc>
      </w:tr>
      <w:tr>
        <w:trPr>
          <w:trHeight w:val="283"/>
        </w:trPr>
        <w:tc>
          <w:tcPr>
            <w:tcW w:w="5080" w:type="dxa"/>
            <w:vAlign w:val="bottom"/>
          </w:tcPr>
          <w:p>
            <w:pPr>
              <w:ind w:left="260"/>
              <w:spacing w:after="0"/>
              <w:rPr>
                <w:sz w:val="20"/>
                <w:szCs w:val="20"/>
                <w:color w:val="auto"/>
              </w:rPr>
            </w:pPr>
            <w:r>
              <w:rPr>
                <w:rFonts w:ascii="Arial" w:cs="Arial" w:eastAsia="Arial" w:hAnsi="Arial"/>
                <w:sz w:val="16"/>
                <w:szCs w:val="16"/>
                <w:color w:val="auto"/>
              </w:rPr>
              <w:t>Certain tax adjustments (I)</w:t>
            </w: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r>
      <w:tr>
        <w:trPr>
          <w:trHeight w:val="240"/>
        </w:trPr>
        <w:tc>
          <w:tcPr>
            <w:tcW w:w="5080" w:type="dxa"/>
            <w:vAlign w:val="bottom"/>
          </w:tcPr>
          <w:p>
            <w:pPr>
              <w:ind w:left="20"/>
              <w:spacing w:after="0"/>
              <w:rPr>
                <w:sz w:val="20"/>
                <w:szCs w:val="20"/>
                <w:color w:val="auto"/>
              </w:rPr>
            </w:pPr>
            <w:r>
              <w:rPr>
                <w:rFonts w:ascii="Arial" w:cs="Arial" w:eastAsia="Arial" w:hAnsi="Arial"/>
                <w:sz w:val="16"/>
                <w:szCs w:val="16"/>
                <w:color w:val="auto"/>
              </w:rPr>
              <w:t>Adjusted financial measures</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$60.3</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$0.93</w:t>
            </w:r>
          </w:p>
        </w:tc>
      </w:tr>
      <w:tr>
        <w:trPr>
          <w:trHeight w:val="20"/>
        </w:trPr>
        <w:tc>
          <w:tcPr>
            <w:tcW w:w="5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GAAP results for the three months ended September 30, 2017 include:</w:t>
      </w:r>
    </w:p>
    <w:p>
      <w:pPr>
        <w:spacing w:after="0" w:line="82" w:lineRule="exact"/>
        <w:rPr>
          <w:sz w:val="20"/>
          <w:szCs w:val="20"/>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Restructuring expenses related to recent organizational changes</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Impact of Caisson related acquisition costs</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$5.1m related to SG&amp;A, $0.5m related to R&amp;D and $0.1m related to COGS</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interest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7134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Income from</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Net Income</w:t>
            </w:r>
          </w:p>
        </w:tc>
        <w:tc>
          <w:tcPr>
            <w:tcW w:w="1180" w:type="dxa"/>
            <w:vAlign w:val="bottom"/>
          </w:tcPr>
          <w:p>
            <w:pPr>
              <w:spacing w:after="0"/>
              <w:rPr>
                <w:sz w:val="16"/>
                <w:szCs w:val="16"/>
                <w:color w:val="auto"/>
              </w:rPr>
            </w:pPr>
          </w:p>
        </w:tc>
      </w:tr>
      <w:tr>
        <w:trPr>
          <w:trHeight w:val="228"/>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September 30, 2016</w:t>
            </w: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Sales</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Gross Profit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(Loss)</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Diluted EPS</w:t>
            </w:r>
          </w:p>
        </w:tc>
      </w:tr>
      <w:tr>
        <w:trPr>
          <w:trHeight w:val="264"/>
        </w:trPr>
        <w:tc>
          <w:tcPr>
            <w:tcW w:w="5080" w:type="dxa"/>
            <w:vAlign w:val="bottom"/>
          </w:tcPr>
          <w:p>
            <w:pPr>
              <w:ind w:left="20"/>
              <w:spacing w:after="0"/>
              <w:rPr>
                <w:sz w:val="20"/>
                <w:szCs w:val="20"/>
                <w:color w:val="auto"/>
              </w:rPr>
            </w:pPr>
            <w:r>
              <w:rPr>
                <w:rFonts w:ascii="Arial" w:cs="Arial" w:eastAsia="Arial" w:hAnsi="Arial"/>
                <w:sz w:val="16"/>
                <w:szCs w:val="16"/>
                <w:color w:val="auto"/>
              </w:rPr>
              <w:t>GAAP Financial Measures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$295.3</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$188.1</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r>
      <w:tr>
        <w:trPr>
          <w:trHeight w:val="251"/>
        </w:trPr>
        <w:tc>
          <w:tcPr>
            <w:tcW w:w="5080" w:type="dxa"/>
            <w:vAlign w:val="bottom"/>
          </w:tcPr>
          <w:p>
            <w:pPr>
              <w:ind w:left="20"/>
              <w:spacing w:after="0"/>
              <w:rPr>
                <w:sz w:val="20"/>
                <w:szCs w:val="20"/>
                <w:color w:val="auto"/>
              </w:rPr>
            </w:pPr>
            <w:r>
              <w:rPr>
                <w:rFonts w:ascii="Arial" w:cs="Arial" w:eastAsia="Arial" w:hAnsi="Arial"/>
                <w:sz w:val="16"/>
                <w:szCs w:val="16"/>
                <w:color w:val="auto"/>
              </w:rPr>
              <w:t>Specified Items</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Merger and integration expenses (A)</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0.12</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Restructuring expenses (B)</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0.06</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Depreciation and amortization (C)</w:t>
            </w:r>
          </w:p>
        </w:tc>
        <w:tc>
          <w:tcPr>
            <w:tcW w:w="1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0.19</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Product remediation (D)</w:t>
            </w:r>
          </w:p>
        </w:tc>
        <w:tc>
          <w:tcPr>
            <w:tcW w:w="1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0.01</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Other income (expenses) &amp; litigations (E)</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0.02</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Write-off of investments in minorities (F)</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0.18</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Impact of inventory step-up (G)</w:t>
            </w:r>
          </w:p>
        </w:tc>
        <w:tc>
          <w:tcPr>
            <w:tcW w:w="1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0.00</w:t>
            </w:r>
          </w:p>
        </w:tc>
      </w:tr>
      <w:tr>
        <w:trPr>
          <w:trHeight w:val="270"/>
        </w:trPr>
        <w:tc>
          <w:tcPr>
            <w:tcW w:w="5080" w:type="dxa"/>
            <w:vAlign w:val="bottom"/>
          </w:tcPr>
          <w:p>
            <w:pPr>
              <w:ind w:left="260"/>
              <w:spacing w:after="0"/>
              <w:rPr>
                <w:sz w:val="20"/>
                <w:szCs w:val="20"/>
                <w:color w:val="auto"/>
              </w:rPr>
            </w:pPr>
            <w:r>
              <w:rPr>
                <w:rFonts w:ascii="Arial" w:cs="Arial" w:eastAsia="Arial" w:hAnsi="Arial"/>
                <w:sz w:val="16"/>
                <w:szCs w:val="16"/>
                <w:color w:val="auto"/>
              </w:rPr>
              <w:t>Equity compensation (H)</w:t>
            </w:r>
          </w:p>
        </w:tc>
        <w:tc>
          <w:tcPr>
            <w:tcW w:w="1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0.08</w:t>
            </w:r>
          </w:p>
        </w:tc>
      </w:tr>
      <w:tr>
        <w:trPr>
          <w:trHeight w:val="283"/>
        </w:trPr>
        <w:tc>
          <w:tcPr>
            <w:tcW w:w="5080" w:type="dxa"/>
            <w:vAlign w:val="bottom"/>
          </w:tcPr>
          <w:p>
            <w:pPr>
              <w:ind w:left="260"/>
              <w:spacing w:after="0"/>
              <w:rPr>
                <w:sz w:val="20"/>
                <w:szCs w:val="20"/>
                <w:color w:val="auto"/>
              </w:rPr>
            </w:pPr>
            <w:r>
              <w:rPr>
                <w:rFonts w:ascii="Arial" w:cs="Arial" w:eastAsia="Arial" w:hAnsi="Arial"/>
                <w:sz w:val="16"/>
                <w:szCs w:val="16"/>
                <w:color w:val="auto"/>
              </w:rPr>
              <w:t>Certain tax adjustments (I)</w:t>
            </w: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0.14</w:t>
            </w:r>
          </w:p>
        </w:tc>
      </w:tr>
      <w:tr>
        <w:trPr>
          <w:trHeight w:val="267"/>
        </w:trPr>
        <w:tc>
          <w:tcPr>
            <w:tcW w:w="5080" w:type="dxa"/>
            <w:vAlign w:val="bottom"/>
          </w:tcPr>
          <w:p>
            <w:pPr>
              <w:ind w:left="20"/>
              <w:spacing w:after="0"/>
              <w:rPr>
                <w:sz w:val="20"/>
                <w:szCs w:val="20"/>
                <w:color w:val="auto"/>
              </w:rPr>
            </w:pPr>
            <w:r>
              <w:rPr>
                <w:rFonts w:ascii="Arial" w:cs="Arial" w:eastAsia="Arial" w:hAnsi="Arial"/>
                <w:sz w:val="16"/>
                <w:szCs w:val="16"/>
                <w:color w:val="auto"/>
              </w:rPr>
              <w:t>Adjusted financial measures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$295.3</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$190.4</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$55.2</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$38.3</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$0.78</w:t>
            </w:r>
          </w:p>
        </w:tc>
      </w:tr>
      <w:tr>
        <w:trPr>
          <w:trHeight w:val="20"/>
        </w:trPr>
        <w:tc>
          <w:tcPr>
            <w:tcW w:w="5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GAAP results for the three months ended September 30, 2016 include:</w:t>
      </w:r>
    </w:p>
    <w:p>
      <w:pPr>
        <w:spacing w:after="0" w:line="82" w:lineRule="exact"/>
        <w:rPr>
          <w:sz w:val="20"/>
          <w:szCs w:val="20"/>
          <w:color w:val="auto"/>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480" w:right="440" w:hanging="457"/>
        <w:spacing w:after="0"/>
        <w:tabs>
          <w:tab w:leader="none" w:pos="48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Restructuring expenses, including CRM restructuring announced March 10, 2016, severance related to corporate and shared service synergies and organizational changes</w:t>
      </w:r>
    </w:p>
    <w:p>
      <w:pPr>
        <w:spacing w:after="0" w:line="79" w:lineRule="exact"/>
        <w:rPr>
          <w:rFonts w:ascii="Arial" w:cs="Arial" w:eastAsia="Arial" w:hAnsi="Arial"/>
          <w:sz w:val="26"/>
          <w:szCs w:val="26"/>
          <w:color w:val="auto"/>
          <w:vertAlign w:val="subscript"/>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Legal expense related to 3T Heater-Cooler defense and other matters</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$9.2m related to impairment of Respicardia buy-out option, $0.7m related to increasing amortization following final PPA</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inventory step-up associated with final purchase price accounting</w:t>
      </w:r>
    </w:p>
    <w:p>
      <w:pPr>
        <w:spacing w:after="0" w:line="55" w:lineRule="exact"/>
        <w:rPr>
          <w:rFonts w:ascii="Arial" w:cs="Arial" w:eastAsia="Arial" w:hAnsi="Arial"/>
          <w:sz w:val="14"/>
          <w:szCs w:val="14"/>
          <w:color w:val="auto"/>
        </w:rPr>
      </w:pPr>
    </w:p>
    <w:p>
      <w:pPr>
        <w:ind w:left="480" w:hanging="457"/>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$4.7m related to SG&amp;A, $0.2m related to R&amp;D and $0.1m related to COGS</w:t>
      </w:r>
    </w:p>
    <w:p>
      <w:pPr>
        <w:spacing w:after="0" w:line="55" w:lineRule="exact"/>
        <w:rPr>
          <w:rFonts w:ascii="Arial" w:cs="Arial" w:eastAsia="Arial" w:hAnsi="Arial"/>
          <w:sz w:val="14"/>
          <w:szCs w:val="14"/>
          <w:color w:val="auto"/>
        </w:rPr>
      </w:pPr>
    </w:p>
    <w:p>
      <w:pPr>
        <w:ind w:left="360" w:right="6680" w:hanging="337"/>
        <w:spacing w:after="0" w:line="413" w:lineRule="auto"/>
        <w:tabs>
          <w:tab w:leader="none" w:pos="484"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Relates to the impact of restructuring initiatives and IP migration </w:t>
      </w:r>
      <w:r>
        <w:rPr>
          <w:rFonts w:ascii="Arial" w:cs="Arial" w:eastAsia="Arial" w:hAnsi="Arial"/>
          <w:sz w:val="18"/>
          <w:szCs w:val="18"/>
          <w:color w:val="auto"/>
        </w:rPr>
        <w:t xml:space="preserve">* </w:t>
      </w:r>
      <w:r>
        <w:rPr>
          <w:rFonts w:ascii="Arial" w:cs="Arial" w:eastAsia="Arial" w:hAnsi="Arial"/>
          <w:sz w:val="14"/>
          <w:szCs w:val="14"/>
          <w:color w:val="auto"/>
        </w:rPr>
        <w:t>Numbers may not add up precisely due to rounding.</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40" w:top="810" w:right="319" w:bottom="1440" w:gutter="0" w:footer="0" w:header="0"/>
        </w:sectPr>
      </w:pPr>
    </w:p>
    <w:bookmarkStart w:id="14" w:name="page15"/>
    <w:bookmarkEnd w:id="14"/>
    <w:p>
      <w:pPr>
        <w:ind w:left="20" w:right="4320"/>
        <w:spacing w:after="0" w:line="392"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6783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Income from</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2017</w:t>
            </w: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Sales</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Gross Profit</w:t>
            </w: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Income</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Diluted EPS</w:t>
            </w:r>
          </w:p>
        </w:tc>
      </w:tr>
      <w:tr>
        <w:trPr>
          <w:trHeight w:val="263"/>
        </w:trPr>
        <w:tc>
          <w:tcPr>
            <w:tcW w:w="4280" w:type="dxa"/>
            <w:vAlign w:val="bottom"/>
          </w:tcPr>
          <w:p>
            <w:pPr>
              <w:ind w:left="20"/>
              <w:spacing w:after="0"/>
              <w:rPr>
                <w:sz w:val="20"/>
                <w:szCs w:val="20"/>
                <w:color w:val="auto"/>
              </w:rPr>
            </w:pPr>
            <w:r>
              <w:rPr>
                <w:rFonts w:ascii="Arial" w:cs="Arial" w:eastAsia="Arial" w:hAnsi="Arial"/>
                <w:sz w:val="14"/>
                <w:szCs w:val="14"/>
                <w:color w:val="auto"/>
              </w:rPr>
              <w:t>GAAP Financial Measures</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$916.2</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$595.0</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$81.8</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$86.6</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r>
      <w:tr>
        <w:trPr>
          <w:trHeight w:val="258"/>
        </w:trPr>
        <w:tc>
          <w:tcPr>
            <w:tcW w:w="4280" w:type="dxa"/>
            <w:vAlign w:val="bottom"/>
          </w:tcPr>
          <w:p>
            <w:pPr>
              <w:ind w:left="20"/>
              <w:spacing w:after="0"/>
              <w:rPr>
                <w:sz w:val="20"/>
                <w:szCs w:val="20"/>
                <w:color w:val="auto"/>
              </w:rPr>
            </w:pPr>
            <w:r>
              <w:rPr>
                <w:rFonts w:ascii="Arial" w:cs="Arial" w:eastAsia="Arial" w:hAnsi="Arial"/>
                <w:sz w:val="14"/>
                <w:szCs w:val="14"/>
                <w:color w:val="auto"/>
              </w:rPr>
              <w:t>Specified Items</w:t>
            </w: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Merger and integration expenses (A)</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5.7</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0.12</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Restructuring expenses (B)</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12.1</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0.20</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Depreciation and amortization (C)</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40.3</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30.8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0.64</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Product remediation (D)</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0.04</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Caisson acquisition (E)</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180" w:type="dxa"/>
            <w:vAlign w:val="bottom"/>
          </w:tcPr>
          <w:p>
            <w:pPr>
              <w:jc w:val="right"/>
              <w:spacing w:after="0"/>
              <w:rPr>
                <w:sz w:val="20"/>
                <w:szCs w:val="20"/>
                <w:color w:val="auto"/>
              </w:rPr>
            </w:pPr>
            <w:r>
              <w:rPr>
                <w:rFonts w:ascii="Arial" w:cs="Arial" w:eastAsia="Arial" w:hAnsi="Arial"/>
                <w:sz w:val="14"/>
                <w:szCs w:val="14"/>
                <w:color w:val="auto"/>
              </w:rPr>
              <w:t>(0.60)</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Highlife impairment (F)</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13.0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0.27</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Other income / (expenses) &amp; litigations (G)</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Equity compensation (H)</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0.22</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Certain interest adjustments (I)</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0.8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6"/>
        </w:trPr>
        <w:tc>
          <w:tcPr>
            <w:tcW w:w="4280" w:type="dxa"/>
            <w:vAlign w:val="bottom"/>
          </w:tcPr>
          <w:p>
            <w:pPr>
              <w:ind w:left="260"/>
              <w:spacing w:after="0"/>
              <w:rPr>
                <w:sz w:val="20"/>
                <w:szCs w:val="20"/>
                <w:color w:val="auto"/>
              </w:rPr>
            </w:pPr>
            <w:r>
              <w:rPr>
                <w:rFonts w:ascii="Arial" w:cs="Arial" w:eastAsia="Arial" w:hAnsi="Arial"/>
                <w:sz w:val="14"/>
                <w:szCs w:val="14"/>
                <w:color w:val="auto"/>
              </w:rPr>
              <w:t>Certain tax adjustments (J)</w:t>
            </w:r>
          </w:p>
        </w:tc>
        <w:tc>
          <w:tcPr>
            <w:tcW w:w="1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r>
      <w:tr>
        <w:trPr>
          <w:trHeight w:val="270"/>
        </w:trPr>
        <w:tc>
          <w:tcPr>
            <w:tcW w:w="428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$916.2</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$602.1</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$179.4</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$128.0</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r>
      <w:tr>
        <w:trPr>
          <w:trHeight w:val="20"/>
        </w:trPr>
        <w:tc>
          <w:tcPr>
            <w:tcW w:w="4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nine months ended September 30, 2017 include:</w:t>
      </w:r>
    </w:p>
    <w:p>
      <w:pPr>
        <w:spacing w:after="0" w:line="73" w:lineRule="exact"/>
        <w:rPr>
          <w:sz w:val="20"/>
          <w:szCs w:val="20"/>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 and the shutdown of our CP plant in China</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Impact of Caisson related acquisition costs</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Impairment of investment and notes receivables</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mostly related to 3T Heater-Cooler defense and other matters</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$13.2m related to SG&amp;A, $0.9m related to R&amp;D and less than $0.2m related to COGS</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interest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6783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Income from</w:t>
            </w: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Net Income</w:t>
            </w:r>
          </w:p>
        </w:tc>
        <w:tc>
          <w:tcPr>
            <w:tcW w:w="1180" w:type="dxa"/>
            <w:vAlign w:val="bottom"/>
          </w:tcPr>
          <w:p>
            <w:pPr>
              <w:spacing w:after="0"/>
              <w:rPr>
                <w:sz w:val="14"/>
                <w:szCs w:val="14"/>
                <w:color w:val="auto"/>
              </w:rPr>
            </w:pPr>
          </w:p>
        </w:tc>
      </w:tr>
      <w:tr>
        <w:trPr>
          <w:trHeight w:val="196"/>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2016</w:t>
            </w: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Sales</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Gross Profit</w:t>
            </w: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(Loss)</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Diluted EPS</w:t>
            </w:r>
          </w:p>
        </w:tc>
      </w:tr>
      <w:tr>
        <w:trPr>
          <w:trHeight w:val="263"/>
        </w:trPr>
        <w:tc>
          <w:tcPr>
            <w:tcW w:w="4280" w:type="dxa"/>
            <w:vAlign w:val="bottom"/>
          </w:tcPr>
          <w:p>
            <w:pPr>
              <w:ind w:left="20"/>
              <w:spacing w:after="0"/>
              <w:rPr>
                <w:sz w:val="20"/>
                <w:szCs w:val="20"/>
                <w:color w:val="auto"/>
              </w:rPr>
            </w:pPr>
            <w:r>
              <w:rPr>
                <w:rFonts w:ascii="Arial" w:cs="Arial" w:eastAsia="Arial" w:hAnsi="Arial"/>
                <w:sz w:val="14"/>
                <w:szCs w:val="14"/>
                <w:color w:val="auto"/>
              </w:rPr>
              <w:t>GAAP Financial Measures</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$903.3</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$540.4</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r>
      <w:tr>
        <w:trPr>
          <w:trHeight w:val="258"/>
        </w:trPr>
        <w:tc>
          <w:tcPr>
            <w:tcW w:w="4280" w:type="dxa"/>
            <w:vAlign w:val="bottom"/>
          </w:tcPr>
          <w:p>
            <w:pPr>
              <w:ind w:left="20"/>
              <w:spacing w:after="0"/>
              <w:rPr>
                <w:sz w:val="20"/>
                <w:szCs w:val="20"/>
                <w:color w:val="auto"/>
              </w:rPr>
            </w:pPr>
            <w:r>
              <w:rPr>
                <w:rFonts w:ascii="Arial" w:cs="Arial" w:eastAsia="Arial" w:hAnsi="Arial"/>
                <w:sz w:val="14"/>
                <w:szCs w:val="14"/>
                <w:color w:val="auto"/>
              </w:rPr>
              <w:t>Specified Items</w:t>
            </w: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Merger and integration expenses (A)</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20.5</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16.9</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0.35</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Restructuring expenses (B)</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33.4</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0.68</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Depreciation and amortization (C)</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39.5</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29.2</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0.59</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Product remediation (D)</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0.9</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Other income/ (expenses) &amp; litigations (E)</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Write-off of investments in minorities (F)</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0.18</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Impact of inventory step-up (G)</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35.2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35.2</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0.49</w:t>
            </w:r>
          </w:p>
        </w:tc>
      </w:tr>
      <w:tr>
        <w:trPr>
          <w:trHeight w:val="270"/>
        </w:trPr>
        <w:tc>
          <w:tcPr>
            <w:tcW w:w="4280" w:type="dxa"/>
            <w:vAlign w:val="bottom"/>
          </w:tcPr>
          <w:p>
            <w:pPr>
              <w:ind w:left="260"/>
              <w:spacing w:after="0"/>
              <w:rPr>
                <w:sz w:val="20"/>
                <w:szCs w:val="20"/>
                <w:color w:val="auto"/>
              </w:rPr>
            </w:pPr>
            <w:r>
              <w:rPr>
                <w:rFonts w:ascii="Arial" w:cs="Arial" w:eastAsia="Arial" w:hAnsi="Arial"/>
                <w:sz w:val="14"/>
                <w:szCs w:val="14"/>
                <w:color w:val="auto"/>
              </w:rPr>
              <w:t>Equity compensation (H)</w:t>
            </w:r>
          </w:p>
        </w:tc>
        <w:tc>
          <w:tcPr>
            <w:tcW w:w="13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0.8</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15.3</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12.9</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0.26</w:t>
            </w:r>
          </w:p>
        </w:tc>
      </w:tr>
      <w:tr>
        <w:trPr>
          <w:trHeight w:val="276"/>
        </w:trPr>
        <w:tc>
          <w:tcPr>
            <w:tcW w:w="4280" w:type="dxa"/>
            <w:vAlign w:val="bottom"/>
          </w:tcPr>
          <w:p>
            <w:pPr>
              <w:ind w:left="260"/>
              <w:spacing w:after="0"/>
              <w:rPr>
                <w:sz w:val="20"/>
                <w:szCs w:val="20"/>
                <w:color w:val="auto"/>
              </w:rPr>
            </w:pPr>
            <w:r>
              <w:rPr>
                <w:rFonts w:ascii="Arial" w:cs="Arial" w:eastAsia="Arial" w:hAnsi="Arial"/>
                <w:sz w:val="14"/>
                <w:szCs w:val="14"/>
                <w:color w:val="auto"/>
              </w:rPr>
              <w:t>Certain tax adjustments (I)</w:t>
            </w:r>
          </w:p>
        </w:tc>
        <w:tc>
          <w:tcPr>
            <w:tcW w:w="1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r>
      <w:tr>
        <w:trPr>
          <w:trHeight w:val="270"/>
        </w:trPr>
        <w:tc>
          <w:tcPr>
            <w:tcW w:w="428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$903.3</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$584.5</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$161.5</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$107.8</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r>
      <w:tr>
        <w:trPr>
          <w:trHeight w:val="20"/>
        </w:trPr>
        <w:tc>
          <w:tcPr>
            <w:tcW w:w="4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GAAP results for the nine months ended September 30, 2016 include:</w:t>
      </w:r>
    </w:p>
    <w:p>
      <w:pPr>
        <w:spacing w:after="0" w:line="82" w:lineRule="exact"/>
        <w:rPr>
          <w:sz w:val="20"/>
          <w:szCs w:val="20"/>
          <w:color w:val="auto"/>
        </w:rPr>
      </w:pPr>
    </w:p>
    <w:p>
      <w:pPr>
        <w:ind w:left="340" w:hanging="320"/>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340" w:right="960" w:hanging="320"/>
        <w:spacing w:after="0" w:line="183" w:lineRule="auto"/>
        <w:tabs>
          <w:tab w:leader="none" w:pos="340" w:val="left"/>
        </w:tabs>
        <w:numPr>
          <w:ilvl w:val="0"/>
          <w:numId w:val="9"/>
        </w:numPr>
        <w:rPr>
          <w:rFonts w:ascii="Arial" w:cs="Arial" w:eastAsia="Arial" w:hAnsi="Arial"/>
          <w:sz w:val="25"/>
          <w:szCs w:val="25"/>
          <w:color w:val="auto"/>
          <w:vertAlign w:val="subscript"/>
        </w:rPr>
      </w:pPr>
      <w:r>
        <w:rPr>
          <w:rFonts w:ascii="Arial" w:cs="Arial" w:eastAsia="Arial" w:hAnsi="Arial"/>
          <w:sz w:val="13"/>
          <w:szCs w:val="13"/>
          <w:color w:val="auto"/>
        </w:rPr>
        <w:t>Restructuring expenses, including CRM restructuring announced March 10, 2016, severance related to corporate and shared service synergies and organizational changes</w:t>
      </w:r>
    </w:p>
    <w:p>
      <w:pPr>
        <w:spacing w:after="0" w:line="44" w:lineRule="exact"/>
        <w:rPr>
          <w:rFonts w:ascii="Arial" w:cs="Arial" w:eastAsia="Arial" w:hAnsi="Arial"/>
          <w:sz w:val="25"/>
          <w:szCs w:val="25"/>
          <w:color w:val="auto"/>
          <w:vertAlign w:val="subscript"/>
        </w:rPr>
      </w:pPr>
    </w:p>
    <w:p>
      <w:pPr>
        <w:ind w:left="340" w:hanging="320"/>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40" w:right="600" w:hanging="320"/>
        <w:spacing w:after="0" w:line="183" w:lineRule="auto"/>
        <w:tabs>
          <w:tab w:leader="none" w:pos="340" w:val="left"/>
        </w:tabs>
        <w:numPr>
          <w:ilvl w:val="0"/>
          <w:numId w:val="9"/>
        </w:numPr>
        <w:rPr>
          <w:rFonts w:ascii="Arial" w:cs="Arial" w:eastAsia="Arial" w:hAnsi="Arial"/>
          <w:sz w:val="25"/>
          <w:szCs w:val="25"/>
          <w:color w:val="auto"/>
          <w:vertAlign w:val="subscript"/>
        </w:rPr>
      </w:pPr>
      <w:r>
        <w:rPr>
          <w:rFonts w:ascii="Arial" w:cs="Arial" w:eastAsia="Arial" w:hAnsi="Arial"/>
          <w:sz w:val="13"/>
          <w:szCs w:val="13"/>
          <w:color w:val="auto"/>
        </w:rPr>
        <w:t>$5.0m write-off of receivables from Greece distributor, $4.7m reimbursement of damages related to 2012 earthquake in Mirandola (Italy), and $2.5m legal expenses primarily associated with litigation related to 3T Heater-Cooler devices</w:t>
      </w:r>
    </w:p>
    <w:p>
      <w:pPr>
        <w:spacing w:after="0" w:line="44" w:lineRule="exact"/>
        <w:rPr>
          <w:rFonts w:ascii="Arial" w:cs="Arial" w:eastAsia="Arial" w:hAnsi="Arial"/>
          <w:sz w:val="25"/>
          <w:szCs w:val="25"/>
          <w:color w:val="auto"/>
          <w:vertAlign w:val="subscript"/>
        </w:rPr>
      </w:pPr>
    </w:p>
    <w:p>
      <w:pPr>
        <w:ind w:left="340" w:hanging="320"/>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$9.2m related to the impairment of Respicardia buy-out option; $0.7m related to increasing amortization following final PPA</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inventory step-up associated with final purchase price accounting</w:t>
      </w:r>
    </w:p>
    <w:p>
      <w:pPr>
        <w:spacing w:after="0" w:line="55" w:lineRule="exact"/>
        <w:rPr>
          <w:rFonts w:ascii="Arial" w:cs="Arial" w:eastAsia="Arial" w:hAnsi="Arial"/>
          <w:sz w:val="14"/>
          <w:szCs w:val="14"/>
          <w:color w:val="auto"/>
        </w:rPr>
      </w:pPr>
    </w:p>
    <w:p>
      <w:pPr>
        <w:ind w:left="340" w:hanging="320"/>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$13.7m related to SG&amp;A, $0.8m related to R&amp;D and $0.8m related to COGS</w:t>
      </w:r>
    </w:p>
    <w:p>
      <w:pPr>
        <w:spacing w:after="0" w:line="55" w:lineRule="exact"/>
        <w:rPr>
          <w:rFonts w:ascii="Arial" w:cs="Arial" w:eastAsia="Arial" w:hAnsi="Arial"/>
          <w:sz w:val="14"/>
          <w:szCs w:val="14"/>
          <w:color w:val="auto"/>
        </w:rPr>
      </w:pPr>
    </w:p>
    <w:p>
      <w:pPr>
        <w:ind w:left="240" w:right="6260" w:hanging="220"/>
        <w:spacing w:after="0" w:line="614" w:lineRule="auto"/>
        <w:tabs>
          <w:tab w:leader="none" w:pos="35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Relates to the impact of restructuring initiatives and IP migration * Numbers may not add up precisely due to rounding.</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680"/>
          </w:cols>
          <w:pgMar w:left="620" w:top="810" w:right="599" w:bottom="750" w:gutter="0" w:footer="0" w:header="0"/>
        </w:sectPr>
      </w:pPr>
    </w:p>
    <w:bookmarkStart w:id="15" w:name="page16"/>
    <w:bookmarkEnd w:id="15"/>
    <w:p>
      <w:pPr>
        <w:ind w:left="40"/>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dollars in millions)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2017</w:t>
            </w: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251"/>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ASSETS</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(Unaudited)</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314.0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214.6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722.1</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620.1</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781.1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717.6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tax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$2,603.1</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9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6"/>
                <w:szCs w:val="16"/>
                <w:color w:val="auto"/>
              </w:rPr>
              <w:t>Current Liabilities: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356.4</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316.8</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income taxes liability</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152.1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Long-term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long-term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$688.7</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$635.7</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1,914.4</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1,706.9</w:t>
            </w:r>
          </w:p>
        </w:tc>
        <w:tc>
          <w:tcPr>
            <w:tcW w:w="0" w:type="dxa"/>
            <w:vAlign w:val="bottom"/>
          </w:tcPr>
          <w:p>
            <w:pPr>
              <w:spacing w:after="0"/>
              <w:rPr>
                <w:sz w:val="1"/>
                <w:szCs w:val="1"/>
                <w:color w:val="auto"/>
              </w:rPr>
            </w:pPr>
          </w:p>
        </w:tc>
      </w:tr>
      <w:tr>
        <w:trPr>
          <w:trHeight w:val="240"/>
        </w:trPr>
        <w:tc>
          <w:tcPr>
            <w:tcW w:w="69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$2,603.1</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783"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2980"/>
        <w:spacing w:after="0" w:line="300" w:lineRule="auto"/>
        <w:rPr>
          <w:sz w:val="20"/>
          <w:szCs w:val="20"/>
          <w:color w:val="auto"/>
        </w:rPr>
      </w:pPr>
      <w:r>
        <w:rPr>
          <w:rFonts w:ascii="Arial" w:cs="Arial" w:eastAsia="Arial" w:hAnsi="Arial"/>
          <w:sz w:val="20"/>
          <w:szCs w:val="20"/>
          <w:b w:val="1"/>
          <w:bCs w:val="1"/>
          <w:color w:val="auto"/>
        </w:rPr>
        <w:t>CONDENSED CONSOLIDATED STATEMENT OF CASH FLOW - UNAUDITED (U.S. dollars in millions)</w:t>
      </w:r>
    </w:p>
    <w:p>
      <w:pPr>
        <w:spacing w:after="0" w:line="2"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31750</wp:posOffset>
            </wp:positionV>
            <wp:extent cx="2032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1"/>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Operating Activities: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8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70"/>
        </w:trPr>
        <w:tc>
          <w:tcPr>
            <w:tcW w:w="7800" w:type="dxa"/>
            <w:vAlign w:val="bottom"/>
            <w:gridSpan w:val="2"/>
          </w:tcPr>
          <w:p>
            <w:pPr>
              <w:spacing w:after="0"/>
              <w:rPr>
                <w:sz w:val="20"/>
                <w:szCs w:val="20"/>
                <w:color w:val="auto"/>
              </w:rPr>
            </w:pPr>
            <w:r>
              <w:rPr>
                <w:rFonts w:ascii="Arial" w:cs="Arial" w:eastAsia="Arial" w:hAnsi="Arial"/>
                <w:sz w:val="16"/>
                <w:szCs w:val="16"/>
                <w:color w:val="auto"/>
              </w:rPr>
              <w:t>Non-cash items included in net income (loss):</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Depreciation</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Amortization</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Stock-based compensation</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Deferred income tax benefit</w:t>
            </w:r>
          </w:p>
        </w:tc>
        <w:tc>
          <w:tcPr>
            <w:tcW w:w="560" w:type="dxa"/>
            <w:vAlign w:val="bottom"/>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Losses from equity method investments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Gain on acquisition of Caisson Interventional, LLC</w:t>
            </w:r>
          </w:p>
        </w:tc>
        <w:tc>
          <w:tcPr>
            <w:tcW w:w="560" w:type="dxa"/>
            <w:vAlign w:val="bottom"/>
          </w:tcPr>
          <w:p>
            <w:pPr>
              <w:jc w:val="right"/>
              <w:spacing w:after="0"/>
              <w:rPr>
                <w:sz w:val="20"/>
                <w:szCs w:val="20"/>
                <w:color w:val="auto"/>
              </w:rPr>
            </w:pPr>
            <w:r>
              <w:rPr>
                <w:rFonts w:ascii="Arial" w:cs="Arial" w:eastAsia="Arial" w:hAnsi="Arial"/>
                <w:sz w:val="16"/>
                <w:szCs w:val="16"/>
                <w:color w:val="auto"/>
              </w:rPr>
              <w:t>(39.4)</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Impairment of property, plant and equipment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Amortization of income taxes from inter-company transfers of property</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Other</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70"/>
        </w:trPr>
        <w:tc>
          <w:tcPr>
            <w:tcW w:w="780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Accounts receivable, net</w:t>
            </w:r>
          </w:p>
        </w:tc>
        <w:tc>
          <w:tcPr>
            <w:tcW w:w="560" w:type="dxa"/>
            <w:vAlign w:val="bottom"/>
          </w:tcPr>
          <w:p>
            <w:pPr>
              <w:jc w:val="right"/>
              <w:spacing w:after="0"/>
              <w:rPr>
                <w:sz w:val="20"/>
                <w:szCs w:val="20"/>
                <w:color w:val="auto"/>
              </w:rPr>
            </w:pPr>
            <w:r>
              <w:rPr>
                <w:rFonts w:ascii="Arial" w:cs="Arial" w:eastAsia="Arial" w:hAnsi="Arial"/>
                <w:sz w:val="16"/>
                <w:szCs w:val="16"/>
                <w:color w:val="auto"/>
              </w:rPr>
              <w:t>(19.1)</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Inventories</w:t>
            </w:r>
          </w:p>
        </w:tc>
        <w:tc>
          <w:tcPr>
            <w:tcW w:w="560" w:type="dxa"/>
            <w:vAlign w:val="bottom"/>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Other current and non-current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Restructuring reserve</w:t>
            </w: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83"/>
        </w:trPr>
        <w:tc>
          <w:tcPr>
            <w:tcW w:w="6820" w:type="dxa"/>
            <w:vAlign w:val="bottom"/>
          </w:tcPr>
          <w:p>
            <w:pPr>
              <w:ind w:left="500"/>
              <w:spacing w:after="0"/>
              <w:rPr>
                <w:sz w:val="20"/>
                <w:szCs w:val="20"/>
                <w:color w:val="auto"/>
              </w:rPr>
            </w:pPr>
            <w:r>
              <w:rPr>
                <w:rFonts w:ascii="Arial" w:cs="Arial" w:eastAsia="Arial" w:hAnsi="Arial"/>
                <w:sz w:val="16"/>
                <w:szCs w:val="16"/>
                <w:color w:val="auto"/>
              </w:rPr>
              <w:t>Accounts payable and accrued current and non-current liabilities</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50"/>
        </w:trPr>
        <w:tc>
          <w:tcPr>
            <w:tcW w:w="6820" w:type="dxa"/>
            <w:vAlign w:val="bottom"/>
          </w:tcPr>
          <w:p>
            <w:pPr>
              <w:ind w:left="68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73.7</w:t>
            </w:r>
          </w:p>
        </w:tc>
        <w:tc>
          <w:tcPr>
            <w:tcW w:w="1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r>
      <w:tr>
        <w:trPr>
          <w:trHeight w:val="413"/>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Purchases of property, plant and equipment and other</w:t>
            </w:r>
          </w:p>
        </w:tc>
        <w:tc>
          <w:tcPr>
            <w:tcW w:w="560" w:type="dxa"/>
            <w:vAlign w:val="bottom"/>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Acquisition of Caisson Interventional, LLC, net of cash acquired</w:t>
            </w:r>
          </w:p>
        </w:tc>
        <w:tc>
          <w:tcPr>
            <w:tcW w:w="560" w:type="dxa"/>
            <w:vAlign w:val="bottom"/>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Proceeds from sale of cost method investment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Proceeds from asset sales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Purchases of cost and equity method investments</w:t>
            </w: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Loans to cost and equity method investees</w:t>
            </w: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Purchases of short-term investments</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83"/>
        </w:trPr>
        <w:tc>
          <w:tcPr>
            <w:tcW w:w="6820" w:type="dxa"/>
            <w:vAlign w:val="bottom"/>
          </w:tcPr>
          <w:p>
            <w:pPr>
              <w:ind w:left="500"/>
              <w:spacing w:after="0"/>
              <w:rPr>
                <w:sz w:val="20"/>
                <w:szCs w:val="20"/>
                <w:color w:val="auto"/>
              </w:rPr>
            </w:pPr>
            <w:r>
              <w:rPr>
                <w:rFonts w:ascii="Arial" w:cs="Arial" w:eastAsia="Arial" w:hAnsi="Arial"/>
                <w:sz w:val="16"/>
                <w:szCs w:val="16"/>
                <w:color w:val="auto"/>
              </w:rPr>
              <w:t>Maturities of short-term investments</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50"/>
        </w:trPr>
        <w:tc>
          <w:tcPr>
            <w:tcW w:w="6820" w:type="dxa"/>
            <w:vAlign w:val="bottom"/>
          </w:tcPr>
          <w:p>
            <w:pPr>
              <w:ind w:left="680"/>
              <w:spacing w:after="0"/>
              <w:rPr>
                <w:sz w:val="20"/>
                <w:szCs w:val="20"/>
                <w:color w:val="auto"/>
              </w:rPr>
            </w:pPr>
            <w:r>
              <w:rPr>
                <w:rFonts w:ascii="Arial" w:cs="Arial" w:eastAsia="Arial" w:hAnsi="Arial"/>
                <w:sz w:val="16"/>
                <w:szCs w:val="16"/>
                <w:b w:val="1"/>
                <w:bCs w:val="1"/>
                <w:color w:val="auto"/>
              </w:rPr>
              <w:t>Net cash used in investing activities</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1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r>
      <w:tr>
        <w:trPr>
          <w:trHeight w:val="413"/>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Change in short-term borrowing, net</w:t>
            </w:r>
          </w:p>
        </w:tc>
        <w:tc>
          <w:tcPr>
            <w:tcW w:w="560" w:type="dxa"/>
            <w:vAlign w:val="bottom"/>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Proceeds from short-term borrowing (maturities greater than 90 days)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Repayment of long-term debt obligations</w:t>
            </w:r>
          </w:p>
        </w:tc>
        <w:tc>
          <w:tcPr>
            <w:tcW w:w="560" w:type="dxa"/>
            <w:vAlign w:val="bottom"/>
          </w:tcPr>
          <w:p>
            <w:pPr>
              <w:jc w:val="right"/>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Repayment of trade receivable advances</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Proceeds from long-term debt obligations</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7800" w:type="dxa"/>
            <w:vAlign w:val="bottom"/>
            <w:gridSpan w:val="2"/>
          </w:tcPr>
          <w:p>
            <w:pPr>
              <w:ind w:left="500"/>
              <w:spacing w:after="0"/>
              <w:rPr>
                <w:sz w:val="20"/>
                <w:szCs w:val="20"/>
                <w:color w:val="auto"/>
              </w:rPr>
            </w:pPr>
            <w:r>
              <w:rPr>
                <w:rFonts w:ascii="Arial" w:cs="Arial" w:eastAsia="Arial" w:hAnsi="Arial"/>
                <w:sz w:val="16"/>
                <w:szCs w:val="16"/>
                <w:color w:val="auto"/>
              </w:rPr>
              <w:t>Share repurchases</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83"/>
        </w:trPr>
        <w:tc>
          <w:tcPr>
            <w:tcW w:w="6820" w:type="dxa"/>
            <w:vAlign w:val="bottom"/>
          </w:tcPr>
          <w:p>
            <w:pPr>
              <w:ind w:left="50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50"/>
        </w:trPr>
        <w:tc>
          <w:tcPr>
            <w:tcW w:w="6820" w:type="dxa"/>
            <w:vAlign w:val="bottom"/>
          </w:tcPr>
          <w:p>
            <w:pPr>
              <w:ind w:left="680"/>
              <w:spacing w:after="0"/>
              <w:rPr>
                <w:sz w:val="20"/>
                <w:szCs w:val="20"/>
                <w:color w:val="auto"/>
              </w:rPr>
            </w:pPr>
            <w:r>
              <w:rPr>
                <w:rFonts w:ascii="Arial" w:cs="Arial" w:eastAsia="Arial" w:hAnsi="Arial"/>
                <w:sz w:val="16"/>
                <w:szCs w:val="16"/>
                <w:b w:val="1"/>
                <w:bCs w:val="1"/>
                <w:color w:val="auto"/>
              </w:rPr>
              <w:t>Net cash used in financing activities</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w:t>
            </w:r>
          </w:p>
        </w:tc>
      </w:tr>
      <w:tr>
        <w:trPr>
          <w:trHeight w:val="399"/>
        </w:trPr>
        <w:tc>
          <w:tcPr>
            <w:tcW w:w="682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800" w:type="dxa"/>
            <w:vAlign w:val="bottom"/>
            <w:gridSpan w:val="2"/>
          </w:tcPr>
          <w:p>
            <w:pPr>
              <w:ind w:left="68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25.4</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(49.0)</w:t>
            </w:r>
          </w:p>
        </w:tc>
      </w:tr>
      <w:tr>
        <w:trPr>
          <w:trHeight w:val="418"/>
        </w:trPr>
        <w:tc>
          <w:tcPr>
            <w:tcW w:w="68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r>
      <w:tr>
        <w:trPr>
          <w:trHeight w:val="267"/>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$65.2</w:t>
            </w: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$63.6</w:t>
            </w:r>
          </w:p>
        </w:tc>
      </w:tr>
      <w:tr>
        <w:trPr>
          <w:trHeight w:val="20"/>
        </w:trPr>
        <w:tc>
          <w:tcPr>
            <w:tcW w:w="6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10020"/>
          </w:cols>
          <w:pgMar w:left="960" w:top="774" w:right="919" w:bottom="906" w:gutter="0" w:footer="0" w:header="0"/>
        </w:sect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13</w:t>
      </w:r>
    </w:p>
    <w:sectPr>
      <w:pgSz w:w="11900" w:h="16838" w:orient="portrait"/>
      <w:cols w:equalWidth="0" w:num="1">
        <w:col w:w="10020"/>
      </w:cols>
      <w:pgMar w:left="960" w:top="774" w:right="919" w:bottom="9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
      <w:numFmt w:val="bullet"/>
      <w:start w:val="1"/>
    </w:lvl>
  </w:abstractNum>
  <w:abstractNum w:abstractNumId="5">
    <w:nsid w:val="7545E146"/>
    <w:multiLevelType w:val="hybridMultilevel"/>
    <w:lvl w:ilvl="0">
      <w:lvlJc w:val="left"/>
      <w:lvlText w:val="(%1)"/>
      <w:numFmt w:val="upperLetter"/>
      <w:start w:val="1"/>
    </w:lvl>
  </w:abstractNum>
  <w:abstractNum w:abstractNumId="6">
    <w:nsid w:val="515F007C"/>
    <w:multiLevelType w:val="hybridMultilevel"/>
    <w:lvl w:ilvl="0">
      <w:lvlJc w:val="left"/>
      <w:lvlText w:val="(%1)"/>
      <w:numFmt w:val="upperLetter"/>
      <w:start w:val="1"/>
    </w:lvl>
    <w:lvl w:ilvl="1">
      <w:lvlJc w:val="left"/>
      <w:lvlText w:val="*"/>
      <w:numFmt w:val="bullet"/>
      <w:start w:val="1"/>
    </w:lvl>
  </w:abstractNum>
  <w:abstractNum w:abstractNumId="7">
    <w:nsid w:val="5BD062C2"/>
    <w:multiLevelType w:val="hybridMultilevel"/>
    <w:lvl w:ilvl="0">
      <w:lvlJc w:val="left"/>
      <w:lvlText w:val="(%1)"/>
      <w:numFmt w:val="upperLetter"/>
      <w:start w:val="1"/>
    </w:lvl>
  </w:abstractNum>
  <w:abstractNum w:abstractNumId="8">
    <w:nsid w:val="12200854"/>
    <w:multiLevelType w:val="hybridMultilevel"/>
    <w:lvl w:ilvl="0">
      <w:lvlJc w:val="left"/>
      <w:lvlText w:val="(%1)"/>
      <w:numFmt w:val="upperLetter"/>
      <w:start w:val="1"/>
    </w:lvl>
    <w:lvl w:ilvl="1">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2019-12-29T03:32:26Z</dcterms:created>
  <dcterms:modified xsi:type="dcterms:W3CDTF">2019-12-29T03:32:26Z</dcterms:modified>
</cp:coreProperties>
</file>