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Hoare Rohan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20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W2 1AY</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6"/>
        <w:spacing w:after="0"/>
        <w:rPr>
          <w:sz w:val="20"/>
          <w:szCs w:val="20"/>
          <w:color w:val="auto"/>
        </w:rPr>
      </w:pPr>
      <w:r>
        <w:rPr>
          <w:rFonts w:ascii="Arial" w:cs="Arial" w:eastAsia="Arial" w:hAnsi="Arial"/>
          <w:sz w:val="18"/>
          <w:szCs w:val="18"/>
          <w:color w:val="0000FF"/>
        </w:rPr>
        <w:t>President, Neuromodulation</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60"/>
              <w:spacing w:after="0"/>
              <w:rPr>
                <w:sz w:val="20"/>
                <w:szCs w:val="20"/>
                <w:color w:val="auto"/>
              </w:rPr>
            </w:pPr>
            <w:r>
              <w:rPr>
                <w:rFonts w:ascii="Arial" w:cs="Arial" w:eastAsia="Arial" w:hAnsi="Arial"/>
                <w:sz w:val="18"/>
                <w:szCs w:val="18"/>
                <w:color w:val="0000FF"/>
              </w:rPr>
              <w:t>7,505</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Option to purchase common stock</w:t>
            </w:r>
          </w:p>
        </w:tc>
        <w:tc>
          <w:tcPr>
            <w:tcW w:w="1560" w:type="dxa"/>
            <w:vAlign w:val="bottom"/>
            <w:gridSpan w:val="2"/>
          </w:tcPr>
          <w:p>
            <w:pPr>
              <w:jc w:val="center"/>
              <w:ind w:left="610"/>
              <w:spacing w:after="0"/>
              <w:rPr>
                <w:sz w:val="20"/>
                <w:szCs w:val="20"/>
                <w:color w:val="auto"/>
              </w:rPr>
            </w:pPr>
            <w:r>
              <w:rPr>
                <w:rFonts w:ascii="Arial" w:cs="Arial" w:eastAsia="Arial" w:hAnsi="Arial"/>
                <w:sz w:val="14"/>
                <w:szCs w:val="14"/>
                <w:color w:val="0000FF"/>
                <w:w w:val="85"/>
              </w:rPr>
              <w:t>10/19/2015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09/15/2023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8"/>
              </w:rPr>
              <w:t>9,972</w:t>
            </w:r>
          </w:p>
        </w:tc>
        <w:tc>
          <w:tcPr>
            <w:tcW w:w="880" w:type="dxa"/>
            <w:vAlign w:val="bottom"/>
          </w:tcPr>
          <w:p>
            <w:pPr>
              <w:ind w:left="240"/>
              <w:spacing w:after="0"/>
              <w:rPr>
                <w:sz w:val="20"/>
                <w:szCs w:val="20"/>
                <w:color w:val="auto"/>
              </w:rPr>
            </w:pPr>
            <w:r>
              <w:rPr>
                <w:rFonts w:ascii="Arial" w:cs="Arial" w:eastAsia="Arial" w:hAnsi="Arial"/>
                <w:sz w:val="18"/>
                <w:szCs w:val="18"/>
                <w:color w:val="0000FF"/>
              </w:rPr>
              <w:t>51.53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Option to purchase common stock</w:t>
            </w:r>
          </w:p>
        </w:tc>
        <w:tc>
          <w:tcPr>
            <w:tcW w:w="1560" w:type="dxa"/>
            <w:vAlign w:val="bottom"/>
            <w:gridSpan w:val="2"/>
          </w:tcPr>
          <w:p>
            <w:pPr>
              <w:jc w:val="center"/>
              <w:ind w:left="610"/>
              <w:spacing w:after="0"/>
              <w:rPr>
                <w:sz w:val="20"/>
                <w:szCs w:val="20"/>
                <w:color w:val="auto"/>
              </w:rPr>
            </w:pPr>
            <w:r>
              <w:rPr>
                <w:rFonts w:ascii="Arial" w:cs="Arial" w:eastAsia="Arial" w:hAnsi="Arial"/>
                <w:sz w:val="14"/>
                <w:szCs w:val="14"/>
                <w:color w:val="0000FF"/>
                <w:w w:val="85"/>
              </w:rPr>
              <w:t>10/19/2015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06/15/2024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7"/>
              </w:rPr>
              <w:t>18,968</w:t>
            </w:r>
          </w:p>
        </w:tc>
        <w:tc>
          <w:tcPr>
            <w:tcW w:w="880" w:type="dxa"/>
            <w:vAlign w:val="bottom"/>
          </w:tcPr>
          <w:p>
            <w:pPr>
              <w:ind w:left="240"/>
              <w:spacing w:after="0"/>
              <w:rPr>
                <w:sz w:val="20"/>
                <w:szCs w:val="20"/>
                <w:color w:val="auto"/>
              </w:rPr>
            </w:pPr>
            <w:r>
              <w:rPr>
                <w:rFonts w:ascii="Arial" w:cs="Arial" w:eastAsia="Arial" w:hAnsi="Arial"/>
                <w:sz w:val="18"/>
                <w:szCs w:val="18"/>
                <w:color w:val="0000FF"/>
              </w:rPr>
              <w:t>57.39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Option to purchase common stock</w:t>
            </w:r>
          </w:p>
        </w:tc>
        <w:tc>
          <w:tcPr>
            <w:tcW w:w="1560" w:type="dxa"/>
            <w:vAlign w:val="bottom"/>
            <w:gridSpan w:val="2"/>
          </w:tcPr>
          <w:p>
            <w:pPr>
              <w:jc w:val="center"/>
              <w:ind w:left="610"/>
              <w:spacing w:after="0"/>
              <w:rPr>
                <w:sz w:val="20"/>
                <w:szCs w:val="20"/>
                <w:color w:val="auto"/>
              </w:rPr>
            </w:pPr>
            <w:r>
              <w:rPr>
                <w:rFonts w:ascii="Arial" w:cs="Arial" w:eastAsia="Arial" w:hAnsi="Arial"/>
                <w:sz w:val="11"/>
                <w:szCs w:val="11"/>
                <w:color w:val="008000"/>
                <w:w w:val="88"/>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10/19/2020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7"/>
              </w:rPr>
              <w:t>52,473</w:t>
            </w:r>
          </w:p>
        </w:tc>
        <w:tc>
          <w:tcPr>
            <w:tcW w:w="880" w:type="dxa"/>
            <w:vAlign w:val="bottom"/>
          </w:tcPr>
          <w:p>
            <w:pPr>
              <w:ind w:left="240"/>
              <w:spacing w:after="0"/>
              <w:rPr>
                <w:sz w:val="20"/>
                <w:szCs w:val="20"/>
                <w:color w:val="auto"/>
              </w:rPr>
            </w:pPr>
            <w:r>
              <w:rPr>
                <w:rFonts w:ascii="Arial" w:cs="Arial" w:eastAsia="Arial" w:hAnsi="Arial"/>
                <w:sz w:val="18"/>
                <w:szCs w:val="18"/>
                <w:color w:val="0000FF"/>
              </w:rPr>
              <w:t>69.39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2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an award of stock appreciation rights ("SARs"). Subject to the terms and conditions of the SAR Agreement, the SARs shall vest in equal installments of 50% on each of the first two anniversaries of the grant date, October 19, 2015. Payment of such amount shall be in cash, shares (based on their Fair Market Value as of the date the SAR is exercised) or a combination of both, as determined by the Administrator.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10/22/2015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33084"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2019-12-23T21:39:45Z</dcterms:created>
  <dcterms:modified xsi:type="dcterms:W3CDTF">2019-12-23T21:39:45Z</dcterms:modified>
</cp:coreProperties>
</file>