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367665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February 20,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154940</wp:posOffset>
            </wp:positionV>
            <wp:extent cx="1475105"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510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LivaNova PLC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65"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22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England and Wales</w:t>
            </w:r>
          </w:p>
        </w:tc>
        <w:tc>
          <w:tcPr>
            <w:tcW w:w="54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001-37599</w:t>
            </w:r>
          </w:p>
        </w:tc>
        <w:tc>
          <w:tcPr>
            <w:tcW w:w="176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rPr>
              <w:t>98-1268150</w:t>
            </w:r>
          </w:p>
        </w:tc>
      </w:tr>
      <w:tr>
        <w:trPr>
          <w:trHeight w:val="216"/>
        </w:trPr>
        <w:tc>
          <w:tcPr>
            <w:tcW w:w="22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54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(Commission</w:t>
            </w:r>
          </w:p>
        </w:tc>
        <w:tc>
          <w:tcPr>
            <w:tcW w:w="17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2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of Incorporation)</w:t>
            </w:r>
          </w:p>
        </w:tc>
        <w:tc>
          <w:tcPr>
            <w:tcW w:w="54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File Number)</w:t>
            </w:r>
          </w:p>
        </w:tc>
        <w:tc>
          <w:tcPr>
            <w:tcW w:w="17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7"/>
        </w:trPr>
        <w:tc>
          <w:tcPr>
            <w:tcW w:w="2220" w:type="dxa"/>
            <w:vAlign w:val="bottom"/>
          </w:tcPr>
          <w:p>
            <w:pPr>
              <w:spacing w:after="0"/>
              <w:rPr>
                <w:sz w:val="24"/>
                <w:szCs w:val="24"/>
                <w:color w:val="auto"/>
              </w:rPr>
            </w:pPr>
          </w:p>
        </w:tc>
        <w:tc>
          <w:tcPr>
            <w:tcW w:w="54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 Eastbourne Terrace</w:t>
            </w:r>
          </w:p>
        </w:tc>
        <w:tc>
          <w:tcPr>
            <w:tcW w:w="1760" w:type="dxa"/>
            <w:vAlign w:val="bottom"/>
          </w:tcPr>
          <w:p>
            <w:pPr>
              <w:spacing w:after="0"/>
              <w:rPr>
                <w:sz w:val="24"/>
                <w:szCs w:val="24"/>
                <w:color w:val="auto"/>
              </w:rPr>
            </w:pPr>
          </w:p>
        </w:tc>
      </w:tr>
      <w:tr>
        <w:trPr>
          <w:trHeight w:val="216"/>
        </w:trPr>
        <w:tc>
          <w:tcPr>
            <w:tcW w:w="2220" w:type="dxa"/>
            <w:vAlign w:val="bottom"/>
          </w:tcPr>
          <w:p>
            <w:pPr>
              <w:spacing w:after="0"/>
              <w:rPr>
                <w:sz w:val="18"/>
                <w:szCs w:val="18"/>
                <w:color w:val="auto"/>
              </w:rPr>
            </w:pPr>
          </w:p>
        </w:tc>
        <w:tc>
          <w:tcPr>
            <w:tcW w:w="54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London, W2 6LG</w:t>
            </w:r>
          </w:p>
        </w:tc>
        <w:tc>
          <w:tcPr>
            <w:tcW w:w="1760" w:type="dxa"/>
            <w:vAlign w:val="bottom"/>
          </w:tcPr>
          <w:p>
            <w:pPr>
              <w:spacing w:after="0"/>
              <w:rPr>
                <w:sz w:val="18"/>
                <w:szCs w:val="18"/>
                <w:color w:val="auto"/>
              </w:rPr>
            </w:pPr>
          </w:p>
        </w:tc>
      </w:tr>
      <w:tr>
        <w:trPr>
          <w:trHeight w:val="220"/>
        </w:trPr>
        <w:tc>
          <w:tcPr>
            <w:tcW w:w="2220" w:type="dxa"/>
            <w:vAlign w:val="bottom"/>
          </w:tcPr>
          <w:p>
            <w:pPr>
              <w:spacing w:after="0"/>
              <w:rPr>
                <w:sz w:val="19"/>
                <w:szCs w:val="19"/>
                <w:color w:val="auto"/>
              </w:rPr>
            </w:pPr>
          </w:p>
        </w:tc>
        <w:tc>
          <w:tcPr>
            <w:tcW w:w="54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1760" w:type="dxa"/>
            <w:vAlign w:val="bottom"/>
          </w:tcPr>
          <w:p>
            <w:pPr>
              <w:spacing w:after="0"/>
              <w:rPr>
                <w:sz w:val="19"/>
                <w:szCs w:val="19"/>
                <w:color w:val="auto"/>
              </w:rPr>
            </w:pPr>
          </w:p>
        </w:tc>
      </w:tr>
      <w:tr>
        <w:trPr>
          <w:trHeight w:val="234"/>
        </w:trPr>
        <w:tc>
          <w:tcPr>
            <w:tcW w:w="2220" w:type="dxa"/>
            <w:vAlign w:val="bottom"/>
          </w:tcPr>
          <w:p>
            <w:pPr>
              <w:spacing w:after="0"/>
              <w:rPr>
                <w:sz w:val="20"/>
                <w:szCs w:val="20"/>
                <w:color w:val="auto"/>
              </w:rPr>
            </w:pPr>
          </w:p>
        </w:tc>
        <w:tc>
          <w:tcPr>
            <w:tcW w:w="54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760" w:type="dxa"/>
            <w:vAlign w:val="bottom"/>
          </w:tcPr>
          <w:p>
            <w:pPr>
              <w:spacing w:after="0"/>
              <w:rPr>
                <w:sz w:val="20"/>
                <w:szCs w:val="20"/>
                <w:color w:val="auto"/>
              </w:rPr>
            </w:pPr>
          </w:p>
        </w:tc>
      </w:tr>
      <w:tr>
        <w:trPr>
          <w:trHeight w:val="414"/>
        </w:trPr>
        <w:tc>
          <w:tcPr>
            <w:tcW w:w="2220" w:type="dxa"/>
            <w:vAlign w:val="bottom"/>
          </w:tcPr>
          <w:p>
            <w:pPr>
              <w:spacing w:after="0"/>
              <w:rPr>
                <w:sz w:val="24"/>
                <w:szCs w:val="24"/>
                <w:color w:val="auto"/>
              </w:rPr>
            </w:pPr>
          </w:p>
        </w:tc>
        <w:tc>
          <w:tcPr>
            <w:tcW w:w="54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+44 20 33250660</w:t>
            </w:r>
          </w:p>
        </w:tc>
        <w:tc>
          <w:tcPr>
            <w:tcW w:w="1760" w:type="dxa"/>
            <w:vAlign w:val="bottom"/>
          </w:tcPr>
          <w:p>
            <w:pPr>
              <w:spacing w:after="0"/>
              <w:rPr>
                <w:sz w:val="24"/>
                <w:szCs w:val="24"/>
                <w:color w:val="auto"/>
              </w:rPr>
            </w:pPr>
          </w:p>
        </w:tc>
      </w:tr>
      <w:tr>
        <w:trPr>
          <w:trHeight w:val="234"/>
        </w:trPr>
        <w:tc>
          <w:tcPr>
            <w:tcW w:w="2220" w:type="dxa"/>
            <w:vAlign w:val="bottom"/>
          </w:tcPr>
          <w:p>
            <w:pPr>
              <w:spacing w:after="0"/>
              <w:rPr>
                <w:sz w:val="20"/>
                <w:szCs w:val="20"/>
                <w:color w:val="auto"/>
              </w:rPr>
            </w:pPr>
          </w:p>
        </w:tc>
        <w:tc>
          <w:tcPr>
            <w:tcW w:w="54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760" w:type="dxa"/>
            <w:vAlign w:val="bottom"/>
          </w:tcPr>
          <w:p>
            <w:pPr>
              <w:spacing w:after="0"/>
              <w:rPr>
                <w:sz w:val="20"/>
                <w:szCs w:val="20"/>
                <w:color w:val="auto"/>
              </w:rPr>
            </w:pPr>
          </w:p>
        </w:tc>
      </w:tr>
      <w:tr>
        <w:trPr>
          <w:trHeight w:val="414"/>
        </w:trPr>
        <w:tc>
          <w:tcPr>
            <w:tcW w:w="2220" w:type="dxa"/>
            <w:vAlign w:val="bottom"/>
          </w:tcPr>
          <w:p>
            <w:pPr>
              <w:spacing w:after="0"/>
              <w:rPr>
                <w:sz w:val="24"/>
                <w:szCs w:val="24"/>
                <w:color w:val="auto"/>
              </w:rPr>
            </w:pPr>
          </w:p>
        </w:tc>
        <w:tc>
          <w:tcPr>
            <w:tcW w:w="54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6"/>
              </w:rPr>
              <w:t>N/A</w:t>
            </w:r>
          </w:p>
        </w:tc>
        <w:tc>
          <w:tcPr>
            <w:tcW w:w="1760" w:type="dxa"/>
            <w:vAlign w:val="bottom"/>
          </w:tcPr>
          <w:p>
            <w:pPr>
              <w:spacing w:after="0"/>
              <w:rPr>
                <w:sz w:val="24"/>
                <w:szCs w:val="24"/>
                <w:color w:val="auto"/>
              </w:rPr>
            </w:pPr>
          </w:p>
        </w:tc>
      </w:tr>
      <w:tr>
        <w:trPr>
          <w:trHeight w:val="234"/>
        </w:trPr>
        <w:tc>
          <w:tcPr>
            <w:tcW w:w="2220" w:type="dxa"/>
            <w:vAlign w:val="bottom"/>
          </w:tcPr>
          <w:p>
            <w:pPr>
              <w:spacing w:after="0"/>
              <w:rPr>
                <w:sz w:val="20"/>
                <w:szCs w:val="20"/>
                <w:color w:val="auto"/>
              </w:rPr>
            </w:pPr>
          </w:p>
        </w:tc>
        <w:tc>
          <w:tcPr>
            <w:tcW w:w="54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1760" w:type="dxa"/>
            <w:vAlign w:val="bottom"/>
          </w:tcPr>
          <w:p>
            <w:pPr>
              <w:spacing w:after="0"/>
              <w:rPr>
                <w:sz w:val="20"/>
                <w:szCs w:val="20"/>
                <w:color w:val="auto"/>
              </w:rPr>
            </w:pPr>
          </w:p>
        </w:tc>
      </w:tr>
    </w:tbl>
    <w:p>
      <w:pPr>
        <w:spacing w:after="0" w:line="198"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157"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 xml:space="preserve">o </w:t>
      </w:r>
      <w:r>
        <w:rPr>
          <w:rFonts w:ascii="Times New Roman" w:cs="Times New Roman" w:eastAsia="Times New Roman" w:hAnsi="Times New Roman"/>
          <w:sz w:val="18"/>
          <w:szCs w:val="18"/>
          <w:color w:val="auto"/>
        </w:rPr>
        <w:t>Written communications pursuant to Rule 425 under the Securities Act (17 CFR 230.425)</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 xml:space="preserve">o </w:t>
      </w:r>
      <w:r>
        <w:rPr>
          <w:rFonts w:ascii="Times New Roman" w:cs="Times New Roman" w:eastAsia="Times New Roman" w:hAnsi="Times New Roman"/>
          <w:sz w:val="18"/>
          <w:szCs w:val="18"/>
          <w:color w:val="auto"/>
        </w:rPr>
        <w:t>Soliciting material pursuant to Rule 14a-12 under the Exchange Act (17 CFR 240.14a-12)</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 xml:space="preserve">o </w:t>
      </w: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 xml:space="preserve">o </w:t>
      </w: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3" w:lineRule="exact"/>
        <w:rPr>
          <w:sz w:val="24"/>
          <w:szCs w:val="24"/>
          <w:color w:val="auto"/>
        </w:rPr>
      </w:pPr>
    </w:p>
    <w:p>
      <w:pPr>
        <w:ind w:left="7660"/>
        <w:spacing w:after="0"/>
        <w:tabs>
          <w:tab w:leader="none" w:pos="112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Times New Roman" w:cs="Times New Roman" w:eastAsia="Times New Roman" w:hAnsi="Times New Roman"/>
          <w:sz w:val="20"/>
          <w:szCs w:val="20"/>
          <w:color w:val="auto"/>
        </w:rPr>
        <w:t>o</w:t>
      </w:r>
    </w:p>
    <w:p>
      <w:pPr>
        <w:spacing w:after="0" w:line="24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03" w:lineRule="exact"/>
        <w:rPr>
          <w:sz w:val="24"/>
          <w:szCs w:val="24"/>
          <w:color w:val="auto"/>
        </w:rPr>
      </w:pPr>
    </w:p>
    <w:p>
      <w:pPr>
        <w:ind w:left="11260"/>
        <w:spacing w:after="0"/>
        <w:rPr>
          <w:sz w:val="20"/>
          <w:szCs w:val="20"/>
          <w:color w:val="auto"/>
        </w:rPr>
      </w:pPr>
      <w:r>
        <w:rPr>
          <w:rFonts w:ascii="Times New Roman" w:cs="Times New Roman" w:eastAsia="Times New Roman" w:hAnsi="Times New Roman"/>
          <w:sz w:val="20"/>
          <w:szCs w:val="20"/>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711" w:right="259" w:bottom="1440" w:gutter="0" w:footer="0" w:header="0"/>
        </w:sectPr>
      </w:pPr>
    </w:p>
    <w:bookmarkStart w:id="1" w:name="page2"/>
    <w:bookmarkEnd w:id="1"/>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Base Salary and Short Term Incentive Awards</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February 20, 2019, the Compensation Committee (the "Committee") of the Board of Directors of LivaNova Plc (the "Company") approved adjustments to the base salaries and short-term incentive percentages under the 2019 STIP for our executive officers. The adjusted base salaries and short-term incentive percentages of our named executive officers, described in the table below, will be effective April 1, 2019.</w:t>
      </w:r>
    </w:p>
    <w:p>
      <w:pPr>
        <w:spacing w:after="0" w:line="269"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2100" w:type="dxa"/>
            <w:vAlign w:val="bottom"/>
            <w:tcBorders>
              <w:top w:val="single" w:sz="8" w:color="auto"/>
              <w:left w:val="single" w:sz="8" w:color="auto"/>
              <w:right w:val="single" w:sz="8" w:color="auto"/>
            </w:tcBorders>
          </w:tcPr>
          <w:p>
            <w:pPr>
              <w:spacing w:after="0"/>
              <w:rPr>
                <w:sz w:val="23"/>
                <w:szCs w:val="23"/>
                <w:color w:val="auto"/>
              </w:rPr>
            </w:pPr>
          </w:p>
        </w:tc>
        <w:tc>
          <w:tcPr>
            <w:tcW w:w="1940" w:type="dxa"/>
            <w:vAlign w:val="bottom"/>
            <w:tcBorders>
              <w:top w:val="single" w:sz="8" w:color="auto"/>
              <w:right w:val="single" w:sz="8" w:color="auto"/>
            </w:tcBorders>
          </w:tcPr>
          <w:p>
            <w:pPr>
              <w:spacing w:after="0"/>
              <w:rPr>
                <w:sz w:val="23"/>
                <w:szCs w:val="23"/>
                <w:color w:val="auto"/>
              </w:rPr>
            </w:pPr>
          </w:p>
        </w:tc>
        <w:tc>
          <w:tcPr>
            <w:tcW w:w="24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2019 Base Salary</w:t>
            </w:r>
          </w:p>
        </w:tc>
        <w:tc>
          <w:tcPr>
            <w:tcW w:w="1700" w:type="dxa"/>
            <w:vAlign w:val="bottom"/>
            <w:tcBorders>
              <w:top w:val="single" w:sz="8" w:color="auto"/>
              <w:right w:val="single" w:sz="8" w:color="auto"/>
            </w:tcBorders>
          </w:tcPr>
          <w:p>
            <w:pPr>
              <w:spacing w:after="0"/>
              <w:rPr>
                <w:sz w:val="23"/>
                <w:szCs w:val="23"/>
                <w:color w:val="auto"/>
              </w:rPr>
            </w:pPr>
          </w:p>
        </w:tc>
        <w:tc>
          <w:tcPr>
            <w:tcW w:w="1700" w:type="dxa"/>
            <w:vAlign w:val="bottom"/>
            <w:tcBorders>
              <w:top w:val="single" w:sz="8" w:color="auto"/>
              <w:right w:val="single" w:sz="8" w:color="auto"/>
            </w:tcBorders>
          </w:tcPr>
          <w:p>
            <w:pPr>
              <w:spacing w:after="0"/>
              <w:rPr>
                <w:sz w:val="23"/>
                <w:szCs w:val="23"/>
                <w:color w:val="auto"/>
              </w:rPr>
            </w:pPr>
          </w:p>
        </w:tc>
        <w:tc>
          <w:tcPr>
            <w:tcW w:w="1600" w:type="dxa"/>
            <w:vAlign w:val="bottom"/>
            <w:tcBorders>
              <w:top w:val="single" w:sz="8" w:color="auto"/>
              <w:right w:val="single" w:sz="8" w:color="auto"/>
            </w:tcBorders>
          </w:tcPr>
          <w:p>
            <w:pPr>
              <w:spacing w:after="0"/>
              <w:rPr>
                <w:sz w:val="23"/>
                <w:szCs w:val="23"/>
                <w:color w:val="auto"/>
              </w:rPr>
            </w:pPr>
          </w:p>
        </w:tc>
      </w:tr>
      <w:tr>
        <w:trPr>
          <w:trHeight w:val="257"/>
        </w:trPr>
        <w:tc>
          <w:tcPr>
            <w:tcW w:w="2100" w:type="dxa"/>
            <w:vAlign w:val="bottom"/>
            <w:tcBorders>
              <w:left w:val="single" w:sz="8" w:color="auto"/>
              <w:right w:val="single" w:sz="8" w:color="auto"/>
            </w:tcBorders>
          </w:tcPr>
          <w:p>
            <w:pPr>
              <w:spacing w:after="0"/>
              <w:rPr>
                <w:sz w:val="22"/>
                <w:szCs w:val="22"/>
                <w:color w:val="auto"/>
              </w:rPr>
            </w:pP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Local Currency</w:t>
            </w: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(Local Currency)</w:t>
            </w:r>
          </w:p>
        </w:tc>
        <w:tc>
          <w:tcPr>
            <w:tcW w:w="17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Change from 2018</w:t>
            </w:r>
          </w:p>
        </w:tc>
        <w:tc>
          <w:tcPr>
            <w:tcW w:w="170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2019 STI</w:t>
            </w:r>
          </w:p>
        </w:tc>
        <w:tc>
          <w:tcPr>
            <w:tcW w:w="1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Change from 2018</w:t>
            </w:r>
          </w:p>
        </w:tc>
      </w:tr>
      <w:tr>
        <w:trPr>
          <w:trHeight w:val="27"/>
        </w:trPr>
        <w:tc>
          <w:tcPr>
            <w:tcW w:w="2100" w:type="dxa"/>
            <w:vAlign w:val="bottom"/>
            <w:tcBorders>
              <w:left w:val="single" w:sz="8" w:color="auto"/>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69"/>
        </w:trPr>
        <w:tc>
          <w:tcPr>
            <w:tcW w:w="2100" w:type="dxa"/>
            <w:vAlign w:val="bottom"/>
            <w:tcBorders>
              <w:left w:val="single" w:sz="8" w:color="auto"/>
              <w:bottom w:val="single" w:sz="8" w:color="D9D9D9"/>
              <w:right w:val="single" w:sz="8" w:color="auto"/>
            </w:tcBorders>
            <w:shd w:val="clear" w:color="auto" w:fill="D9D9D9"/>
          </w:tcPr>
          <w:p>
            <w:pPr>
              <w:ind w:left="40"/>
              <w:spacing w:after="0"/>
              <w:rPr>
                <w:sz w:val="20"/>
                <w:szCs w:val="20"/>
                <w:color w:val="auto"/>
              </w:rPr>
            </w:pPr>
            <w:r>
              <w:rPr>
                <w:rFonts w:ascii="Times New Roman" w:cs="Times New Roman" w:eastAsia="Times New Roman" w:hAnsi="Times New Roman"/>
                <w:sz w:val="18"/>
                <w:szCs w:val="18"/>
                <w:color w:val="auto"/>
              </w:rPr>
              <w:t>Mr. McDonald</w:t>
            </w:r>
          </w:p>
        </w:tc>
        <w:tc>
          <w:tcPr>
            <w:tcW w:w="194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c>
          <w:tcPr>
            <w:tcW w:w="240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731,500</w:t>
            </w:r>
          </w:p>
        </w:tc>
        <w:tc>
          <w:tcPr>
            <w:tcW w:w="170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70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125%</w:t>
            </w:r>
          </w:p>
        </w:tc>
        <w:tc>
          <w:tcPr>
            <w:tcW w:w="160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25%</w:t>
            </w:r>
          </w:p>
        </w:tc>
      </w:tr>
      <w:tr>
        <w:trPr>
          <w:trHeight w:val="237"/>
        </w:trPr>
        <w:tc>
          <w:tcPr>
            <w:tcW w:w="210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Mr. Huston</w:t>
            </w:r>
          </w:p>
        </w:tc>
        <w:tc>
          <w:tcPr>
            <w:tcW w:w="1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c>
          <w:tcPr>
            <w:tcW w:w="24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386,250</w:t>
            </w:r>
          </w:p>
        </w:tc>
        <w:tc>
          <w:tcPr>
            <w:tcW w:w="1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1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90%</w:t>
            </w:r>
          </w:p>
        </w:tc>
        <w:tc>
          <w:tcPr>
            <w:tcW w:w="16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27"/>
        </w:trPr>
        <w:tc>
          <w:tcPr>
            <w:tcW w:w="2100" w:type="dxa"/>
            <w:vAlign w:val="bottom"/>
            <w:tcBorders>
              <w:left w:val="single" w:sz="8" w:color="auto"/>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69"/>
        </w:trPr>
        <w:tc>
          <w:tcPr>
            <w:tcW w:w="2100" w:type="dxa"/>
            <w:vAlign w:val="bottom"/>
            <w:tcBorders>
              <w:left w:val="single" w:sz="8" w:color="auto"/>
              <w:bottom w:val="single" w:sz="8" w:color="D9D9D9"/>
              <w:right w:val="single" w:sz="8" w:color="auto"/>
            </w:tcBorders>
            <w:shd w:val="clear" w:color="auto" w:fill="D9D9D9"/>
          </w:tcPr>
          <w:p>
            <w:pPr>
              <w:ind w:left="40"/>
              <w:spacing w:after="0"/>
              <w:rPr>
                <w:sz w:val="20"/>
                <w:szCs w:val="20"/>
                <w:color w:val="auto"/>
              </w:rPr>
            </w:pPr>
            <w:r>
              <w:rPr>
                <w:rFonts w:ascii="Times New Roman" w:cs="Times New Roman" w:eastAsia="Times New Roman" w:hAnsi="Times New Roman"/>
                <w:sz w:val="18"/>
                <w:szCs w:val="18"/>
                <w:color w:val="auto"/>
              </w:rPr>
              <w:t>Mr. Manko</w:t>
            </w:r>
          </w:p>
        </w:tc>
        <w:tc>
          <w:tcPr>
            <w:tcW w:w="194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USD</w:t>
            </w:r>
          </w:p>
        </w:tc>
        <w:tc>
          <w:tcPr>
            <w:tcW w:w="240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322,379</w:t>
            </w:r>
          </w:p>
        </w:tc>
        <w:tc>
          <w:tcPr>
            <w:tcW w:w="170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170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6"/>
              </w:rPr>
              <w:t>40%</w:t>
            </w:r>
          </w:p>
        </w:tc>
        <w:tc>
          <w:tcPr>
            <w:tcW w:w="160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237"/>
        </w:trPr>
        <w:tc>
          <w:tcPr>
            <w:tcW w:w="210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 Skeffington</w:t>
            </w:r>
          </w:p>
        </w:tc>
        <w:tc>
          <w:tcPr>
            <w:tcW w:w="1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c>
          <w:tcPr>
            <w:tcW w:w="24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340,000</w:t>
            </w:r>
          </w:p>
        </w:tc>
        <w:tc>
          <w:tcPr>
            <w:tcW w:w="1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1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70%</w:t>
            </w:r>
          </w:p>
        </w:tc>
        <w:tc>
          <w:tcPr>
            <w:tcW w:w="16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2100" w:type="dxa"/>
            <w:vAlign w:val="bottom"/>
            <w:tcBorders>
              <w:left w:val="single" w:sz="8" w:color="auto"/>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64"/>
        </w:trPr>
        <w:tc>
          <w:tcPr>
            <w:tcW w:w="2100" w:type="dxa"/>
            <w:vAlign w:val="bottom"/>
            <w:tcBorders>
              <w:left w:val="single" w:sz="8" w:color="auto"/>
              <w:bottom w:val="single" w:sz="8" w:color="auto"/>
              <w:right w:val="single" w:sz="8" w:color="auto"/>
            </w:tcBorders>
            <w:shd w:val="clear" w:color="auto" w:fill="D9D9D9"/>
          </w:tcPr>
          <w:p>
            <w:pPr>
              <w:ind w:left="40"/>
              <w:spacing w:after="0"/>
              <w:rPr>
                <w:sz w:val="20"/>
                <w:szCs w:val="20"/>
                <w:color w:val="auto"/>
              </w:rPr>
            </w:pPr>
            <w:r>
              <w:rPr>
                <w:rFonts w:ascii="Times New Roman" w:cs="Times New Roman" w:eastAsia="Times New Roman" w:hAnsi="Times New Roman"/>
                <w:sz w:val="18"/>
                <w:szCs w:val="18"/>
                <w:color w:val="auto"/>
              </w:rPr>
              <w:t>Mr. Wise</w:t>
            </w:r>
          </w:p>
        </w:tc>
        <w:tc>
          <w:tcPr>
            <w:tcW w:w="19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USD</w:t>
            </w:r>
          </w:p>
        </w:tc>
        <w:tc>
          <w:tcPr>
            <w:tcW w:w="2400" w:type="dxa"/>
            <w:vAlign w:val="bottom"/>
            <w:tcBorders>
              <w:bottom w:val="single" w:sz="8" w:color="auto"/>
              <w:right w:val="single" w:sz="8" w:color="auto"/>
            </w:tcBorders>
            <w:shd w:val="clear" w:color="auto" w:fill="D9D9D9"/>
          </w:tcPr>
          <w:p>
            <w:pPr>
              <w:ind w:left="118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right w:val="single" w:sz="8" w:color="auto"/>
            </w:tcBorders>
            <w:shd w:val="clear" w:color="auto" w:fill="D9D9D9"/>
          </w:tcPr>
          <w:p>
            <w:pPr>
              <w:ind w:left="84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16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7"/>
              </w:rPr>
              <w:t>-29%</w:t>
            </w:r>
          </w:p>
        </w:tc>
      </w:tr>
    </w:tbl>
    <w:p>
      <w:pPr>
        <w:spacing w:after="0" w:line="198" w:lineRule="exact"/>
        <w:rPr>
          <w:sz w:val="20"/>
          <w:szCs w:val="20"/>
          <w:color w:val="auto"/>
        </w:rPr>
      </w:pPr>
    </w:p>
    <w:p>
      <w:pPr>
        <w:ind w:right="20"/>
        <w:spacing w:after="0" w:line="212" w:lineRule="auto"/>
        <w:rPr>
          <w:sz w:val="20"/>
          <w:szCs w:val="20"/>
          <w:color w:val="auto"/>
        </w:rPr>
      </w:pPr>
      <w:r>
        <w:rPr>
          <w:rFonts w:ascii="Times New Roman" w:cs="Times New Roman" w:eastAsia="Times New Roman" w:hAnsi="Times New Roman"/>
          <w:sz w:val="18"/>
          <w:szCs w:val="18"/>
          <w:color w:val="auto"/>
        </w:rPr>
        <w:t>In benchmarking data provided by the Committee's independent consultant, Pearl Meyer &amp; Partners, LLC, Mr. McDonald's target total cash ranked at the 69</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percentile based on U.S. benchmarking data. Pearl Meyer did not provide U.K. benchmarking data due to its limited availability. Mr. Huston's target total cash ranked above the 75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percentile in the U.S. data. Ms. Skeffington’s total target cash ranked at the 51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8"/>
          <w:szCs w:val="18"/>
          <w:color w:val="auto"/>
        </w:rPr>
        <w:t xml:space="preserve"> percentile in the U.S. data. The Committee used data from the Radford Global Technology Survey to benchmark Mr. Manko’s total target cash at approximately the 60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percentile. The Committee did not benchmark Mr. Wise’s compensation or approve a revision to his base salary, because he ended his service as an executive officer on December 31, 2018 and is transitioning to a new role as Senior Advisor at a reduced compensation.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LivaNova 2019 Short-Term Incentive Plan</w:t>
      </w:r>
    </w:p>
    <w:p>
      <w:pPr>
        <w:spacing w:after="0" w:line="2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On February 21, 2019, the Committee approved the Company's 2019 annual short-term incentive plan (the "2019 STIP"). The 2019 STIP is described in Exhibit 10.1, which is attached hereto and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7"/>
          <w:szCs w:val="17"/>
          <w:color w:val="auto"/>
        </w:rPr>
        <w:t>Exhibits.</w:t>
      </w:r>
    </w:p>
    <w:p>
      <w:pPr>
        <w:spacing w:after="0" w:line="383" w:lineRule="exact"/>
        <w:rPr>
          <w:sz w:val="20"/>
          <w:szCs w:val="20"/>
          <w:color w:val="auto"/>
        </w:rPr>
      </w:pPr>
    </w:p>
    <w:p>
      <w:pPr>
        <w:ind w:left="40"/>
        <w:spacing w:after="0"/>
        <w:tabs>
          <w:tab w:leader="none" w:pos="1500" w:val="left"/>
        </w:tabs>
        <w:rPr>
          <w:sz w:val="20"/>
          <w:szCs w:val="20"/>
          <w:color w:val="auto"/>
        </w:rPr>
      </w:pPr>
      <w:r>
        <w:rPr>
          <w:rFonts w:ascii="Times New Roman" w:cs="Times New Roman" w:eastAsia="Times New Roman" w:hAnsi="Times New Roman"/>
          <w:sz w:val="18"/>
          <w:szCs w:val="18"/>
          <w:b w:val="1"/>
          <w:bCs w:val="1"/>
          <w:u w:val="single" w:color="auto"/>
          <w:color w:val="auto"/>
        </w:rPr>
        <w:t>Exhibit</w:t>
      </w:r>
      <w:r>
        <w:rPr>
          <w:sz w:val="20"/>
          <w:szCs w:val="20"/>
          <w:color w:val="auto"/>
        </w:rPr>
        <w:tab/>
      </w:r>
      <w:r>
        <w:rPr>
          <w:rFonts w:ascii="Times New Roman" w:cs="Times New Roman" w:eastAsia="Times New Roman" w:hAnsi="Times New Roman"/>
          <w:sz w:val="18"/>
          <w:szCs w:val="18"/>
          <w:b w:val="1"/>
          <w:bCs w:val="1"/>
          <w:u w:val="single" w:color="auto"/>
          <w:color w:val="auto"/>
        </w:rPr>
        <w:t>Description</w:t>
      </w:r>
    </w:p>
    <w:p>
      <w:pPr>
        <w:spacing w:after="0" w:line="364" w:lineRule="exact"/>
        <w:rPr>
          <w:sz w:val="20"/>
          <w:szCs w:val="20"/>
          <w:color w:val="auto"/>
        </w:rPr>
      </w:pPr>
    </w:p>
    <w:p>
      <w:pPr>
        <w:ind w:left="40"/>
        <w:spacing w:after="0"/>
        <w:tabs>
          <w:tab w:leader="none" w:pos="15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w:t>
      </w:r>
      <w:r>
        <w:rPr>
          <w:sz w:val="20"/>
          <w:szCs w:val="20"/>
          <w:color w:val="auto"/>
        </w:rPr>
        <w:tab/>
      </w:r>
      <w:hyperlink w:anchor="page4">
        <w:r>
          <w:rPr>
            <w:rFonts w:ascii="Times New Roman" w:cs="Times New Roman" w:eastAsia="Times New Roman" w:hAnsi="Times New Roman"/>
            <w:sz w:val="17"/>
            <w:szCs w:val="17"/>
            <w:u w:val="single" w:color="auto"/>
            <w:color w:val="0000FF"/>
          </w:rPr>
          <w:t>2019 LivaNova Short-Term Incentive Plan</w:t>
        </w:r>
      </w:hyperlink>
    </w:p>
    <w:p>
      <w:pPr>
        <w:spacing w:after="0" w:line="200" w:lineRule="exact"/>
        <w:rPr>
          <w:sz w:val="20"/>
          <w:szCs w:val="20"/>
          <w:color w:val="auto"/>
        </w:rPr>
      </w:pPr>
    </w:p>
    <w:p>
      <w:pPr>
        <w:spacing w:after="0" w:line="3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- 2 -</w:t>
      </w:r>
    </w:p>
    <w:p>
      <w:pPr>
        <w:sectPr>
          <w:pgSz w:w="11900" w:h="16838" w:orient="portrait"/>
          <w:cols w:equalWidth="0" w:num="1">
            <w:col w:w="11440"/>
          </w:cols>
          <w:pgMar w:left="240" w:top="360" w:right="219" w:bottom="1440" w:gutter="0" w:footer="0" w:header="0"/>
        </w:sectPr>
      </w:pPr>
    </w:p>
    <w:bookmarkStart w:id="2" w:name="page3"/>
    <w:bookmarkEnd w:id="2"/>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2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LivaNova PLC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5720" w:val="left"/>
        </w:tabs>
        <w:rPr>
          <w:sz w:val="20"/>
          <w:szCs w:val="20"/>
          <w:color w:val="auto"/>
        </w:rPr>
      </w:pPr>
      <w:r>
        <w:rPr>
          <w:rFonts w:ascii="Times New Roman" w:cs="Times New Roman" w:eastAsia="Times New Roman" w:hAnsi="Times New Roman"/>
          <w:sz w:val="18"/>
          <w:szCs w:val="18"/>
          <w:color w:val="auto"/>
        </w:rPr>
        <w:t>Date: February 26, 2019</w:t>
      </w:r>
      <w:r>
        <w:rPr>
          <w:sz w:val="20"/>
          <w:szCs w:val="20"/>
          <w:color w:val="auto"/>
        </w:rPr>
        <w:tab/>
      </w:r>
      <w:r>
        <w:rPr>
          <w:rFonts w:ascii="Times New Roman" w:cs="Times New Roman" w:eastAsia="Times New Roman" w:hAnsi="Times New Roman"/>
          <w:sz w:val="17"/>
          <w:szCs w:val="17"/>
          <w:color w:val="auto"/>
        </w:rPr>
        <w:t>By:</w:t>
      </w:r>
      <w:r>
        <w:rPr>
          <w:rFonts w:ascii="Times New Roman" w:cs="Times New Roman" w:eastAsia="Times New Roman" w:hAnsi="Times New Roman"/>
          <w:sz w:val="17"/>
          <w:szCs w:val="17"/>
          <w:u w:val="single" w:color="auto"/>
          <w:color w:val="auto"/>
        </w:rPr>
        <w:t>/s/ Catherine Moroz</w:t>
      </w:r>
    </w:p>
    <w:p>
      <w:pPr>
        <w:spacing w:after="0" w:line="6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Catherine Moroz</w:t>
      </w:r>
    </w:p>
    <w:p>
      <w:pPr>
        <w:spacing w:after="0" w:line="6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Company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0"/>
          <w:szCs w:val="20"/>
          <w:color w:val="auto"/>
        </w:rPr>
        <w:t>- 3 -</w:t>
      </w:r>
    </w:p>
    <w:p>
      <w:pPr>
        <w:sectPr>
          <w:pgSz w:w="11900" w:h="16838" w:orient="portrait"/>
          <w:cols w:equalWidth="0" w:num="1">
            <w:col w:w="11000"/>
          </w:cols>
          <w:pgMar w:left="240" w:top="360" w:right="659" w:bottom="1440" w:gutter="0" w:footer="0" w:header="0"/>
        </w:sectPr>
      </w:pPr>
    </w:p>
    <w:bookmarkStart w:id="3" w:name="page4"/>
    <w:bookmarkEnd w:id="3"/>
    <w:p>
      <w:pPr>
        <w:jc w:val="right"/>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Exhibit 10.1</w:t>
        </w:r>
      </w:hyperlink>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2019 LivaNova Short-Term Incentive Plan</w:t>
      </w:r>
    </w:p>
    <w:p>
      <w:pPr>
        <w:spacing w:after="0" w:line="39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February 21, 2019, the Compensation Committee (the "Committee") of the Board of Directors of LivaNova Plc approved our 2019 annual short-term incentive plan (the "2019 STIP") for our executive officers. Our chief executive officer, Damien McDonald, and chief financial officer, Thad Huston, as well as our other executive officers, are eligible to participate in the 2019 STIP.</w:t>
      </w:r>
    </w:p>
    <w:p>
      <w:pPr>
        <w:spacing w:after="0" w:line="176"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Under the 2019 STIP, each participant is eligible to receive a target bonus amount calculated as a percentage of base salary, as specified in the participants' employment agreements, copies of which are on file with the Securities and Exchange Commission, or as determined by the Committee. The current target bonus percentage for each of the participants is as follows:</w:t>
      </w:r>
    </w:p>
    <w:p>
      <w:pPr>
        <w:spacing w:after="0" w:line="334" w:lineRule="exact"/>
        <w:rPr>
          <w:sz w:val="20"/>
          <w:szCs w:val="20"/>
          <w:color w:val="auto"/>
        </w:rPr>
      </w:pPr>
    </w:p>
    <w:tbl>
      <w:tblPr>
        <w:tblLayout w:type="fixed"/>
        <w:tblInd w:w="2440" w:type="dxa"/>
        <w:tblCellMar>
          <w:top w:w="0" w:type="dxa"/>
          <w:left w:w="0" w:type="dxa"/>
          <w:bottom w:w="0" w:type="dxa"/>
          <w:right w:w="0" w:type="dxa"/>
        </w:tblCellMar>
      </w:tblPr>
      <w:tr>
        <w:trPr>
          <w:trHeight w:val="238"/>
        </w:trPr>
        <w:tc>
          <w:tcPr>
            <w:tcW w:w="2000" w:type="dxa"/>
            <w:vAlign w:val="bottom"/>
          </w:tcPr>
          <w:p>
            <w:pPr>
              <w:spacing w:after="0"/>
              <w:rPr>
                <w:sz w:val="20"/>
                <w:szCs w:val="20"/>
                <w:color w:val="auto"/>
              </w:rPr>
            </w:pPr>
          </w:p>
        </w:tc>
        <w:tc>
          <w:tcPr>
            <w:tcW w:w="454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Target Bonus Percentage of Base Salary</w:t>
            </w:r>
          </w:p>
        </w:tc>
      </w:tr>
      <w:tr>
        <w:trPr>
          <w:trHeight w:val="27"/>
        </w:trPr>
        <w:tc>
          <w:tcPr>
            <w:tcW w:w="2000" w:type="dxa"/>
            <w:vAlign w:val="bottom"/>
            <w:tcBorders>
              <w:bottom w:val="single" w:sz="8" w:color="auto"/>
            </w:tcBorders>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r>
      <w:tr>
        <w:trPr>
          <w:trHeight w:val="269"/>
        </w:trPr>
        <w:tc>
          <w:tcPr>
            <w:tcW w:w="2000" w:type="dxa"/>
            <w:vAlign w:val="bottom"/>
            <w:tcBorders>
              <w:bottom w:val="single" w:sz="8" w:color="D9D9D9"/>
            </w:tcBorders>
            <w:shd w:val="clear" w:color="auto" w:fill="D9D9D9"/>
          </w:tcPr>
          <w:p>
            <w:pPr>
              <w:ind w:left="20"/>
              <w:spacing w:after="0"/>
              <w:rPr>
                <w:sz w:val="20"/>
                <w:szCs w:val="20"/>
                <w:color w:val="auto"/>
              </w:rPr>
            </w:pPr>
            <w:r>
              <w:rPr>
                <w:rFonts w:ascii="Times New Roman" w:cs="Times New Roman" w:eastAsia="Times New Roman" w:hAnsi="Times New Roman"/>
                <w:sz w:val="18"/>
                <w:szCs w:val="18"/>
                <w:color w:val="auto"/>
              </w:rPr>
              <w:t>Mr. McDonald</w:t>
            </w:r>
          </w:p>
        </w:tc>
        <w:tc>
          <w:tcPr>
            <w:tcW w:w="4540" w:type="dxa"/>
            <w:vAlign w:val="bottom"/>
            <w:tcBorders>
              <w:bottom w:val="single" w:sz="8" w:color="D9D9D9"/>
            </w:tcBorders>
            <w:shd w:val="clear" w:color="auto" w:fill="D9D9D9"/>
          </w:tcPr>
          <w:p>
            <w:pPr>
              <w:jc w:val="center"/>
              <w:ind w:left="30"/>
              <w:spacing w:after="0"/>
              <w:rPr>
                <w:sz w:val="20"/>
                <w:szCs w:val="20"/>
                <w:color w:val="auto"/>
              </w:rPr>
            </w:pPr>
            <w:r>
              <w:rPr>
                <w:rFonts w:ascii="Times New Roman" w:cs="Times New Roman" w:eastAsia="Times New Roman" w:hAnsi="Times New Roman"/>
                <w:sz w:val="18"/>
                <w:szCs w:val="18"/>
                <w:color w:val="auto"/>
                <w:w w:val="99"/>
              </w:rPr>
              <w:t>125%</w:t>
            </w:r>
          </w:p>
        </w:tc>
      </w:tr>
      <w:tr>
        <w:trPr>
          <w:trHeight w:val="237"/>
        </w:trPr>
        <w:tc>
          <w:tcPr>
            <w:tcW w:w="2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Mr. Huston</w:t>
            </w:r>
          </w:p>
        </w:tc>
        <w:tc>
          <w:tcPr>
            <w:tcW w:w="4540" w:type="dxa"/>
            <w:vAlign w:val="bottom"/>
            <w:tcBorders>
              <w:top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90%</w:t>
            </w:r>
          </w:p>
        </w:tc>
      </w:tr>
      <w:tr>
        <w:trPr>
          <w:trHeight w:val="27"/>
        </w:trPr>
        <w:tc>
          <w:tcPr>
            <w:tcW w:w="2000" w:type="dxa"/>
            <w:vAlign w:val="bottom"/>
            <w:tcBorders>
              <w:bottom w:val="single" w:sz="8" w:color="auto"/>
            </w:tcBorders>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r>
      <w:tr>
        <w:trPr>
          <w:trHeight w:val="269"/>
        </w:trPr>
        <w:tc>
          <w:tcPr>
            <w:tcW w:w="2000" w:type="dxa"/>
            <w:vAlign w:val="bottom"/>
            <w:tcBorders>
              <w:bottom w:val="single" w:sz="8" w:color="D9D9D9"/>
            </w:tcBorders>
            <w:shd w:val="clear" w:color="auto" w:fill="D9D9D9"/>
          </w:tcPr>
          <w:p>
            <w:pPr>
              <w:ind w:left="20"/>
              <w:spacing w:after="0"/>
              <w:rPr>
                <w:sz w:val="20"/>
                <w:szCs w:val="20"/>
                <w:color w:val="auto"/>
              </w:rPr>
            </w:pPr>
            <w:r>
              <w:rPr>
                <w:rFonts w:ascii="Times New Roman" w:cs="Times New Roman" w:eastAsia="Times New Roman" w:hAnsi="Times New Roman"/>
                <w:sz w:val="18"/>
                <w:szCs w:val="18"/>
                <w:color w:val="auto"/>
              </w:rPr>
              <w:t>Mr. Manko</w:t>
            </w:r>
          </w:p>
        </w:tc>
        <w:tc>
          <w:tcPr>
            <w:tcW w:w="4540" w:type="dxa"/>
            <w:vAlign w:val="bottom"/>
            <w:tcBorders>
              <w:bottom w:val="single" w:sz="8" w:color="D9D9D9"/>
            </w:tcBorders>
            <w:shd w:val="clear" w:color="auto" w:fill="D9D9D9"/>
          </w:tcPr>
          <w:p>
            <w:pPr>
              <w:jc w:val="center"/>
              <w:ind w:left="30"/>
              <w:spacing w:after="0"/>
              <w:rPr>
                <w:sz w:val="20"/>
                <w:szCs w:val="20"/>
                <w:color w:val="auto"/>
              </w:rPr>
            </w:pPr>
            <w:r>
              <w:rPr>
                <w:rFonts w:ascii="Times New Roman" w:cs="Times New Roman" w:eastAsia="Times New Roman" w:hAnsi="Times New Roman"/>
                <w:sz w:val="18"/>
                <w:szCs w:val="18"/>
                <w:color w:val="auto"/>
              </w:rPr>
              <w:t>40%</w:t>
            </w:r>
          </w:p>
        </w:tc>
      </w:tr>
      <w:tr>
        <w:trPr>
          <w:trHeight w:val="237"/>
        </w:trPr>
        <w:tc>
          <w:tcPr>
            <w:tcW w:w="2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Ms. Skeffington</w:t>
            </w:r>
          </w:p>
        </w:tc>
        <w:tc>
          <w:tcPr>
            <w:tcW w:w="4540" w:type="dxa"/>
            <w:vAlign w:val="bottom"/>
            <w:tcBorders>
              <w:top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70%</w:t>
            </w:r>
          </w:p>
        </w:tc>
      </w:tr>
      <w:tr>
        <w:trPr>
          <w:trHeight w:val="27"/>
        </w:trPr>
        <w:tc>
          <w:tcPr>
            <w:tcW w:w="2000" w:type="dxa"/>
            <w:vAlign w:val="bottom"/>
            <w:tcBorders>
              <w:bottom w:val="single" w:sz="8" w:color="auto"/>
            </w:tcBorders>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r>
      <w:tr>
        <w:trPr>
          <w:trHeight w:val="244"/>
        </w:trPr>
        <w:tc>
          <w:tcPr>
            <w:tcW w:w="2000" w:type="dxa"/>
            <w:vAlign w:val="bottom"/>
            <w:tcBorders>
              <w:bottom w:val="single" w:sz="8" w:color="D9D9D9"/>
            </w:tcBorders>
            <w:shd w:val="clear" w:color="auto" w:fill="D9D9D9"/>
          </w:tcPr>
          <w:p>
            <w:pPr>
              <w:ind w:left="20"/>
              <w:spacing w:after="0"/>
              <w:rPr>
                <w:sz w:val="20"/>
                <w:szCs w:val="20"/>
                <w:color w:val="auto"/>
              </w:rPr>
            </w:pPr>
            <w:r>
              <w:rPr>
                <w:rFonts w:ascii="Times New Roman" w:cs="Times New Roman" w:eastAsia="Times New Roman" w:hAnsi="Times New Roman"/>
                <w:sz w:val="18"/>
                <w:szCs w:val="18"/>
                <w:color w:val="auto"/>
              </w:rPr>
              <w:t>Mr. Wise</w:t>
            </w:r>
          </w:p>
        </w:tc>
        <w:tc>
          <w:tcPr>
            <w:tcW w:w="4540" w:type="dxa"/>
            <w:vAlign w:val="bottom"/>
            <w:tcBorders>
              <w:bottom w:val="single" w:sz="8" w:color="D9D9D9"/>
            </w:tcBorders>
            <w:shd w:val="clear" w:color="auto" w:fill="D9D9D9"/>
          </w:tcPr>
          <w:p>
            <w:pPr>
              <w:jc w:val="center"/>
              <w:ind w:left="30"/>
              <w:spacing w:after="0"/>
              <w:rPr>
                <w:sz w:val="20"/>
                <w:szCs w:val="20"/>
                <w:color w:val="auto"/>
              </w:rPr>
            </w:pPr>
            <w:r>
              <w:rPr>
                <w:rFonts w:ascii="Times New Roman" w:cs="Times New Roman" w:eastAsia="Times New Roman" w:hAnsi="Times New Roman"/>
                <w:sz w:val="18"/>
                <w:szCs w:val="18"/>
                <w:color w:val="auto"/>
              </w:rPr>
              <w:t>50%</w:t>
            </w:r>
          </w:p>
        </w:tc>
      </w:tr>
      <w:tr>
        <w:trPr>
          <w:trHeight w:val="20"/>
        </w:trPr>
        <w:tc>
          <w:tcPr>
            <w:tcW w:w="2000" w:type="dxa"/>
            <w:vAlign w:val="bottom"/>
            <w:shd w:val="clear" w:color="auto" w:fill="000000"/>
          </w:tcPr>
          <w:p>
            <w:pPr>
              <w:spacing w:after="0" w:line="20" w:lineRule="exact"/>
              <w:rPr>
                <w:sz w:val="1"/>
                <w:szCs w:val="1"/>
                <w:color w:val="auto"/>
              </w:rPr>
            </w:pPr>
          </w:p>
        </w:tc>
        <w:tc>
          <w:tcPr>
            <w:tcW w:w="454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of the target bonus amount is conditioned on achievement of certain financial and non-financial objectives, as described below.</w:t>
      </w:r>
    </w:p>
    <w:p>
      <w:pPr>
        <w:spacing w:after="0" w:line="383" w:lineRule="exact"/>
        <w:rPr>
          <w:sz w:val="20"/>
          <w:szCs w:val="20"/>
          <w:color w:val="auto"/>
        </w:rPr>
      </w:pPr>
    </w:p>
    <w:tbl>
      <w:tblPr>
        <w:tblLayout w:type="fixed"/>
        <w:tblInd w:w="2960" w:type="dxa"/>
        <w:tblCellMar>
          <w:top w:w="0" w:type="dxa"/>
          <w:left w:w="0" w:type="dxa"/>
          <w:bottom w:w="0" w:type="dxa"/>
          <w:right w:w="0" w:type="dxa"/>
        </w:tblCellMar>
      </w:tblPr>
      <w:tr>
        <w:trPr>
          <w:trHeight w:val="238"/>
        </w:trPr>
        <w:tc>
          <w:tcPr>
            <w:tcW w:w="1800" w:type="dxa"/>
            <w:vAlign w:val="bottom"/>
          </w:tcPr>
          <w:p>
            <w:pPr>
              <w:spacing w:after="0"/>
              <w:rPr>
                <w:sz w:val="20"/>
                <w:szCs w:val="20"/>
                <w:color w:val="auto"/>
              </w:rPr>
            </w:pPr>
          </w:p>
        </w:tc>
        <w:tc>
          <w:tcPr>
            <w:tcW w:w="372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rPr>
              <w:t>Financial Objectives</w:t>
            </w:r>
          </w:p>
        </w:tc>
      </w:tr>
      <w:tr>
        <w:trPr>
          <w:trHeight w:val="27"/>
        </w:trPr>
        <w:tc>
          <w:tcPr>
            <w:tcW w:w="18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37"/>
        </w:trPr>
        <w:tc>
          <w:tcPr>
            <w:tcW w:w="1800" w:type="dxa"/>
            <w:vAlign w:val="bottom"/>
          </w:tcPr>
          <w:p>
            <w:pPr>
              <w:spacing w:after="0"/>
              <w:rPr>
                <w:sz w:val="20"/>
                <w:szCs w:val="20"/>
                <w:color w:val="auto"/>
              </w:rPr>
            </w:pPr>
          </w:p>
        </w:tc>
        <w:tc>
          <w:tcPr>
            <w:tcW w:w="16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Net Sales</w:t>
            </w:r>
          </w:p>
        </w:tc>
        <w:tc>
          <w:tcPr>
            <w:tcW w:w="20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Adjusted Net Income</w:t>
            </w:r>
          </w:p>
        </w:tc>
      </w:tr>
      <w:tr>
        <w:trPr>
          <w:trHeight w:val="27"/>
        </w:trPr>
        <w:tc>
          <w:tcPr>
            <w:tcW w:w="18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69"/>
        </w:trPr>
        <w:tc>
          <w:tcPr>
            <w:tcW w:w="1800" w:type="dxa"/>
            <w:vAlign w:val="bottom"/>
            <w:tcBorders>
              <w:bottom w:val="single" w:sz="8" w:color="D9D9D9"/>
            </w:tcBorders>
            <w:shd w:val="clear" w:color="auto" w:fill="D9D9D9"/>
          </w:tcPr>
          <w:p>
            <w:pPr>
              <w:ind w:left="20"/>
              <w:spacing w:after="0"/>
              <w:rPr>
                <w:sz w:val="20"/>
                <w:szCs w:val="20"/>
                <w:color w:val="auto"/>
              </w:rPr>
            </w:pPr>
            <w:r>
              <w:rPr>
                <w:rFonts w:ascii="Times New Roman" w:cs="Times New Roman" w:eastAsia="Times New Roman" w:hAnsi="Times New Roman"/>
                <w:sz w:val="18"/>
                <w:szCs w:val="18"/>
                <w:color w:val="auto"/>
              </w:rPr>
              <w:t>Mr. McDonald</w:t>
            </w:r>
          </w:p>
        </w:tc>
        <w:tc>
          <w:tcPr>
            <w:tcW w:w="1640" w:type="dxa"/>
            <w:vAlign w:val="bottom"/>
            <w:tcBorders>
              <w:bottom w:val="single" w:sz="8" w:color="D9D9D9"/>
            </w:tcBorders>
            <w:shd w:val="clear" w:color="auto" w:fill="D9D9D9"/>
          </w:tcPr>
          <w:p>
            <w:pPr>
              <w:jc w:val="center"/>
              <w:ind w:left="190"/>
              <w:spacing w:after="0"/>
              <w:rPr>
                <w:sz w:val="20"/>
                <w:szCs w:val="20"/>
                <w:color w:val="auto"/>
              </w:rPr>
            </w:pPr>
            <w:r>
              <w:rPr>
                <w:rFonts w:ascii="Times New Roman" w:cs="Times New Roman" w:eastAsia="Times New Roman" w:hAnsi="Times New Roman"/>
                <w:sz w:val="18"/>
                <w:szCs w:val="18"/>
                <w:color w:val="auto"/>
                <w:w w:val="96"/>
              </w:rPr>
              <w:t>45%</w:t>
            </w:r>
          </w:p>
        </w:tc>
        <w:tc>
          <w:tcPr>
            <w:tcW w:w="2080" w:type="dxa"/>
            <w:vAlign w:val="bottom"/>
            <w:tcBorders>
              <w:bottom w:val="single" w:sz="8" w:color="D9D9D9"/>
            </w:tcBorders>
            <w:shd w:val="clear" w:color="auto" w:fill="D9D9D9"/>
          </w:tcPr>
          <w:p>
            <w:pPr>
              <w:jc w:val="center"/>
              <w:ind w:left="50"/>
              <w:spacing w:after="0"/>
              <w:rPr>
                <w:sz w:val="20"/>
                <w:szCs w:val="20"/>
                <w:color w:val="auto"/>
              </w:rPr>
            </w:pPr>
            <w:r>
              <w:rPr>
                <w:rFonts w:ascii="Times New Roman" w:cs="Times New Roman" w:eastAsia="Times New Roman" w:hAnsi="Times New Roman"/>
                <w:sz w:val="18"/>
                <w:szCs w:val="18"/>
                <w:color w:val="auto"/>
              </w:rPr>
              <w:t>30%</w:t>
            </w:r>
          </w:p>
        </w:tc>
      </w:tr>
      <w:tr>
        <w:trPr>
          <w:trHeight w:val="237"/>
        </w:trPr>
        <w:tc>
          <w:tcPr>
            <w:tcW w:w="18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Mr. Huston</w:t>
            </w:r>
          </w:p>
        </w:tc>
        <w:tc>
          <w:tcPr>
            <w:tcW w:w="1640" w:type="dxa"/>
            <w:vAlign w:val="bottom"/>
            <w:tcBorders>
              <w:top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color w:val="auto"/>
                <w:w w:val="96"/>
              </w:rPr>
              <w:t>35%</w:t>
            </w:r>
          </w:p>
        </w:tc>
        <w:tc>
          <w:tcPr>
            <w:tcW w:w="2080" w:type="dxa"/>
            <w:vAlign w:val="bottom"/>
            <w:tcBorders>
              <w:top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25%</w:t>
            </w:r>
          </w:p>
        </w:tc>
      </w:tr>
      <w:tr>
        <w:trPr>
          <w:trHeight w:val="27"/>
        </w:trPr>
        <w:tc>
          <w:tcPr>
            <w:tcW w:w="18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69"/>
        </w:trPr>
        <w:tc>
          <w:tcPr>
            <w:tcW w:w="1800" w:type="dxa"/>
            <w:vAlign w:val="bottom"/>
            <w:tcBorders>
              <w:bottom w:val="single" w:sz="8" w:color="D9D9D9"/>
            </w:tcBorders>
            <w:shd w:val="clear" w:color="auto" w:fill="D9D9D9"/>
          </w:tcPr>
          <w:p>
            <w:pPr>
              <w:ind w:left="20"/>
              <w:spacing w:after="0"/>
              <w:rPr>
                <w:sz w:val="20"/>
                <w:szCs w:val="20"/>
                <w:color w:val="auto"/>
              </w:rPr>
            </w:pPr>
            <w:r>
              <w:rPr>
                <w:rFonts w:ascii="Times New Roman" w:cs="Times New Roman" w:eastAsia="Times New Roman" w:hAnsi="Times New Roman"/>
                <w:sz w:val="18"/>
                <w:szCs w:val="18"/>
                <w:color w:val="auto"/>
              </w:rPr>
              <w:t>Mr. Manko</w:t>
            </w:r>
          </w:p>
        </w:tc>
        <w:tc>
          <w:tcPr>
            <w:tcW w:w="1640" w:type="dxa"/>
            <w:vAlign w:val="bottom"/>
            <w:tcBorders>
              <w:bottom w:val="single" w:sz="8" w:color="D9D9D9"/>
            </w:tcBorders>
            <w:shd w:val="clear" w:color="auto" w:fill="D9D9D9"/>
          </w:tcPr>
          <w:p>
            <w:pPr>
              <w:jc w:val="center"/>
              <w:ind w:left="190"/>
              <w:spacing w:after="0"/>
              <w:rPr>
                <w:sz w:val="20"/>
                <w:szCs w:val="20"/>
                <w:color w:val="auto"/>
              </w:rPr>
            </w:pPr>
            <w:r>
              <w:rPr>
                <w:rFonts w:ascii="Times New Roman" w:cs="Times New Roman" w:eastAsia="Times New Roman" w:hAnsi="Times New Roman"/>
                <w:sz w:val="18"/>
                <w:szCs w:val="18"/>
                <w:color w:val="auto"/>
                <w:w w:val="96"/>
              </w:rPr>
              <w:t>35%</w:t>
            </w:r>
          </w:p>
        </w:tc>
        <w:tc>
          <w:tcPr>
            <w:tcW w:w="2080" w:type="dxa"/>
            <w:vAlign w:val="bottom"/>
            <w:tcBorders>
              <w:bottom w:val="single" w:sz="8" w:color="D9D9D9"/>
            </w:tcBorders>
            <w:shd w:val="clear" w:color="auto" w:fill="D9D9D9"/>
          </w:tcPr>
          <w:p>
            <w:pPr>
              <w:jc w:val="center"/>
              <w:ind w:left="50"/>
              <w:spacing w:after="0"/>
              <w:rPr>
                <w:sz w:val="20"/>
                <w:szCs w:val="20"/>
                <w:color w:val="auto"/>
              </w:rPr>
            </w:pPr>
            <w:r>
              <w:rPr>
                <w:rFonts w:ascii="Times New Roman" w:cs="Times New Roman" w:eastAsia="Times New Roman" w:hAnsi="Times New Roman"/>
                <w:sz w:val="18"/>
                <w:szCs w:val="18"/>
                <w:color w:val="auto"/>
              </w:rPr>
              <w:t>25%</w:t>
            </w:r>
          </w:p>
        </w:tc>
      </w:tr>
      <w:tr>
        <w:trPr>
          <w:trHeight w:val="237"/>
        </w:trPr>
        <w:tc>
          <w:tcPr>
            <w:tcW w:w="18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Ms. Skeffington</w:t>
            </w:r>
          </w:p>
        </w:tc>
        <w:tc>
          <w:tcPr>
            <w:tcW w:w="1640" w:type="dxa"/>
            <w:vAlign w:val="bottom"/>
            <w:tcBorders>
              <w:top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color w:val="auto"/>
                <w:w w:val="96"/>
              </w:rPr>
              <w:t>35%</w:t>
            </w:r>
          </w:p>
        </w:tc>
        <w:tc>
          <w:tcPr>
            <w:tcW w:w="2080" w:type="dxa"/>
            <w:vAlign w:val="bottom"/>
            <w:tcBorders>
              <w:top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25%</w:t>
            </w:r>
          </w:p>
        </w:tc>
      </w:tr>
      <w:tr>
        <w:trPr>
          <w:trHeight w:val="27"/>
        </w:trPr>
        <w:tc>
          <w:tcPr>
            <w:tcW w:w="18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44"/>
        </w:trPr>
        <w:tc>
          <w:tcPr>
            <w:tcW w:w="1800" w:type="dxa"/>
            <w:vAlign w:val="bottom"/>
            <w:tcBorders>
              <w:bottom w:val="single" w:sz="8" w:color="D9D9D9"/>
            </w:tcBorders>
            <w:shd w:val="clear" w:color="auto" w:fill="D9D9D9"/>
          </w:tcPr>
          <w:p>
            <w:pPr>
              <w:ind w:left="20"/>
              <w:spacing w:after="0"/>
              <w:rPr>
                <w:sz w:val="20"/>
                <w:szCs w:val="20"/>
                <w:color w:val="auto"/>
              </w:rPr>
            </w:pPr>
            <w:r>
              <w:rPr>
                <w:rFonts w:ascii="Times New Roman" w:cs="Times New Roman" w:eastAsia="Times New Roman" w:hAnsi="Times New Roman"/>
                <w:sz w:val="18"/>
                <w:szCs w:val="18"/>
                <w:color w:val="auto"/>
              </w:rPr>
              <w:t>Mr. Wise</w:t>
            </w:r>
          </w:p>
        </w:tc>
        <w:tc>
          <w:tcPr>
            <w:tcW w:w="1640" w:type="dxa"/>
            <w:vAlign w:val="bottom"/>
            <w:tcBorders>
              <w:bottom w:val="single" w:sz="8" w:color="D9D9D9"/>
            </w:tcBorders>
            <w:shd w:val="clear" w:color="auto" w:fill="D9D9D9"/>
          </w:tcPr>
          <w:p>
            <w:pPr>
              <w:jc w:val="center"/>
              <w:ind w:left="190"/>
              <w:spacing w:after="0"/>
              <w:rPr>
                <w:sz w:val="20"/>
                <w:szCs w:val="20"/>
                <w:color w:val="auto"/>
              </w:rPr>
            </w:pPr>
            <w:r>
              <w:rPr>
                <w:rFonts w:ascii="Times New Roman" w:cs="Times New Roman" w:eastAsia="Times New Roman" w:hAnsi="Times New Roman"/>
                <w:sz w:val="18"/>
                <w:szCs w:val="18"/>
                <w:color w:val="auto"/>
                <w:w w:val="96"/>
              </w:rPr>
              <w:t>35%</w:t>
            </w:r>
          </w:p>
        </w:tc>
        <w:tc>
          <w:tcPr>
            <w:tcW w:w="2080" w:type="dxa"/>
            <w:vAlign w:val="bottom"/>
            <w:tcBorders>
              <w:bottom w:val="single" w:sz="8" w:color="D9D9D9"/>
            </w:tcBorders>
            <w:shd w:val="clear" w:color="auto" w:fill="D9D9D9"/>
          </w:tcPr>
          <w:p>
            <w:pPr>
              <w:jc w:val="center"/>
              <w:ind w:left="50"/>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180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“Net Sales” is defined as our net sales for 2019 at budgeted currency exchange rates, excluding net sales from any acquisitions in 2019. “Adjusted Net Income” is defined as our non-GAAP net income at reported currency exchange rates, after adjustments for the effects of acquisitions, divestitures, restructuring, integration, purchase price allocation and intangible amortization, special items, including 3T Heater Cooler remediation and significant and unusual litigation, including 3T Heater Cooler litigation, and equity compensation.</w:t>
      </w:r>
    </w:p>
    <w:p>
      <w:pPr>
        <w:spacing w:after="0" w:line="180"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If the threshold for a financial objective is achieved, then the funding for that objective is scaled down or up for underachievement or overachievement, respectively, of the objective, as follows:</w:t>
      </w:r>
    </w:p>
    <w:p>
      <w:pPr>
        <w:sectPr>
          <w:pgSz w:w="11900" w:h="16838" w:orient="portrait"/>
          <w:cols w:equalWidth="0" w:num="1">
            <w:col w:w="11420"/>
          </w:cols>
          <w:pgMar w:left="240" w:top="360" w:right="239" w:bottom="1440" w:gutter="0" w:footer="0" w:header="0"/>
        </w:sectPr>
      </w:pPr>
    </w:p>
    <w:bookmarkStart w:id="4" w:name="page5"/>
    <w:bookmarkEnd w:id="4"/>
    <w:tbl>
      <w:tblPr>
        <w:tblLayout w:type="fixed"/>
        <w:tblInd w:w="920" w:type="dxa"/>
        <w:tblCellMar>
          <w:top w:w="0" w:type="dxa"/>
          <w:left w:w="0" w:type="dxa"/>
          <w:bottom w:w="0" w:type="dxa"/>
          <w:right w:w="0" w:type="dxa"/>
        </w:tblCellMar>
      </w:tblPr>
      <w:tr>
        <w:trPr>
          <w:trHeight w:val="216"/>
        </w:trPr>
        <w:tc>
          <w:tcPr>
            <w:tcW w:w="35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Percent Achievement of Sales Objective</w:t>
            </w:r>
          </w:p>
        </w:tc>
        <w:tc>
          <w:tcPr>
            <w:tcW w:w="28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Percent Achievement of Income</w:t>
            </w:r>
          </w:p>
        </w:tc>
        <w:tc>
          <w:tcPr>
            <w:tcW w:w="3300" w:type="dxa"/>
            <w:vAlign w:val="bottom"/>
            <w:gridSpan w:val="2"/>
            <w:vMerge w:val="restart"/>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Percent Funding for Objective</w:t>
            </w:r>
          </w:p>
        </w:tc>
        <w:tc>
          <w:tcPr>
            <w:tcW w:w="0" w:type="dxa"/>
            <w:vAlign w:val="bottom"/>
          </w:tcPr>
          <w:p>
            <w:pPr>
              <w:spacing w:after="0"/>
              <w:rPr>
                <w:sz w:val="1"/>
                <w:szCs w:val="1"/>
                <w:color w:val="auto"/>
              </w:rPr>
            </w:pPr>
          </w:p>
        </w:tc>
      </w:tr>
      <w:tr>
        <w:trPr>
          <w:trHeight w:val="130"/>
        </w:trPr>
        <w:tc>
          <w:tcPr>
            <w:tcW w:w="3500" w:type="dxa"/>
            <w:vAlign w:val="bottom"/>
            <w:vMerge w:val="continue"/>
          </w:tcPr>
          <w:p>
            <w:pPr>
              <w:spacing w:after="0"/>
              <w:rPr>
                <w:sz w:val="11"/>
                <w:szCs w:val="11"/>
                <w:color w:val="auto"/>
              </w:rPr>
            </w:pPr>
          </w:p>
        </w:tc>
        <w:tc>
          <w:tcPr>
            <w:tcW w:w="1940" w:type="dxa"/>
            <w:vAlign w:val="bottom"/>
            <w:vMerge w:val="restart"/>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9"/>
              </w:rPr>
              <w:t>Objective</w:t>
            </w:r>
          </w:p>
        </w:tc>
        <w:tc>
          <w:tcPr>
            <w:tcW w:w="860" w:type="dxa"/>
            <w:vAlign w:val="bottom"/>
          </w:tcPr>
          <w:p>
            <w:pPr>
              <w:spacing w:after="0"/>
              <w:rPr>
                <w:sz w:val="11"/>
                <w:szCs w:val="11"/>
                <w:color w:val="auto"/>
              </w:rPr>
            </w:pPr>
          </w:p>
        </w:tc>
        <w:tc>
          <w:tcPr>
            <w:tcW w:w="33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500" w:type="dxa"/>
            <w:vAlign w:val="bottom"/>
          </w:tcPr>
          <w:p>
            <w:pPr>
              <w:spacing w:after="0"/>
              <w:rPr>
                <w:sz w:val="9"/>
                <w:szCs w:val="9"/>
                <w:color w:val="auto"/>
              </w:rPr>
            </w:pPr>
          </w:p>
        </w:tc>
        <w:tc>
          <w:tcPr>
            <w:tcW w:w="194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5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00" w:type="dxa"/>
            <w:vAlign w:val="bottom"/>
            <w:tcBorders>
              <w:bottom w:val="single" w:sz="8" w:color="D9D9D9"/>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&lt;97%</w:t>
            </w:r>
          </w:p>
        </w:tc>
        <w:tc>
          <w:tcPr>
            <w:tcW w:w="1940" w:type="dxa"/>
            <w:vAlign w:val="bottom"/>
            <w:tcBorders>
              <w:bottom w:val="single" w:sz="8" w:color="D9D9D9"/>
            </w:tcBorders>
            <w:shd w:val="clear" w:color="auto" w:fill="D9D9D9"/>
          </w:tcPr>
          <w:p>
            <w:pPr>
              <w:jc w:val="center"/>
              <w:ind w:left="950"/>
              <w:spacing w:after="0"/>
              <w:rPr>
                <w:sz w:val="20"/>
                <w:szCs w:val="20"/>
                <w:color w:val="auto"/>
              </w:rPr>
            </w:pPr>
            <w:r>
              <w:rPr>
                <w:rFonts w:ascii="Times New Roman" w:cs="Times New Roman" w:eastAsia="Times New Roman" w:hAnsi="Times New Roman"/>
                <w:sz w:val="18"/>
                <w:szCs w:val="18"/>
                <w:color w:val="auto"/>
                <w:w w:val="97"/>
              </w:rPr>
              <w:t>&lt;90%</w:t>
            </w:r>
          </w:p>
        </w:tc>
        <w:tc>
          <w:tcPr>
            <w:tcW w:w="860" w:type="dxa"/>
            <w:vAlign w:val="bottom"/>
            <w:tcBorders>
              <w:bottom w:val="single" w:sz="8" w:color="D9D9D9"/>
            </w:tcBorders>
            <w:shd w:val="clear" w:color="auto" w:fill="D9D9D9"/>
          </w:tcPr>
          <w:p>
            <w:pPr>
              <w:spacing w:after="0"/>
              <w:rPr>
                <w:sz w:val="22"/>
                <w:szCs w:val="22"/>
                <w:color w:val="auto"/>
              </w:rPr>
            </w:pPr>
          </w:p>
        </w:tc>
        <w:tc>
          <w:tcPr>
            <w:tcW w:w="740" w:type="dxa"/>
            <w:vAlign w:val="bottom"/>
            <w:tcBorders>
              <w:bottom w:val="single" w:sz="8" w:color="D9D9D9"/>
            </w:tcBorders>
            <w:shd w:val="clear" w:color="auto" w:fill="D9D9D9"/>
          </w:tcPr>
          <w:p>
            <w:pPr>
              <w:spacing w:after="0"/>
              <w:rPr>
                <w:sz w:val="22"/>
                <w:szCs w:val="22"/>
                <w:color w:val="auto"/>
              </w:rPr>
            </w:pPr>
          </w:p>
        </w:tc>
        <w:tc>
          <w:tcPr>
            <w:tcW w:w="2560" w:type="dxa"/>
            <w:vAlign w:val="bottom"/>
            <w:tcBorders>
              <w:bottom w:val="single" w:sz="8" w:color="D9D9D9"/>
            </w:tcBorders>
            <w:shd w:val="clear" w:color="auto" w:fill="D9D9D9"/>
          </w:tcPr>
          <w:p>
            <w:pPr>
              <w:jc w:val="right"/>
              <w:ind w:right="129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7"/>
        </w:trPr>
        <w:tc>
          <w:tcPr>
            <w:tcW w:w="3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97%</w:t>
            </w:r>
          </w:p>
        </w:tc>
        <w:tc>
          <w:tcPr>
            <w:tcW w:w="1940" w:type="dxa"/>
            <w:vAlign w:val="bottom"/>
            <w:tcBorders>
              <w:top w:val="single" w:sz="8" w:color="auto"/>
            </w:tcBorders>
          </w:tcPr>
          <w:p>
            <w:pPr>
              <w:jc w:val="center"/>
              <w:ind w:left="950"/>
              <w:spacing w:after="0"/>
              <w:rPr>
                <w:sz w:val="20"/>
                <w:szCs w:val="20"/>
                <w:color w:val="auto"/>
              </w:rPr>
            </w:pPr>
            <w:r>
              <w:rPr>
                <w:rFonts w:ascii="Times New Roman" w:cs="Times New Roman" w:eastAsia="Times New Roman" w:hAnsi="Times New Roman"/>
                <w:sz w:val="18"/>
                <w:szCs w:val="18"/>
                <w:color w:val="auto"/>
              </w:rPr>
              <w:t>90%</w:t>
            </w:r>
          </w:p>
        </w:tc>
        <w:tc>
          <w:tcPr>
            <w:tcW w:w="8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560" w:type="dxa"/>
            <w:vAlign w:val="bottom"/>
            <w:tcBorders>
              <w:top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color w:val="auto"/>
                <w:w w:val="96"/>
              </w:rPr>
              <w:t>50%</w:t>
            </w:r>
          </w:p>
        </w:tc>
        <w:tc>
          <w:tcPr>
            <w:tcW w:w="0" w:type="dxa"/>
            <w:vAlign w:val="bottom"/>
          </w:tcPr>
          <w:p>
            <w:pPr>
              <w:spacing w:after="0"/>
              <w:rPr>
                <w:sz w:val="1"/>
                <w:szCs w:val="1"/>
                <w:color w:val="auto"/>
              </w:rPr>
            </w:pPr>
          </w:p>
        </w:tc>
      </w:tr>
      <w:tr>
        <w:trPr>
          <w:trHeight w:val="27"/>
        </w:trPr>
        <w:tc>
          <w:tcPr>
            <w:tcW w:w="3500" w:type="dxa"/>
            <w:vAlign w:val="bottom"/>
            <w:tcBorders>
              <w:bottom w:val="single" w:sz="8" w:color="auto"/>
            </w:tcBorders>
          </w:tcPr>
          <w:p>
            <w:pPr>
              <w:spacing w:after="0"/>
              <w:rPr>
                <w:sz w:val="2"/>
                <w:szCs w:val="2"/>
                <w:color w:val="auto"/>
              </w:rPr>
            </w:pPr>
          </w:p>
        </w:tc>
        <w:tc>
          <w:tcPr>
            <w:tcW w:w="61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500" w:type="dxa"/>
            <w:vAlign w:val="bottom"/>
            <w:shd w:val="clear" w:color="auto" w:fill="D9D9D9"/>
          </w:tcPr>
          <w:p>
            <w:pPr>
              <w:spacing w:after="0"/>
              <w:rPr>
                <w:sz w:val="18"/>
                <w:szCs w:val="18"/>
                <w:color w:val="auto"/>
              </w:rPr>
            </w:pPr>
          </w:p>
        </w:tc>
        <w:tc>
          <w:tcPr>
            <w:tcW w:w="6100" w:type="dxa"/>
            <w:vAlign w:val="bottom"/>
            <w:gridSpan w:val="4"/>
            <w:shd w:val="clear" w:color="auto" w:fill="D9D9D9"/>
          </w:tcPr>
          <w:p>
            <w:pPr>
              <w:jc w:val="right"/>
              <w:ind w:right="1650"/>
              <w:spacing w:after="0"/>
              <w:rPr>
                <w:sz w:val="20"/>
                <w:szCs w:val="20"/>
                <w:color w:val="auto"/>
              </w:rPr>
            </w:pPr>
            <w:r>
              <w:rPr>
                <w:rFonts w:ascii="Times New Roman" w:cs="Times New Roman" w:eastAsia="Times New Roman" w:hAnsi="Times New Roman"/>
                <w:sz w:val="18"/>
                <w:szCs w:val="18"/>
                <w:color w:val="auto"/>
              </w:rPr>
              <w:t>Linear Interpolation: 1:16.67 (Sales)</w:t>
            </w:r>
          </w:p>
        </w:tc>
        <w:tc>
          <w:tcPr>
            <w:tcW w:w="0" w:type="dxa"/>
            <w:vAlign w:val="bottom"/>
          </w:tcPr>
          <w:p>
            <w:pPr>
              <w:spacing w:after="0"/>
              <w:rPr>
                <w:sz w:val="1"/>
                <w:szCs w:val="1"/>
                <w:color w:val="auto"/>
              </w:rPr>
            </w:pPr>
          </w:p>
        </w:tc>
      </w:tr>
      <w:tr>
        <w:trPr>
          <w:trHeight w:val="266"/>
        </w:trPr>
        <w:tc>
          <w:tcPr>
            <w:tcW w:w="3500" w:type="dxa"/>
            <w:vAlign w:val="bottom"/>
            <w:tcBorders>
              <w:bottom w:val="single" w:sz="8" w:color="D9D9D9"/>
            </w:tcBorders>
            <w:shd w:val="clear" w:color="auto" w:fill="D9D9D9"/>
          </w:tcPr>
          <w:p>
            <w:pPr>
              <w:spacing w:after="0"/>
              <w:rPr>
                <w:sz w:val="22"/>
                <w:szCs w:val="22"/>
                <w:color w:val="auto"/>
              </w:rPr>
            </w:pPr>
          </w:p>
        </w:tc>
        <w:tc>
          <w:tcPr>
            <w:tcW w:w="1940" w:type="dxa"/>
            <w:vAlign w:val="bottom"/>
            <w:tcBorders>
              <w:bottom w:val="single" w:sz="8" w:color="D9D9D9"/>
            </w:tcBorders>
            <w:shd w:val="clear" w:color="auto" w:fill="D9D9D9"/>
          </w:tcPr>
          <w:p>
            <w:pPr>
              <w:spacing w:after="0"/>
              <w:rPr>
                <w:sz w:val="22"/>
                <w:szCs w:val="22"/>
                <w:color w:val="auto"/>
              </w:rPr>
            </w:pPr>
          </w:p>
        </w:tc>
        <w:tc>
          <w:tcPr>
            <w:tcW w:w="860" w:type="dxa"/>
            <w:vAlign w:val="bottom"/>
            <w:tcBorders>
              <w:bottom w:val="single" w:sz="8" w:color="D9D9D9"/>
            </w:tcBorders>
            <w:shd w:val="clear" w:color="auto" w:fill="D9D9D9"/>
          </w:tcPr>
          <w:p>
            <w:pPr>
              <w:spacing w:after="0"/>
              <w:rPr>
                <w:sz w:val="22"/>
                <w:szCs w:val="22"/>
                <w:color w:val="auto"/>
              </w:rPr>
            </w:pPr>
          </w:p>
        </w:tc>
        <w:tc>
          <w:tcPr>
            <w:tcW w:w="3300" w:type="dxa"/>
            <w:vAlign w:val="bottom"/>
            <w:tcBorders>
              <w:bottom w:val="single" w:sz="8" w:color="D9D9D9"/>
            </w:tcBorders>
            <w:gridSpan w:val="2"/>
            <w:shd w:val="clear" w:color="auto" w:fill="D9D9D9"/>
          </w:tcPr>
          <w:p>
            <w:pPr>
              <w:jc w:val="right"/>
              <w:ind w:right="2090"/>
              <w:spacing w:after="0"/>
              <w:rPr>
                <w:sz w:val="20"/>
                <w:szCs w:val="20"/>
                <w:color w:val="auto"/>
              </w:rPr>
            </w:pPr>
            <w:r>
              <w:rPr>
                <w:rFonts w:ascii="Times New Roman" w:cs="Times New Roman" w:eastAsia="Times New Roman" w:hAnsi="Times New Roman"/>
                <w:sz w:val="18"/>
                <w:szCs w:val="18"/>
                <w:color w:val="auto"/>
              </w:rPr>
              <w:t>1.50 (Income)</w:t>
            </w:r>
          </w:p>
        </w:tc>
        <w:tc>
          <w:tcPr>
            <w:tcW w:w="0" w:type="dxa"/>
            <w:vAlign w:val="bottom"/>
          </w:tcPr>
          <w:p>
            <w:pPr>
              <w:spacing w:after="0"/>
              <w:rPr>
                <w:sz w:val="1"/>
                <w:szCs w:val="1"/>
                <w:color w:val="auto"/>
              </w:rPr>
            </w:pPr>
          </w:p>
        </w:tc>
      </w:tr>
      <w:tr>
        <w:trPr>
          <w:trHeight w:val="237"/>
        </w:trPr>
        <w:tc>
          <w:tcPr>
            <w:tcW w:w="3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940" w:type="dxa"/>
            <w:vAlign w:val="bottom"/>
            <w:tcBorders>
              <w:top w:val="single" w:sz="8" w:color="auto"/>
            </w:tcBorders>
          </w:tcPr>
          <w:p>
            <w:pPr>
              <w:jc w:val="center"/>
              <w:ind w:left="950"/>
              <w:spacing w:after="0"/>
              <w:rPr>
                <w:sz w:val="20"/>
                <w:szCs w:val="20"/>
                <w:color w:val="auto"/>
              </w:rPr>
            </w:pPr>
            <w:r>
              <w:rPr>
                <w:rFonts w:ascii="Times New Roman" w:cs="Times New Roman" w:eastAsia="Times New Roman" w:hAnsi="Times New Roman"/>
                <w:sz w:val="18"/>
                <w:szCs w:val="18"/>
                <w:color w:val="auto"/>
                <w:w w:val="99"/>
              </w:rPr>
              <w:t>100%</w:t>
            </w:r>
          </w:p>
        </w:tc>
        <w:tc>
          <w:tcPr>
            <w:tcW w:w="8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560" w:type="dxa"/>
            <w:vAlign w:val="bottom"/>
            <w:tcBorders>
              <w:top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7"/>
        </w:trPr>
        <w:tc>
          <w:tcPr>
            <w:tcW w:w="35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00" w:type="dxa"/>
            <w:vAlign w:val="bottom"/>
            <w:tcBorders>
              <w:bottom w:val="single" w:sz="8" w:color="D9D9D9"/>
            </w:tcBorders>
            <w:shd w:val="clear" w:color="auto" w:fill="D9D9D9"/>
          </w:tcPr>
          <w:p>
            <w:pPr>
              <w:spacing w:after="0"/>
              <w:rPr>
                <w:sz w:val="22"/>
                <w:szCs w:val="22"/>
                <w:color w:val="auto"/>
              </w:rPr>
            </w:pPr>
          </w:p>
        </w:tc>
        <w:tc>
          <w:tcPr>
            <w:tcW w:w="1940" w:type="dxa"/>
            <w:vAlign w:val="bottom"/>
            <w:tcBorders>
              <w:bottom w:val="single" w:sz="8" w:color="D9D9D9"/>
            </w:tcBorders>
            <w:shd w:val="clear" w:color="auto" w:fill="D9D9D9"/>
          </w:tcPr>
          <w:p>
            <w:pPr>
              <w:spacing w:after="0"/>
              <w:rPr>
                <w:sz w:val="22"/>
                <w:szCs w:val="22"/>
                <w:color w:val="auto"/>
              </w:rPr>
            </w:pPr>
          </w:p>
        </w:tc>
        <w:tc>
          <w:tcPr>
            <w:tcW w:w="1600" w:type="dxa"/>
            <w:vAlign w:val="bottom"/>
            <w:tcBorders>
              <w:bottom w:val="single" w:sz="8" w:color="D9D9D9"/>
            </w:tcBorders>
            <w:gridSpan w:val="2"/>
            <w:shd w:val="clear" w:color="auto" w:fill="D9D9D9"/>
          </w:tcPr>
          <w:p>
            <w:pPr>
              <w:ind w:left="60"/>
              <w:spacing w:after="0"/>
              <w:rPr>
                <w:sz w:val="20"/>
                <w:szCs w:val="20"/>
                <w:color w:val="auto"/>
              </w:rPr>
            </w:pPr>
            <w:r>
              <w:rPr>
                <w:rFonts w:ascii="Times New Roman" w:cs="Times New Roman" w:eastAsia="Times New Roman" w:hAnsi="Times New Roman"/>
                <w:sz w:val="18"/>
                <w:szCs w:val="18"/>
                <w:color w:val="auto"/>
              </w:rPr>
              <w:t>Linear Interpolation:</w:t>
            </w:r>
          </w:p>
        </w:tc>
        <w:tc>
          <w:tcPr>
            <w:tcW w:w="2560" w:type="dxa"/>
            <w:vAlign w:val="bottom"/>
            <w:tcBorders>
              <w:bottom w:val="single" w:sz="8" w:color="D9D9D9"/>
            </w:tcBorders>
            <w:shd w:val="clear" w:color="auto" w:fill="D9D9D9"/>
          </w:tcPr>
          <w:p>
            <w:pPr>
              <w:jc w:val="right"/>
              <w:ind w:right="1970"/>
              <w:spacing w:after="0"/>
              <w:rPr>
                <w:sz w:val="20"/>
                <w:szCs w:val="20"/>
                <w:color w:val="auto"/>
              </w:rPr>
            </w:pPr>
            <w:r>
              <w:rPr>
                <w:rFonts w:ascii="Times New Roman" w:cs="Times New Roman" w:eastAsia="Times New Roman" w:hAnsi="Times New Roman"/>
                <w:sz w:val="18"/>
                <w:szCs w:val="18"/>
                <w:color w:val="auto"/>
              </w:rPr>
              <w:t>1:7.50</w:t>
            </w:r>
          </w:p>
        </w:tc>
        <w:tc>
          <w:tcPr>
            <w:tcW w:w="0" w:type="dxa"/>
            <w:vAlign w:val="bottom"/>
          </w:tcPr>
          <w:p>
            <w:pPr>
              <w:spacing w:after="0"/>
              <w:rPr>
                <w:sz w:val="1"/>
                <w:szCs w:val="1"/>
                <w:color w:val="auto"/>
              </w:rPr>
            </w:pPr>
          </w:p>
        </w:tc>
      </w:tr>
      <w:tr>
        <w:trPr>
          <w:trHeight w:val="237"/>
        </w:trPr>
        <w:tc>
          <w:tcPr>
            <w:tcW w:w="3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110%</w:t>
            </w:r>
          </w:p>
        </w:tc>
        <w:tc>
          <w:tcPr>
            <w:tcW w:w="1940" w:type="dxa"/>
            <w:vAlign w:val="bottom"/>
            <w:tcBorders>
              <w:top w:val="single" w:sz="8" w:color="auto"/>
            </w:tcBorders>
          </w:tcPr>
          <w:p>
            <w:pPr>
              <w:jc w:val="center"/>
              <w:ind w:left="950"/>
              <w:spacing w:after="0"/>
              <w:rPr>
                <w:sz w:val="20"/>
                <w:szCs w:val="20"/>
                <w:color w:val="auto"/>
              </w:rPr>
            </w:pPr>
            <w:r>
              <w:rPr>
                <w:rFonts w:ascii="Times New Roman" w:cs="Times New Roman" w:eastAsia="Times New Roman" w:hAnsi="Times New Roman"/>
                <w:sz w:val="18"/>
                <w:szCs w:val="18"/>
                <w:color w:val="auto"/>
                <w:w w:val="99"/>
              </w:rPr>
              <w:t>110%</w:t>
            </w:r>
          </w:p>
        </w:tc>
        <w:tc>
          <w:tcPr>
            <w:tcW w:w="8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560" w:type="dxa"/>
            <w:vAlign w:val="bottom"/>
            <w:tcBorders>
              <w:top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color w:val="auto"/>
                <w:w w:val="99"/>
              </w:rPr>
              <w:t>175%</w:t>
            </w:r>
          </w:p>
        </w:tc>
        <w:tc>
          <w:tcPr>
            <w:tcW w:w="0" w:type="dxa"/>
            <w:vAlign w:val="bottom"/>
          </w:tcPr>
          <w:p>
            <w:pPr>
              <w:spacing w:after="0"/>
              <w:rPr>
                <w:sz w:val="1"/>
                <w:szCs w:val="1"/>
                <w:color w:val="auto"/>
              </w:rPr>
            </w:pPr>
          </w:p>
        </w:tc>
      </w:tr>
      <w:tr>
        <w:trPr>
          <w:trHeight w:val="27"/>
        </w:trPr>
        <w:tc>
          <w:tcPr>
            <w:tcW w:w="35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00" w:type="dxa"/>
            <w:vAlign w:val="bottom"/>
            <w:tcBorders>
              <w:bottom w:val="single" w:sz="8" w:color="D9D9D9"/>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&gt;110%</w:t>
            </w:r>
          </w:p>
        </w:tc>
        <w:tc>
          <w:tcPr>
            <w:tcW w:w="1940" w:type="dxa"/>
            <w:vAlign w:val="bottom"/>
            <w:tcBorders>
              <w:bottom w:val="single" w:sz="8" w:color="D9D9D9"/>
            </w:tcBorders>
            <w:shd w:val="clear" w:color="auto" w:fill="D9D9D9"/>
          </w:tcPr>
          <w:p>
            <w:pPr>
              <w:jc w:val="center"/>
              <w:ind w:left="950"/>
              <w:spacing w:after="0"/>
              <w:rPr>
                <w:sz w:val="20"/>
                <w:szCs w:val="20"/>
                <w:color w:val="auto"/>
              </w:rPr>
            </w:pPr>
            <w:r>
              <w:rPr>
                <w:rFonts w:ascii="Times New Roman" w:cs="Times New Roman" w:eastAsia="Times New Roman" w:hAnsi="Times New Roman"/>
                <w:sz w:val="18"/>
                <w:szCs w:val="18"/>
                <w:color w:val="auto"/>
                <w:w w:val="95"/>
              </w:rPr>
              <w:t>&gt;110%</w:t>
            </w:r>
          </w:p>
        </w:tc>
        <w:tc>
          <w:tcPr>
            <w:tcW w:w="860" w:type="dxa"/>
            <w:vAlign w:val="bottom"/>
            <w:tcBorders>
              <w:bottom w:val="single" w:sz="8" w:color="D9D9D9"/>
            </w:tcBorders>
            <w:shd w:val="clear" w:color="auto" w:fill="D9D9D9"/>
          </w:tcPr>
          <w:p>
            <w:pPr>
              <w:spacing w:after="0"/>
              <w:rPr>
                <w:sz w:val="21"/>
                <w:szCs w:val="21"/>
                <w:color w:val="auto"/>
              </w:rPr>
            </w:pPr>
          </w:p>
        </w:tc>
        <w:tc>
          <w:tcPr>
            <w:tcW w:w="740" w:type="dxa"/>
            <w:vAlign w:val="bottom"/>
            <w:tcBorders>
              <w:bottom w:val="single" w:sz="8" w:color="D9D9D9"/>
            </w:tcBorders>
            <w:shd w:val="clear" w:color="auto" w:fill="D9D9D9"/>
          </w:tcPr>
          <w:p>
            <w:pPr>
              <w:spacing w:after="0"/>
              <w:rPr>
                <w:sz w:val="21"/>
                <w:szCs w:val="21"/>
                <w:color w:val="auto"/>
              </w:rPr>
            </w:pPr>
          </w:p>
        </w:tc>
        <w:tc>
          <w:tcPr>
            <w:tcW w:w="2560" w:type="dxa"/>
            <w:vAlign w:val="bottom"/>
            <w:tcBorders>
              <w:bottom w:val="single" w:sz="8" w:color="D9D9D9"/>
            </w:tcBorders>
            <w:shd w:val="clear" w:color="auto" w:fill="D9D9D9"/>
          </w:tcPr>
          <w:p>
            <w:pPr>
              <w:jc w:val="center"/>
              <w:ind w:right="410"/>
              <w:spacing w:after="0"/>
              <w:rPr>
                <w:sz w:val="20"/>
                <w:szCs w:val="20"/>
                <w:color w:val="auto"/>
              </w:rPr>
            </w:pPr>
            <w:r>
              <w:rPr>
                <w:rFonts w:ascii="Times New Roman" w:cs="Times New Roman" w:eastAsia="Times New Roman" w:hAnsi="Times New Roman"/>
                <w:sz w:val="18"/>
                <w:szCs w:val="18"/>
                <w:color w:val="auto"/>
                <w:w w:val="99"/>
              </w:rPr>
              <w:t>175%</w:t>
            </w:r>
          </w:p>
        </w:tc>
        <w:tc>
          <w:tcPr>
            <w:tcW w:w="0" w:type="dxa"/>
            <w:vAlign w:val="bottom"/>
          </w:tcPr>
          <w:p>
            <w:pPr>
              <w:spacing w:after="0"/>
              <w:rPr>
                <w:sz w:val="1"/>
                <w:szCs w:val="1"/>
                <w:color w:val="auto"/>
              </w:rPr>
            </w:pPr>
          </w:p>
        </w:tc>
      </w:tr>
      <w:tr>
        <w:trPr>
          <w:trHeight w:val="20"/>
        </w:trPr>
        <w:tc>
          <w:tcPr>
            <w:tcW w:w="350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Non-Financial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36830</wp:posOffset>
            </wp:positionV>
            <wp:extent cx="60972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97270" cy="8890"/>
                    </a:xfrm>
                    <a:prstGeom prst="rect">
                      <a:avLst/>
                    </a:prstGeom>
                    <a:noFill/>
                  </pic:spPr>
                </pic:pic>
              </a:graphicData>
            </a:graphic>
          </wp:anchor>
        </w:drawing>
      </w:r>
    </w:p>
    <w:p>
      <w:pPr>
        <w:spacing w:after="0" w:line="61" w:lineRule="exact"/>
        <w:rPr>
          <w:sz w:val="20"/>
          <w:szCs w:val="20"/>
          <w:color w:val="auto"/>
        </w:rPr>
      </w:pPr>
    </w:p>
    <w:tbl>
      <w:tblPr>
        <w:tblLayout w:type="fixed"/>
        <w:tblInd w:w="920" w:type="dxa"/>
        <w:tblCellMar>
          <w:top w:w="0" w:type="dxa"/>
          <w:left w:w="0" w:type="dxa"/>
          <w:bottom w:w="0" w:type="dxa"/>
          <w:right w:w="0" w:type="dxa"/>
        </w:tblCellMar>
      </w:tblPr>
      <w:tr>
        <w:trPr>
          <w:trHeight w:val="234"/>
        </w:trPr>
        <w:tc>
          <w:tcPr>
            <w:tcW w:w="1680" w:type="dxa"/>
            <w:vAlign w:val="bottom"/>
          </w:tcPr>
          <w:p>
            <w:pPr>
              <w:spacing w:after="0"/>
              <w:rPr>
                <w:sz w:val="20"/>
                <w:szCs w:val="20"/>
                <w:color w:val="auto"/>
              </w:rPr>
            </w:pPr>
          </w:p>
        </w:tc>
        <w:tc>
          <w:tcPr>
            <w:tcW w:w="14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Design</w:t>
            </w:r>
          </w:p>
        </w:tc>
        <w:tc>
          <w:tcPr>
            <w:tcW w:w="12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Clinical</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Regulatory</w:t>
            </w:r>
          </w:p>
        </w:tc>
        <w:tc>
          <w:tcPr>
            <w:tcW w:w="21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Commercialization</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Leadership</w:t>
            </w:r>
          </w:p>
        </w:tc>
      </w:tr>
      <w:tr>
        <w:trPr>
          <w:trHeight w:val="27"/>
        </w:trPr>
        <w:tc>
          <w:tcPr>
            <w:tcW w:w="16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64"/>
        </w:trPr>
        <w:tc>
          <w:tcPr>
            <w:tcW w:w="1680" w:type="dxa"/>
            <w:vAlign w:val="bottom"/>
            <w:tcBorders>
              <w:bottom w:val="single" w:sz="8" w:color="auto"/>
            </w:tcBorders>
            <w:shd w:val="clear" w:color="auto" w:fill="D9D9D9"/>
          </w:tcPr>
          <w:p>
            <w:pPr>
              <w:ind w:left="20"/>
              <w:spacing w:after="0"/>
              <w:rPr>
                <w:sz w:val="20"/>
                <w:szCs w:val="20"/>
                <w:color w:val="auto"/>
              </w:rPr>
            </w:pPr>
            <w:r>
              <w:rPr>
                <w:rFonts w:ascii="Times New Roman" w:cs="Times New Roman" w:eastAsia="Times New Roman" w:hAnsi="Times New Roman"/>
                <w:sz w:val="18"/>
                <w:szCs w:val="18"/>
                <w:color w:val="auto"/>
              </w:rPr>
              <w:t>Mr. McDonald</w:t>
            </w:r>
          </w:p>
        </w:tc>
        <w:tc>
          <w:tcPr>
            <w:tcW w:w="1420" w:type="dxa"/>
            <w:vAlign w:val="bottom"/>
            <w:tcBorders>
              <w:bottom w:val="single" w:sz="8" w:color="auto"/>
            </w:tcBorders>
            <w:shd w:val="clear" w:color="auto" w:fill="D9D9D9"/>
          </w:tcPr>
          <w:p>
            <w:pPr>
              <w:jc w:val="center"/>
              <w:ind w:left="10"/>
              <w:spacing w:after="0"/>
              <w:rPr>
                <w:sz w:val="20"/>
                <w:szCs w:val="20"/>
                <w:color w:val="auto"/>
              </w:rPr>
            </w:pPr>
            <w:r>
              <w:rPr>
                <w:rFonts w:ascii="Times New Roman" w:cs="Times New Roman" w:eastAsia="Times New Roman" w:hAnsi="Times New Roman"/>
                <w:sz w:val="18"/>
                <w:szCs w:val="18"/>
                <w:color w:val="auto"/>
                <w:w w:val="96"/>
              </w:rPr>
              <w:t>10%</w:t>
            </w:r>
          </w:p>
        </w:tc>
        <w:tc>
          <w:tcPr>
            <w:tcW w:w="1260" w:type="dxa"/>
            <w:vAlign w:val="bottom"/>
            <w:tcBorders>
              <w:bottom w:val="single" w:sz="8" w:color="auto"/>
            </w:tcBorders>
            <w:shd w:val="clear" w:color="auto" w:fill="D9D9D9"/>
          </w:tcPr>
          <w:p>
            <w:pPr>
              <w:jc w:val="center"/>
              <w:ind w:left="30"/>
              <w:spacing w:after="0"/>
              <w:rPr>
                <w:sz w:val="20"/>
                <w:szCs w:val="20"/>
                <w:color w:val="auto"/>
              </w:rPr>
            </w:pPr>
            <w:r>
              <w:rPr>
                <w:rFonts w:ascii="Times New Roman" w:cs="Times New Roman" w:eastAsia="Times New Roman" w:hAnsi="Times New Roman"/>
                <w:sz w:val="18"/>
                <w:szCs w:val="18"/>
                <w:color w:val="auto"/>
              </w:rPr>
              <w:t>10%</w:t>
            </w:r>
          </w:p>
        </w:tc>
        <w:tc>
          <w:tcPr>
            <w:tcW w:w="1380" w:type="dxa"/>
            <w:vAlign w:val="bottom"/>
            <w:tcBorders>
              <w:bottom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6"/>
              </w:rPr>
              <w:t>15%</w:t>
            </w:r>
          </w:p>
        </w:tc>
        <w:tc>
          <w:tcPr>
            <w:tcW w:w="2100" w:type="dxa"/>
            <w:vAlign w:val="bottom"/>
            <w:tcBorders>
              <w:bottom w:val="single" w:sz="8" w:color="auto"/>
            </w:tcBorders>
            <w:shd w:val="clear" w:color="auto" w:fill="D9D9D9"/>
          </w:tcPr>
          <w:p>
            <w:pPr>
              <w:jc w:val="center"/>
              <w:ind w:right="50"/>
              <w:spacing w:after="0"/>
              <w:rPr>
                <w:sz w:val="20"/>
                <w:szCs w:val="20"/>
                <w:color w:val="auto"/>
              </w:rPr>
            </w:pPr>
            <w:r>
              <w:rPr>
                <w:rFonts w:ascii="Times New Roman" w:cs="Times New Roman" w:eastAsia="Times New Roman" w:hAnsi="Times New Roman"/>
                <w:sz w:val="18"/>
                <w:szCs w:val="18"/>
                <w:color w:val="auto"/>
                <w:w w:val="99"/>
              </w:rPr>
              <w:t>5%</w:t>
            </w:r>
          </w:p>
        </w:tc>
        <w:tc>
          <w:tcPr>
            <w:tcW w:w="1760" w:type="dxa"/>
            <w:vAlign w:val="bottom"/>
            <w:tcBorders>
              <w:bottom w:val="single" w:sz="8" w:color="auto"/>
            </w:tcBorders>
            <w:shd w:val="clear" w:color="auto" w:fill="D9D9D9"/>
          </w:tcPr>
          <w:p>
            <w:pPr>
              <w:ind w:left="840"/>
              <w:spacing w:after="0"/>
              <w:rPr>
                <w:sz w:val="20"/>
                <w:szCs w:val="20"/>
                <w:color w:val="auto"/>
              </w:rPr>
            </w:pPr>
            <w:r>
              <w:rPr>
                <w:rFonts w:ascii="Arial" w:cs="Arial" w:eastAsia="Arial" w:hAnsi="Arial"/>
                <w:sz w:val="18"/>
                <w:szCs w:val="18"/>
                <w:color w:val="auto"/>
              </w:rPr>
              <w:t>̶̶</w:t>
            </w:r>
          </w:p>
        </w:tc>
      </w:tr>
      <w:tr>
        <w:trPr>
          <w:trHeight w:val="237"/>
        </w:trPr>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Mr. Huston</w:t>
            </w:r>
          </w:p>
        </w:tc>
        <w:tc>
          <w:tcPr>
            <w:tcW w:w="14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6"/>
              </w:rPr>
              <w:t>10%</w:t>
            </w:r>
          </w:p>
        </w:tc>
        <w:tc>
          <w:tcPr>
            <w:tcW w:w="12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15%</w:t>
            </w:r>
          </w:p>
        </w:tc>
        <w:tc>
          <w:tcPr>
            <w:tcW w:w="21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5%</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15%</w:t>
            </w:r>
          </w:p>
        </w:tc>
      </w:tr>
      <w:tr>
        <w:trPr>
          <w:trHeight w:val="27"/>
        </w:trPr>
        <w:tc>
          <w:tcPr>
            <w:tcW w:w="16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69"/>
        </w:trPr>
        <w:tc>
          <w:tcPr>
            <w:tcW w:w="1680" w:type="dxa"/>
            <w:vAlign w:val="bottom"/>
            <w:tcBorders>
              <w:bottom w:val="single" w:sz="8" w:color="D9D9D9"/>
            </w:tcBorders>
            <w:shd w:val="clear" w:color="auto" w:fill="D9D9D9"/>
          </w:tcPr>
          <w:p>
            <w:pPr>
              <w:ind w:left="20"/>
              <w:spacing w:after="0"/>
              <w:rPr>
                <w:sz w:val="20"/>
                <w:szCs w:val="20"/>
                <w:color w:val="auto"/>
              </w:rPr>
            </w:pPr>
            <w:r>
              <w:rPr>
                <w:rFonts w:ascii="Times New Roman" w:cs="Times New Roman" w:eastAsia="Times New Roman" w:hAnsi="Times New Roman"/>
                <w:sz w:val="18"/>
                <w:szCs w:val="18"/>
                <w:color w:val="auto"/>
              </w:rPr>
              <w:t>Mr. Manko</w:t>
            </w:r>
          </w:p>
        </w:tc>
        <w:tc>
          <w:tcPr>
            <w:tcW w:w="1420" w:type="dxa"/>
            <w:vAlign w:val="bottom"/>
            <w:tcBorders>
              <w:bottom w:val="single" w:sz="8" w:color="D9D9D9"/>
            </w:tcBorders>
            <w:shd w:val="clear" w:color="auto" w:fill="D9D9D9"/>
          </w:tcPr>
          <w:p>
            <w:pPr>
              <w:jc w:val="center"/>
              <w:ind w:left="10"/>
              <w:spacing w:after="0"/>
              <w:rPr>
                <w:sz w:val="20"/>
                <w:szCs w:val="20"/>
                <w:color w:val="auto"/>
              </w:rPr>
            </w:pPr>
            <w:r>
              <w:rPr>
                <w:rFonts w:ascii="Times New Roman" w:cs="Times New Roman" w:eastAsia="Times New Roman" w:hAnsi="Times New Roman"/>
                <w:sz w:val="18"/>
                <w:szCs w:val="18"/>
                <w:color w:val="auto"/>
                <w:w w:val="96"/>
              </w:rPr>
              <w:t>10%</w:t>
            </w:r>
          </w:p>
        </w:tc>
        <w:tc>
          <w:tcPr>
            <w:tcW w:w="1260" w:type="dxa"/>
            <w:vAlign w:val="bottom"/>
            <w:tcBorders>
              <w:bottom w:val="single" w:sz="8" w:color="D9D9D9"/>
            </w:tcBorders>
            <w:shd w:val="clear" w:color="auto" w:fill="D9D9D9"/>
          </w:tcPr>
          <w:p>
            <w:pPr>
              <w:jc w:val="center"/>
              <w:ind w:left="30"/>
              <w:spacing w:after="0"/>
              <w:rPr>
                <w:sz w:val="20"/>
                <w:szCs w:val="20"/>
                <w:color w:val="auto"/>
              </w:rPr>
            </w:pPr>
            <w:r>
              <w:rPr>
                <w:rFonts w:ascii="Times New Roman" w:cs="Times New Roman" w:eastAsia="Times New Roman" w:hAnsi="Times New Roman"/>
                <w:sz w:val="18"/>
                <w:szCs w:val="18"/>
                <w:color w:val="auto"/>
              </w:rPr>
              <w:t>10%</w:t>
            </w:r>
          </w:p>
        </w:tc>
        <w:tc>
          <w:tcPr>
            <w:tcW w:w="1380" w:type="dxa"/>
            <w:vAlign w:val="bottom"/>
            <w:tcBorders>
              <w:bottom w:val="single" w:sz="8" w:color="D9D9D9"/>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6"/>
              </w:rPr>
              <w:t>15%</w:t>
            </w:r>
          </w:p>
        </w:tc>
        <w:tc>
          <w:tcPr>
            <w:tcW w:w="2100" w:type="dxa"/>
            <w:vAlign w:val="bottom"/>
            <w:tcBorders>
              <w:bottom w:val="single" w:sz="8" w:color="D9D9D9"/>
            </w:tcBorders>
            <w:shd w:val="clear" w:color="auto" w:fill="D9D9D9"/>
          </w:tcPr>
          <w:p>
            <w:pPr>
              <w:jc w:val="center"/>
              <w:ind w:right="50"/>
              <w:spacing w:after="0"/>
              <w:rPr>
                <w:sz w:val="20"/>
                <w:szCs w:val="20"/>
                <w:color w:val="auto"/>
              </w:rPr>
            </w:pPr>
            <w:r>
              <w:rPr>
                <w:rFonts w:ascii="Times New Roman" w:cs="Times New Roman" w:eastAsia="Times New Roman" w:hAnsi="Times New Roman"/>
                <w:sz w:val="18"/>
                <w:szCs w:val="18"/>
                <w:color w:val="auto"/>
                <w:w w:val="99"/>
              </w:rPr>
              <w:t>5%</w:t>
            </w:r>
          </w:p>
        </w:tc>
        <w:tc>
          <w:tcPr>
            <w:tcW w:w="1760" w:type="dxa"/>
            <w:vAlign w:val="bottom"/>
            <w:tcBorders>
              <w:bottom w:val="single" w:sz="8" w:color="D9D9D9"/>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6"/>
              </w:rPr>
              <w:t>15%</w:t>
            </w:r>
          </w:p>
        </w:tc>
      </w:tr>
      <w:tr>
        <w:trPr>
          <w:trHeight w:val="237"/>
        </w:trPr>
        <w:tc>
          <w:tcPr>
            <w:tcW w:w="1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Ms. Skeffington</w:t>
            </w:r>
          </w:p>
        </w:tc>
        <w:tc>
          <w:tcPr>
            <w:tcW w:w="1420" w:type="dxa"/>
            <w:vAlign w:val="bottom"/>
            <w:tcBorders>
              <w:top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6"/>
              </w:rPr>
              <w:t>10%</w:t>
            </w:r>
          </w:p>
        </w:tc>
        <w:tc>
          <w:tcPr>
            <w:tcW w:w="1260" w:type="dxa"/>
            <w:vAlign w:val="bottom"/>
            <w:tcBorders>
              <w:top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10%</w:t>
            </w:r>
          </w:p>
        </w:tc>
        <w:tc>
          <w:tcPr>
            <w:tcW w:w="1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15%</w:t>
            </w:r>
          </w:p>
        </w:tc>
        <w:tc>
          <w:tcPr>
            <w:tcW w:w="210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5%</w:t>
            </w:r>
          </w:p>
        </w:tc>
        <w:tc>
          <w:tcPr>
            <w:tcW w:w="1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15%</w:t>
            </w:r>
          </w:p>
        </w:tc>
      </w:tr>
      <w:tr>
        <w:trPr>
          <w:trHeight w:val="27"/>
        </w:trPr>
        <w:tc>
          <w:tcPr>
            <w:tcW w:w="16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1680" w:type="dxa"/>
            <w:vAlign w:val="bottom"/>
            <w:tcBorders>
              <w:bottom w:val="single" w:sz="8" w:color="D9D9D9"/>
            </w:tcBorders>
            <w:shd w:val="clear" w:color="auto" w:fill="D9D9D9"/>
          </w:tcPr>
          <w:p>
            <w:pPr>
              <w:ind w:left="20"/>
              <w:spacing w:after="0"/>
              <w:rPr>
                <w:sz w:val="20"/>
                <w:szCs w:val="20"/>
                <w:color w:val="auto"/>
              </w:rPr>
            </w:pPr>
            <w:r>
              <w:rPr>
                <w:rFonts w:ascii="Times New Roman" w:cs="Times New Roman" w:eastAsia="Times New Roman" w:hAnsi="Times New Roman"/>
                <w:sz w:val="18"/>
                <w:szCs w:val="18"/>
                <w:color w:val="auto"/>
              </w:rPr>
              <w:t>Mr. Wise</w:t>
            </w:r>
          </w:p>
        </w:tc>
        <w:tc>
          <w:tcPr>
            <w:tcW w:w="1420" w:type="dxa"/>
            <w:vAlign w:val="bottom"/>
            <w:tcBorders>
              <w:bottom w:val="single" w:sz="8" w:color="D9D9D9"/>
            </w:tcBorders>
            <w:shd w:val="clear" w:color="auto" w:fill="D9D9D9"/>
          </w:tcPr>
          <w:p>
            <w:pPr>
              <w:jc w:val="center"/>
              <w:ind w:left="10"/>
              <w:spacing w:after="0"/>
              <w:rPr>
                <w:sz w:val="20"/>
                <w:szCs w:val="20"/>
                <w:color w:val="auto"/>
              </w:rPr>
            </w:pPr>
            <w:r>
              <w:rPr>
                <w:rFonts w:ascii="Times New Roman" w:cs="Times New Roman" w:eastAsia="Times New Roman" w:hAnsi="Times New Roman"/>
                <w:sz w:val="18"/>
                <w:szCs w:val="18"/>
                <w:color w:val="auto"/>
                <w:w w:val="96"/>
              </w:rPr>
              <w:t>10%</w:t>
            </w:r>
          </w:p>
        </w:tc>
        <w:tc>
          <w:tcPr>
            <w:tcW w:w="1260" w:type="dxa"/>
            <w:vAlign w:val="bottom"/>
            <w:tcBorders>
              <w:bottom w:val="single" w:sz="8" w:color="D9D9D9"/>
            </w:tcBorders>
            <w:shd w:val="clear" w:color="auto" w:fill="D9D9D9"/>
          </w:tcPr>
          <w:p>
            <w:pPr>
              <w:jc w:val="center"/>
              <w:ind w:left="30"/>
              <w:spacing w:after="0"/>
              <w:rPr>
                <w:sz w:val="20"/>
                <w:szCs w:val="20"/>
                <w:color w:val="auto"/>
              </w:rPr>
            </w:pPr>
            <w:r>
              <w:rPr>
                <w:rFonts w:ascii="Times New Roman" w:cs="Times New Roman" w:eastAsia="Times New Roman" w:hAnsi="Times New Roman"/>
                <w:sz w:val="18"/>
                <w:szCs w:val="18"/>
                <w:color w:val="auto"/>
              </w:rPr>
              <w:t>10%</w:t>
            </w:r>
          </w:p>
        </w:tc>
        <w:tc>
          <w:tcPr>
            <w:tcW w:w="1380" w:type="dxa"/>
            <w:vAlign w:val="bottom"/>
            <w:tcBorders>
              <w:bottom w:val="single" w:sz="8" w:color="D9D9D9"/>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6"/>
              </w:rPr>
              <w:t>15%</w:t>
            </w:r>
          </w:p>
        </w:tc>
        <w:tc>
          <w:tcPr>
            <w:tcW w:w="2100" w:type="dxa"/>
            <w:vAlign w:val="bottom"/>
            <w:tcBorders>
              <w:bottom w:val="single" w:sz="8" w:color="D9D9D9"/>
            </w:tcBorders>
            <w:shd w:val="clear" w:color="auto" w:fill="D9D9D9"/>
          </w:tcPr>
          <w:p>
            <w:pPr>
              <w:jc w:val="center"/>
              <w:ind w:right="50"/>
              <w:spacing w:after="0"/>
              <w:rPr>
                <w:sz w:val="20"/>
                <w:szCs w:val="20"/>
                <w:color w:val="auto"/>
              </w:rPr>
            </w:pPr>
            <w:r>
              <w:rPr>
                <w:rFonts w:ascii="Times New Roman" w:cs="Times New Roman" w:eastAsia="Times New Roman" w:hAnsi="Times New Roman"/>
                <w:sz w:val="18"/>
                <w:szCs w:val="18"/>
                <w:color w:val="auto"/>
                <w:w w:val="99"/>
              </w:rPr>
              <w:t>5%</w:t>
            </w:r>
          </w:p>
        </w:tc>
        <w:tc>
          <w:tcPr>
            <w:tcW w:w="1760" w:type="dxa"/>
            <w:vAlign w:val="bottom"/>
            <w:tcBorders>
              <w:bottom w:val="single" w:sz="8" w:color="D9D9D9"/>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6"/>
              </w:rPr>
              <w:t>15%</w:t>
            </w:r>
          </w:p>
        </w:tc>
      </w:tr>
      <w:tr>
        <w:trPr>
          <w:trHeight w:val="20"/>
        </w:trPr>
        <w:tc>
          <w:tcPr>
            <w:tcW w:w="16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non-financial objectives comprise product development projects that will drive revenue generation beyond 2019, plus a Leadership objective focused on developing our future leaders. The Design projects include two product development projects, each valued at 5% if the objectives are achieved within defined timelines. The Clinical projects are enrollment objectives for two clinical studies, each valued at 5%. The Regulatory projects include three regulatory submission objectives and a fourth project, together valued at 15%, and the Commercialization objective is a commercial launch objective valued at 5%. Together, the nine product development project objectives represent 25% of each executive’s target bonus, but total 40% if all objectives are achieved, representing a potential overachievement of 15%. The Leadership objective is valued at 15% and cannot be overachieved.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shows the minimum and maximum achievement of the target short-term incentive payment under the 2019 STIP.</w:t>
      </w:r>
    </w:p>
    <w:p>
      <w:pPr>
        <w:spacing w:after="0" w:line="383" w:lineRule="exact"/>
        <w:rPr>
          <w:sz w:val="20"/>
          <w:szCs w:val="20"/>
          <w:color w:val="auto"/>
        </w:rPr>
      </w:pPr>
    </w:p>
    <w:tbl>
      <w:tblPr>
        <w:tblLayout w:type="fixed"/>
        <w:tblInd w:w="2460" w:type="dxa"/>
        <w:tblCellMar>
          <w:top w:w="0" w:type="dxa"/>
          <w:left w:w="0" w:type="dxa"/>
          <w:bottom w:w="0" w:type="dxa"/>
          <w:right w:w="0" w:type="dxa"/>
        </w:tblCellMar>
      </w:tblPr>
      <w:tr>
        <w:trPr>
          <w:trHeight w:val="238"/>
        </w:trPr>
        <w:tc>
          <w:tcPr>
            <w:tcW w:w="2200" w:type="dxa"/>
            <w:vAlign w:val="bottom"/>
          </w:tcPr>
          <w:p>
            <w:pPr>
              <w:spacing w:after="0"/>
              <w:rPr>
                <w:sz w:val="20"/>
                <w:szCs w:val="20"/>
                <w:color w:val="auto"/>
              </w:rPr>
            </w:pPr>
          </w:p>
        </w:tc>
        <w:tc>
          <w:tcPr>
            <w:tcW w:w="244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r>
      <w:tr>
        <w:trPr>
          <w:trHeight w:val="27"/>
        </w:trPr>
        <w:tc>
          <w:tcPr>
            <w:tcW w:w="22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69"/>
        </w:trPr>
        <w:tc>
          <w:tcPr>
            <w:tcW w:w="2200" w:type="dxa"/>
            <w:vAlign w:val="bottom"/>
            <w:tcBorders>
              <w:bottom w:val="single" w:sz="8" w:color="D9D9D9"/>
            </w:tcBorders>
            <w:shd w:val="clear" w:color="auto" w:fill="D9D9D9"/>
          </w:tcPr>
          <w:p>
            <w:pPr>
              <w:ind w:left="20"/>
              <w:spacing w:after="0"/>
              <w:rPr>
                <w:sz w:val="20"/>
                <w:szCs w:val="20"/>
                <w:color w:val="auto"/>
              </w:rPr>
            </w:pPr>
            <w:r>
              <w:rPr>
                <w:rFonts w:ascii="Times New Roman" w:cs="Times New Roman" w:eastAsia="Times New Roman" w:hAnsi="Times New Roman"/>
                <w:sz w:val="18"/>
                <w:szCs w:val="18"/>
                <w:color w:val="auto"/>
              </w:rPr>
              <w:t>Mr. McDonald</w:t>
            </w:r>
          </w:p>
        </w:tc>
        <w:tc>
          <w:tcPr>
            <w:tcW w:w="2440" w:type="dxa"/>
            <w:vAlign w:val="bottom"/>
            <w:tcBorders>
              <w:bottom w:val="single" w:sz="8" w:color="D9D9D9"/>
            </w:tcBorders>
            <w:shd w:val="clear" w:color="auto" w:fill="D9D9D9"/>
          </w:tcPr>
          <w:p>
            <w:pPr>
              <w:jc w:val="center"/>
              <w:ind w:left="510"/>
              <w:spacing w:after="0"/>
              <w:rPr>
                <w:sz w:val="20"/>
                <w:szCs w:val="20"/>
                <w:color w:val="auto"/>
              </w:rPr>
            </w:pPr>
            <w:r>
              <w:rPr>
                <w:rFonts w:ascii="Times New Roman" w:cs="Times New Roman" w:eastAsia="Times New Roman" w:hAnsi="Times New Roman"/>
                <w:sz w:val="18"/>
                <w:szCs w:val="18"/>
                <w:color w:val="auto"/>
                <w:w w:val="99"/>
              </w:rPr>
              <w:t>0%</w:t>
            </w:r>
          </w:p>
        </w:tc>
        <w:tc>
          <w:tcPr>
            <w:tcW w:w="1880" w:type="dxa"/>
            <w:vAlign w:val="bottom"/>
            <w:tcBorders>
              <w:bottom w:val="single" w:sz="8" w:color="D9D9D9"/>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171%</w:t>
            </w:r>
          </w:p>
        </w:tc>
      </w:tr>
      <w:tr>
        <w:trPr>
          <w:trHeight w:val="237"/>
        </w:trPr>
        <w:tc>
          <w:tcPr>
            <w:tcW w:w="2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Mr. Huston</w:t>
            </w:r>
          </w:p>
        </w:tc>
        <w:tc>
          <w:tcPr>
            <w:tcW w:w="2440" w:type="dxa"/>
            <w:vAlign w:val="bottom"/>
            <w:tcBorders>
              <w:top w:val="single" w:sz="8" w:color="auto"/>
            </w:tcBorders>
          </w:tcPr>
          <w:p>
            <w:pPr>
              <w:jc w:val="center"/>
              <w:ind w:left="510"/>
              <w:spacing w:after="0"/>
              <w:rPr>
                <w:sz w:val="20"/>
                <w:szCs w:val="20"/>
                <w:color w:val="auto"/>
              </w:rPr>
            </w:pPr>
            <w:r>
              <w:rPr>
                <w:rFonts w:ascii="Times New Roman" w:cs="Times New Roman" w:eastAsia="Times New Roman" w:hAnsi="Times New Roman"/>
                <w:sz w:val="18"/>
                <w:szCs w:val="18"/>
                <w:color w:val="auto"/>
                <w:w w:val="99"/>
              </w:rPr>
              <w:t>0%</w:t>
            </w:r>
          </w:p>
        </w:tc>
        <w:tc>
          <w:tcPr>
            <w:tcW w:w="1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145%</w:t>
            </w:r>
          </w:p>
        </w:tc>
      </w:tr>
      <w:tr>
        <w:trPr>
          <w:trHeight w:val="27"/>
        </w:trPr>
        <w:tc>
          <w:tcPr>
            <w:tcW w:w="22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69"/>
        </w:trPr>
        <w:tc>
          <w:tcPr>
            <w:tcW w:w="2200" w:type="dxa"/>
            <w:vAlign w:val="bottom"/>
            <w:tcBorders>
              <w:bottom w:val="single" w:sz="8" w:color="D9D9D9"/>
            </w:tcBorders>
            <w:shd w:val="clear" w:color="auto" w:fill="D9D9D9"/>
          </w:tcPr>
          <w:p>
            <w:pPr>
              <w:ind w:left="20"/>
              <w:spacing w:after="0"/>
              <w:rPr>
                <w:sz w:val="20"/>
                <w:szCs w:val="20"/>
                <w:color w:val="auto"/>
              </w:rPr>
            </w:pPr>
            <w:r>
              <w:rPr>
                <w:rFonts w:ascii="Times New Roman" w:cs="Times New Roman" w:eastAsia="Times New Roman" w:hAnsi="Times New Roman"/>
                <w:sz w:val="18"/>
                <w:szCs w:val="18"/>
                <w:color w:val="auto"/>
              </w:rPr>
              <w:t>Mr. Manko</w:t>
            </w:r>
          </w:p>
        </w:tc>
        <w:tc>
          <w:tcPr>
            <w:tcW w:w="2440" w:type="dxa"/>
            <w:vAlign w:val="bottom"/>
            <w:tcBorders>
              <w:bottom w:val="single" w:sz="8" w:color="D9D9D9"/>
            </w:tcBorders>
            <w:shd w:val="clear" w:color="auto" w:fill="D9D9D9"/>
          </w:tcPr>
          <w:p>
            <w:pPr>
              <w:jc w:val="center"/>
              <w:ind w:left="510"/>
              <w:spacing w:after="0"/>
              <w:rPr>
                <w:sz w:val="20"/>
                <w:szCs w:val="20"/>
                <w:color w:val="auto"/>
              </w:rPr>
            </w:pPr>
            <w:r>
              <w:rPr>
                <w:rFonts w:ascii="Times New Roman" w:cs="Times New Roman" w:eastAsia="Times New Roman" w:hAnsi="Times New Roman"/>
                <w:sz w:val="18"/>
                <w:szCs w:val="18"/>
                <w:color w:val="auto"/>
                <w:w w:val="99"/>
              </w:rPr>
              <w:t>0%</w:t>
            </w:r>
          </w:p>
        </w:tc>
        <w:tc>
          <w:tcPr>
            <w:tcW w:w="1880" w:type="dxa"/>
            <w:vAlign w:val="bottom"/>
            <w:tcBorders>
              <w:bottom w:val="single" w:sz="8" w:color="D9D9D9"/>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145%</w:t>
            </w:r>
          </w:p>
        </w:tc>
      </w:tr>
      <w:tr>
        <w:trPr>
          <w:trHeight w:val="237"/>
        </w:trPr>
        <w:tc>
          <w:tcPr>
            <w:tcW w:w="2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Ms. Skeffington</w:t>
            </w:r>
          </w:p>
        </w:tc>
        <w:tc>
          <w:tcPr>
            <w:tcW w:w="2440" w:type="dxa"/>
            <w:vAlign w:val="bottom"/>
            <w:tcBorders>
              <w:top w:val="single" w:sz="8" w:color="auto"/>
            </w:tcBorders>
          </w:tcPr>
          <w:p>
            <w:pPr>
              <w:jc w:val="center"/>
              <w:ind w:left="510"/>
              <w:spacing w:after="0"/>
              <w:rPr>
                <w:sz w:val="20"/>
                <w:szCs w:val="20"/>
                <w:color w:val="auto"/>
              </w:rPr>
            </w:pPr>
            <w:r>
              <w:rPr>
                <w:rFonts w:ascii="Times New Roman" w:cs="Times New Roman" w:eastAsia="Times New Roman" w:hAnsi="Times New Roman"/>
                <w:sz w:val="18"/>
                <w:szCs w:val="18"/>
                <w:color w:val="auto"/>
                <w:w w:val="99"/>
              </w:rPr>
              <w:t>0%</w:t>
            </w:r>
          </w:p>
        </w:tc>
        <w:tc>
          <w:tcPr>
            <w:tcW w:w="1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145%</w:t>
            </w:r>
          </w:p>
        </w:tc>
      </w:tr>
      <w:tr>
        <w:trPr>
          <w:trHeight w:val="27"/>
        </w:trPr>
        <w:tc>
          <w:tcPr>
            <w:tcW w:w="22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69"/>
        </w:trPr>
        <w:tc>
          <w:tcPr>
            <w:tcW w:w="2200" w:type="dxa"/>
            <w:vAlign w:val="bottom"/>
            <w:tcBorders>
              <w:bottom w:val="single" w:sz="8" w:color="D9D9D9"/>
            </w:tcBorders>
            <w:shd w:val="clear" w:color="auto" w:fill="D9D9D9"/>
          </w:tcPr>
          <w:p>
            <w:pPr>
              <w:ind w:left="20"/>
              <w:spacing w:after="0"/>
              <w:rPr>
                <w:sz w:val="20"/>
                <w:szCs w:val="20"/>
                <w:color w:val="auto"/>
              </w:rPr>
            </w:pPr>
            <w:r>
              <w:rPr>
                <w:rFonts w:ascii="Times New Roman" w:cs="Times New Roman" w:eastAsia="Times New Roman" w:hAnsi="Times New Roman"/>
                <w:sz w:val="18"/>
                <w:szCs w:val="18"/>
                <w:color w:val="auto"/>
              </w:rPr>
              <w:t>Mr. Wise</w:t>
            </w:r>
          </w:p>
        </w:tc>
        <w:tc>
          <w:tcPr>
            <w:tcW w:w="2440" w:type="dxa"/>
            <w:vAlign w:val="bottom"/>
            <w:tcBorders>
              <w:bottom w:val="single" w:sz="8" w:color="D9D9D9"/>
            </w:tcBorders>
            <w:shd w:val="clear" w:color="auto" w:fill="D9D9D9"/>
          </w:tcPr>
          <w:p>
            <w:pPr>
              <w:jc w:val="center"/>
              <w:ind w:left="510"/>
              <w:spacing w:after="0"/>
              <w:rPr>
                <w:sz w:val="20"/>
                <w:szCs w:val="20"/>
                <w:color w:val="auto"/>
              </w:rPr>
            </w:pPr>
            <w:r>
              <w:rPr>
                <w:rFonts w:ascii="Times New Roman" w:cs="Times New Roman" w:eastAsia="Times New Roman" w:hAnsi="Times New Roman"/>
                <w:sz w:val="18"/>
                <w:szCs w:val="18"/>
                <w:color w:val="auto"/>
                <w:w w:val="99"/>
              </w:rPr>
              <w:t>0%</w:t>
            </w:r>
          </w:p>
        </w:tc>
        <w:tc>
          <w:tcPr>
            <w:tcW w:w="1880" w:type="dxa"/>
            <w:vAlign w:val="bottom"/>
            <w:tcBorders>
              <w:bottom w:val="single" w:sz="8" w:color="D9D9D9"/>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145%</w:t>
            </w:r>
          </w:p>
        </w:tc>
      </w:tr>
      <w:tr>
        <w:trPr>
          <w:trHeight w:val="885"/>
        </w:trPr>
        <w:tc>
          <w:tcPr>
            <w:tcW w:w="2200" w:type="dxa"/>
            <w:vAlign w:val="bottom"/>
            <w:tcBorders>
              <w:top w:val="single" w:sz="8" w:color="auto"/>
            </w:tcBorders>
          </w:tcPr>
          <w:p>
            <w:pPr>
              <w:spacing w:after="0"/>
              <w:rPr>
                <w:sz w:val="24"/>
                <w:szCs w:val="24"/>
                <w:color w:val="auto"/>
              </w:rPr>
            </w:pPr>
          </w:p>
        </w:tc>
        <w:tc>
          <w:tcPr>
            <w:tcW w:w="2440" w:type="dxa"/>
            <w:vAlign w:val="bottom"/>
            <w:tcBorders>
              <w:top w:val="single" w:sz="8" w:color="auto"/>
            </w:tcBorders>
          </w:tcPr>
          <w:p>
            <w:pPr>
              <w:jc w:val="right"/>
              <w:ind w:right="1250"/>
              <w:spacing w:after="0"/>
              <w:rPr>
                <w:sz w:val="20"/>
                <w:szCs w:val="20"/>
                <w:color w:val="auto"/>
              </w:rPr>
            </w:pPr>
            <w:r>
              <w:rPr>
                <w:rFonts w:ascii="Times New Roman" w:cs="Times New Roman" w:eastAsia="Times New Roman" w:hAnsi="Times New Roman"/>
                <w:sz w:val="18"/>
                <w:szCs w:val="18"/>
                <w:color w:val="auto"/>
              </w:rPr>
              <w:t>2</w:t>
            </w:r>
          </w:p>
        </w:tc>
        <w:tc>
          <w:tcPr>
            <w:tcW w:w="1880" w:type="dxa"/>
            <w:vAlign w:val="bottom"/>
            <w:tcBorders>
              <w:top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380"/>
      </w:cols>
      <w:pgMar w:left="240" w:top="522"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2019-12-28T16:10:45Z</dcterms:created>
  <dcterms:modified xsi:type="dcterms:W3CDTF">2019-12-28T16:10:45Z</dcterms:modified>
</cp:coreProperties>
</file>