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48190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481901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80"/>
          </w:cols>
          <w:pgMar w:left="240" w:top="226" w:right="15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MORRISON HUGH M</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20 EASTBOURNE TERRACE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LivaNova PLC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LIVN</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9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06/18/2019</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0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257" w:space="720"/>
            <w:col w:w="3443"/>
          </w:cols>
          <w:pgMar w:left="240" w:top="226" w:right="15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20" w:type="dxa"/>
            <w:vAlign w:val="bottom"/>
          </w:tcPr>
          <w:p>
            <w:pPr>
              <w:spacing w:after="0"/>
              <w:rPr>
                <w:sz w:val="20"/>
                <w:szCs w:val="20"/>
                <w:color w:val="auto"/>
              </w:rPr>
            </w:pPr>
            <w:r>
              <w:rPr>
                <w:rFonts w:ascii="Arial" w:cs="Arial" w:eastAsia="Arial" w:hAnsi="Arial"/>
                <w:sz w:val="18"/>
                <w:szCs w:val="18"/>
                <w:color w:val="0000FF"/>
              </w:rPr>
              <w:t>LONDON</w:t>
            </w:r>
          </w:p>
        </w:tc>
        <w:tc>
          <w:tcPr>
            <w:tcW w:w="1100" w:type="dxa"/>
            <w:vAlign w:val="bottom"/>
          </w:tcPr>
          <w:p>
            <w:pPr>
              <w:ind w:left="260"/>
              <w:spacing w:after="0"/>
              <w:rPr>
                <w:sz w:val="20"/>
                <w:szCs w:val="20"/>
                <w:color w:val="auto"/>
              </w:rPr>
            </w:pPr>
            <w:r>
              <w:rPr>
                <w:rFonts w:ascii="Arial" w:cs="Arial" w:eastAsia="Arial" w:hAnsi="Arial"/>
                <w:sz w:val="18"/>
                <w:szCs w:val="18"/>
                <w:color w:val="0000FF"/>
              </w:rPr>
              <w:t>X0</w:t>
            </w:r>
          </w:p>
        </w:tc>
        <w:tc>
          <w:tcPr>
            <w:tcW w:w="1680" w:type="dxa"/>
            <w:vAlign w:val="bottom"/>
          </w:tcPr>
          <w:p>
            <w:pPr>
              <w:ind w:left="420"/>
              <w:spacing w:after="0"/>
              <w:rPr>
                <w:sz w:val="20"/>
                <w:szCs w:val="20"/>
                <w:color w:val="auto"/>
              </w:rPr>
            </w:pPr>
            <w:r>
              <w:rPr>
                <w:rFonts w:ascii="Arial" w:cs="Arial" w:eastAsia="Arial" w:hAnsi="Arial"/>
                <w:sz w:val="18"/>
                <w:szCs w:val="18"/>
                <w:color w:val="0000FF"/>
              </w:rPr>
              <w:t>W2 6LG</w:t>
            </w:r>
          </w:p>
        </w:tc>
      </w:tr>
      <w:tr>
        <w:trPr>
          <w:trHeight w:val="158"/>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4"/>
                <w:szCs w:val="14"/>
                <w:color w:val="auto"/>
              </w:rPr>
              <w:t>(City)</w:t>
            </w:r>
          </w:p>
        </w:tc>
        <w:tc>
          <w:tcPr>
            <w:tcW w:w="1100" w:type="dxa"/>
            <w:vAlign w:val="bottom"/>
          </w:tcPr>
          <w:p>
            <w:pPr>
              <w:ind w:left="2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420"/>
          </w:cols>
          <w:pgMar w:left="240" w:top="226" w:right="159" w:bottom="1440" w:gutter="0" w:footer="0" w:header="0"/>
          <w:type w:val="continuous"/>
        </w:sectPr>
      </w:pPr>
    </w:p>
    <w:p>
      <w:pPr>
        <w:jc w:val="center"/>
        <w:ind w:right="8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0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80" w:type="dxa"/>
            <w:vAlign w:val="bottom"/>
          </w:tcPr>
          <w:p>
            <w:pPr>
              <w:ind w:left="8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900" w:type="dxa"/>
            <w:vAlign w:val="bottom"/>
          </w:tcPr>
          <w:p>
            <w:pPr>
              <w:ind w:left="10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9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9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9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900" w:type="dxa"/>
            <w:vAlign w:val="bottom"/>
            <w:vMerge w:val="restart"/>
          </w:tcPr>
          <w:p>
            <w:pPr>
              <w:ind w:left="100"/>
              <w:spacing w:after="0" w:line="135"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8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90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9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600" w:type="dxa"/>
            <w:vAlign w:val="bottom"/>
            <w:tcBorders>
              <w:bottom w:val="single" w:sz="8" w:color="2C2C2C"/>
            </w:tcBorders>
          </w:tcPr>
          <w:p>
            <w:pPr>
              <w:spacing w:after="0"/>
              <w:rPr>
                <w:sz w:val="6"/>
                <w:szCs w:val="6"/>
                <w:color w:val="auto"/>
              </w:rPr>
            </w:pPr>
          </w:p>
        </w:tc>
        <w:tc>
          <w:tcPr>
            <w:tcW w:w="188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88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60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80" w:type="dxa"/>
            <w:vAlign w:val="bottom"/>
            <w:tcBorders>
              <w:top w:val="single" w:sz="8" w:color="808080"/>
            </w:tcBorders>
            <w:shd w:val="clear" w:color="auto" w:fill="2C2C2C"/>
          </w:tcPr>
          <w:p>
            <w:pPr>
              <w:spacing w:after="0" w:line="20" w:lineRule="exact"/>
              <w:rPr>
                <w:sz w:val="1"/>
                <w:szCs w:val="1"/>
                <w:color w:val="auto"/>
              </w:rPr>
            </w:pPr>
          </w:p>
        </w:tc>
        <w:tc>
          <w:tcPr>
            <w:tcW w:w="960" w:type="dxa"/>
            <w:vAlign w:val="bottom"/>
            <w:tcBorders>
              <w:top w:val="single" w:sz="8" w:color="808080"/>
            </w:tcBorders>
            <w:shd w:val="clear" w:color="auto" w:fill="2C2C2C"/>
          </w:tcPr>
          <w:p>
            <w:pPr>
              <w:spacing w:after="0" w:line="20" w:lineRule="exact"/>
              <w:rPr>
                <w:sz w:val="1"/>
                <w:szCs w:val="1"/>
                <w:color w:val="auto"/>
              </w:rPr>
            </w:pPr>
          </w:p>
        </w:tc>
        <w:tc>
          <w:tcPr>
            <w:tcW w:w="900" w:type="dxa"/>
            <w:vAlign w:val="bottom"/>
            <w:tcBorders>
              <w:top w:val="single" w:sz="8" w:color="808080"/>
              <w:right w:val="single" w:sz="8" w:color="2C2C2C"/>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2"/>
                <w:szCs w:val="12"/>
                <w:color w:val="auto"/>
              </w:rPr>
            </w:pP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8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720" w:type="dxa"/>
            <w:vAlign w:val="bottom"/>
          </w:tcPr>
          <w:p>
            <w:pPr>
              <w:ind w:left="60"/>
              <w:spacing w:after="0"/>
              <w:rPr>
                <w:sz w:val="20"/>
                <w:szCs w:val="20"/>
                <w:color w:val="auto"/>
              </w:rPr>
            </w:pPr>
            <w:r>
              <w:rPr>
                <w:rFonts w:ascii="Arial" w:cs="Arial" w:eastAsia="Arial" w:hAnsi="Arial"/>
                <w:sz w:val="14"/>
                <w:szCs w:val="14"/>
                <w:color w:val="0000FF"/>
              </w:rPr>
              <w:t>Restricted</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(2)</w:t>
            </w:r>
          </w:p>
        </w:tc>
        <w:tc>
          <w:tcPr>
            <w:tcW w:w="740" w:type="dxa"/>
            <w:vAlign w:val="bottom"/>
            <w:vMerge w:val="restart"/>
          </w:tcPr>
          <w:p>
            <w:pPr>
              <w:jc w:val="right"/>
              <w:ind w:right="241"/>
              <w:spacing w:after="0"/>
              <w:rPr>
                <w:sz w:val="20"/>
                <w:szCs w:val="20"/>
                <w:color w:val="auto"/>
              </w:rPr>
            </w:pPr>
            <w:r>
              <w:rPr>
                <w:rFonts w:ascii="Arial" w:cs="Arial" w:eastAsia="Arial" w:hAnsi="Arial"/>
                <w:sz w:val="11"/>
                <w:szCs w:val="11"/>
                <w:color w:val="008000"/>
              </w:rPr>
              <w:t>(2)</w:t>
            </w:r>
          </w:p>
        </w:tc>
        <w:tc>
          <w:tcPr>
            <w:tcW w:w="700" w:type="dxa"/>
            <w:vAlign w:val="bottom"/>
            <w:vMerge w:val="restart"/>
          </w:tcPr>
          <w:p>
            <w:pPr>
              <w:ind w:left="80"/>
              <w:spacing w:after="0"/>
              <w:rPr>
                <w:sz w:val="20"/>
                <w:szCs w:val="20"/>
                <w:color w:val="auto"/>
              </w:rPr>
            </w:pPr>
            <w:r>
              <w:rPr>
                <w:rFonts w:ascii="Arial" w:cs="Arial" w:eastAsia="Arial" w:hAnsi="Arial"/>
                <w:sz w:val="14"/>
                <w:szCs w:val="14"/>
                <w:color w:val="0000FF"/>
              </w:rPr>
              <w:t>Ordinary</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1,500</w:t>
            </w: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720" w:type="dxa"/>
            <w:vAlign w:val="bottom"/>
            <w:vMerge w:val="restart"/>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5"/>
                <w:szCs w:val="5"/>
                <w:color w:val="auto"/>
              </w:rPr>
            </w:pPr>
          </w:p>
        </w:tc>
        <w:tc>
          <w:tcPr>
            <w:tcW w:w="1140" w:type="dxa"/>
            <w:vAlign w:val="bottom"/>
            <w:vMerge w:val="restart"/>
          </w:tcPr>
          <w:p>
            <w:pPr>
              <w:jc w:val="right"/>
              <w:ind w:right="198"/>
              <w:spacing w:after="0" w:line="149" w:lineRule="exact"/>
              <w:rPr>
                <w:sz w:val="20"/>
                <w:szCs w:val="20"/>
                <w:color w:val="auto"/>
              </w:rPr>
            </w:pPr>
            <w:r>
              <w:rPr>
                <w:rFonts w:ascii="Arial" w:cs="Arial" w:eastAsia="Arial" w:hAnsi="Arial"/>
                <w:sz w:val="14"/>
                <w:szCs w:val="14"/>
                <w:color w:val="0000FF"/>
              </w:rPr>
              <w:t>06/18/2019</w:t>
            </w:r>
          </w:p>
        </w:tc>
        <w:tc>
          <w:tcPr>
            <w:tcW w:w="1140" w:type="dxa"/>
            <w:vAlign w:val="bottom"/>
          </w:tcPr>
          <w:p>
            <w:pPr>
              <w:spacing w:after="0"/>
              <w:rPr>
                <w:sz w:val="5"/>
                <w:szCs w:val="5"/>
                <w:color w:val="auto"/>
              </w:rPr>
            </w:pPr>
          </w:p>
        </w:tc>
        <w:tc>
          <w:tcPr>
            <w:tcW w:w="820" w:type="dxa"/>
            <w:vAlign w:val="bottom"/>
            <w:vMerge w:val="restart"/>
          </w:tcPr>
          <w:p>
            <w:pPr>
              <w:ind w:left="160"/>
              <w:spacing w:after="0" w:line="149" w:lineRule="exact"/>
              <w:rPr>
                <w:sz w:val="20"/>
                <w:szCs w:val="20"/>
                <w:color w:val="auto"/>
              </w:rPr>
            </w:pPr>
            <w:r>
              <w:rPr>
                <w:rFonts w:ascii="Arial" w:cs="Arial" w:eastAsia="Arial" w:hAnsi="Arial"/>
                <w:sz w:val="14"/>
                <w:szCs w:val="14"/>
                <w:color w:val="0000FF"/>
              </w:rPr>
              <w:t>A</w:t>
            </w:r>
          </w:p>
        </w:tc>
        <w:tc>
          <w:tcPr>
            <w:tcW w:w="500" w:type="dxa"/>
            <w:vAlign w:val="bottom"/>
            <w:vMerge w:val="restart"/>
          </w:tcPr>
          <w:p>
            <w:pPr>
              <w:ind w:left="100"/>
              <w:spacing w:after="0" w:line="149" w:lineRule="exact"/>
              <w:rPr>
                <w:sz w:val="20"/>
                <w:szCs w:val="20"/>
                <w:color w:val="auto"/>
              </w:rPr>
            </w:pPr>
            <w:r>
              <w:rPr>
                <w:rFonts w:ascii="Arial" w:cs="Arial" w:eastAsia="Arial" w:hAnsi="Arial"/>
                <w:sz w:val="14"/>
                <w:szCs w:val="14"/>
                <w:color w:val="0000FF"/>
              </w:rPr>
              <w:t>1,500</w:t>
            </w:r>
          </w:p>
        </w:tc>
        <w:tc>
          <w:tcPr>
            <w:tcW w:w="28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720" w:type="dxa"/>
            <w:vAlign w:val="bottom"/>
            <w:vMerge w:val="restart"/>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8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1,500</w:t>
            </w:r>
          </w:p>
        </w:tc>
        <w:tc>
          <w:tcPr>
            <w:tcW w:w="78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D</w:t>
            </w: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72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50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700" w:type="dxa"/>
            <w:vAlign w:val="bottom"/>
            <w:vMerge w:val="restart"/>
          </w:tcPr>
          <w:p>
            <w:pPr>
              <w:ind w:left="140"/>
              <w:spacing w:after="0"/>
              <w:rPr>
                <w:sz w:val="20"/>
                <w:szCs w:val="20"/>
                <w:color w:val="auto"/>
              </w:rPr>
            </w:pPr>
            <w:r>
              <w:rPr>
                <w:rFonts w:ascii="Arial" w:cs="Arial" w:eastAsia="Arial" w:hAnsi="Arial"/>
                <w:sz w:val="14"/>
                <w:szCs w:val="14"/>
                <w:color w:val="0000FF"/>
              </w:rPr>
              <w:t>Shares</w:t>
            </w:r>
          </w:p>
        </w:tc>
        <w:tc>
          <w:tcPr>
            <w:tcW w:w="5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98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tcPr>
          <w:p>
            <w:pPr>
              <w:spacing w:after="0"/>
              <w:rPr>
                <w:sz w:val="7"/>
                <w:szCs w:val="7"/>
                <w:color w:val="auto"/>
              </w:rPr>
            </w:pPr>
          </w:p>
        </w:tc>
        <w:tc>
          <w:tcPr>
            <w:tcW w:w="500" w:type="dxa"/>
            <w:vAlign w:val="bottom"/>
          </w:tcPr>
          <w:p>
            <w:pPr>
              <w:spacing w:after="0"/>
              <w:rPr>
                <w:sz w:val="7"/>
                <w:szCs w:val="7"/>
                <w:color w:val="auto"/>
              </w:rPr>
            </w:pPr>
          </w:p>
        </w:tc>
        <w:tc>
          <w:tcPr>
            <w:tcW w:w="2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720" w:type="dxa"/>
            <w:vAlign w:val="bottom"/>
          </w:tcPr>
          <w:p>
            <w:pPr>
              <w:spacing w:after="0"/>
              <w:rPr>
                <w:sz w:val="7"/>
                <w:szCs w:val="7"/>
                <w:color w:val="auto"/>
              </w:rPr>
            </w:pPr>
          </w:p>
        </w:tc>
        <w:tc>
          <w:tcPr>
            <w:tcW w:w="98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tcPr>
          <w:p>
            <w:pPr>
              <w:spacing w:after="0"/>
              <w:rPr>
                <w:sz w:val="7"/>
                <w:szCs w:val="7"/>
                <w:color w:val="auto"/>
              </w:rPr>
            </w:pPr>
          </w:p>
        </w:tc>
        <w:tc>
          <w:tcPr>
            <w:tcW w:w="500" w:type="dxa"/>
            <w:vAlign w:val="bottom"/>
          </w:tcPr>
          <w:p>
            <w:pPr>
              <w:spacing w:after="0"/>
              <w:rPr>
                <w:sz w:val="7"/>
                <w:szCs w:val="7"/>
                <w:color w:val="auto"/>
              </w:rPr>
            </w:pPr>
          </w:p>
        </w:tc>
        <w:tc>
          <w:tcPr>
            <w:tcW w:w="2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540" w:type="dxa"/>
            <w:vAlign w:val="bottom"/>
          </w:tcPr>
          <w:p>
            <w:pPr>
              <w:spacing w:after="0"/>
              <w:rPr>
                <w:sz w:val="7"/>
                <w:szCs w:val="7"/>
                <w:color w:val="auto"/>
              </w:rPr>
            </w:pPr>
          </w:p>
        </w:tc>
        <w:tc>
          <w:tcPr>
            <w:tcW w:w="720" w:type="dxa"/>
            <w:vAlign w:val="bottom"/>
          </w:tcPr>
          <w:p>
            <w:pPr>
              <w:spacing w:after="0"/>
              <w:rPr>
                <w:sz w:val="7"/>
                <w:szCs w:val="7"/>
                <w:color w:val="auto"/>
              </w:rPr>
            </w:pPr>
          </w:p>
        </w:tc>
        <w:tc>
          <w:tcPr>
            <w:tcW w:w="98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50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Each restricted stock unit (RSU) represents a contingent right to receive one ordinary share (Ordinary Share) of LivaNova PLC (the Company), GBP 1.00 par value, in accordance with the terms of the LivaNova PLC 2015 Incentive Award Plan (the Plan) and the award agreement.</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Reporting person was granted RSUs to vest and forfeiture restrictions thereon to lapse on June 18 2020, subject to continued service during the vesting period and the RSU Agreement.</w:t>
      </w:r>
    </w:p>
    <w:p>
      <w:pPr>
        <w:spacing w:after="0" w:line="57"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700" w:type="dxa"/>
            <w:vAlign w:val="bottom"/>
          </w:tcPr>
          <w:p>
            <w:pPr>
              <w:spacing w:after="0"/>
              <w:rPr>
                <w:sz w:val="20"/>
                <w:szCs w:val="20"/>
                <w:color w:val="auto"/>
              </w:rPr>
            </w:pPr>
            <w:r>
              <w:rPr>
                <w:rFonts w:ascii="Arial" w:cs="Arial" w:eastAsia="Arial" w:hAnsi="Arial"/>
                <w:sz w:val="18"/>
                <w:szCs w:val="18"/>
                <w:color w:val="0000FF"/>
                <w:w w:val="89"/>
              </w:rPr>
              <w:t>/s/ Sarah K. Mohr, POA</w:t>
            </w:r>
          </w:p>
        </w:tc>
        <w:tc>
          <w:tcPr>
            <w:tcW w:w="420" w:type="dxa"/>
            <w:vAlign w:val="bottom"/>
          </w:tcPr>
          <w:p>
            <w:pPr>
              <w:spacing w:after="0"/>
              <w:rPr>
                <w:sz w:val="18"/>
                <w:szCs w:val="18"/>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06/20/2019</w:t>
            </w:r>
          </w:p>
        </w:tc>
      </w:tr>
      <w:tr>
        <w:trPr>
          <w:trHeight w:val="20"/>
        </w:trPr>
        <w:tc>
          <w:tcPr>
            <w:tcW w:w="17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6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00"/>
      </w:cols>
      <w:pgMar w:left="240" w:top="226" w:right="1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94337" TargetMode="External"/><Relationship Id="rId13" Type="http://schemas.openxmlformats.org/officeDocument/2006/relationships/hyperlink" Target="http://www.sec.gov/cgi-bin/browse-edgar?action=getcompany&amp;CIK=0001639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2019-12-24T09:07:44Z</dcterms:created>
  <dcterms:modified xsi:type="dcterms:W3CDTF">2019-12-24T09:07:44Z</dcterms:modified>
</cp:coreProperties>
</file>