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9347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93471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Kozmina Natalia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LivaNova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03/30/2026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13"/>
        <w:spacing w:after="0"/>
        <w:rPr>
          <w:sz w:val="20"/>
          <w:szCs w:val="20"/>
          <w:color w:val="auto"/>
        </w:rPr>
      </w:pPr>
      <w:r>
        <w:rPr>
          <w:rFonts w:ascii="Times New Roman" w:cs="Times New Roman" w:eastAsia="Times New Roman" w:hAnsi="Times New Roman"/>
          <w:sz w:val="17"/>
          <w:szCs w:val="17"/>
          <w:color w:val="0000FF"/>
        </w:rPr>
        <w:t>Chief Human Resources Officer</w:t>
      </w:r>
    </w:p>
    <w:p>
      <w:pPr>
        <w:spacing w:after="0" w:line="305"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2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3760" w:type="dxa"/>
            <w:vAlign w:val="bottom"/>
            <w:gridSpan w:val="7"/>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580" w:type="dxa"/>
            <w:vAlign w:val="bottom"/>
            <w:gridSpan w:val="10"/>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7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3760" w:type="dxa"/>
            <w:vAlign w:val="bottom"/>
            <w:gridSpan w:val="7"/>
            <w:vMerge w:val="continue"/>
          </w:tcPr>
          <w:p>
            <w:pPr>
              <w:spacing w:after="0"/>
              <w:rPr>
                <w:sz w:val="7"/>
                <w:szCs w:val="7"/>
                <w:color w:val="auto"/>
              </w:rPr>
            </w:pPr>
          </w:p>
        </w:tc>
        <w:tc>
          <w:tcPr>
            <w:tcW w:w="35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ind w:left="22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7"/>
              </w:rPr>
              <w:t>LONDON</w:t>
            </w:r>
          </w:p>
        </w:tc>
        <w:tc>
          <w:tcPr>
            <w:tcW w:w="7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X0</w:t>
            </w:r>
          </w:p>
        </w:tc>
        <w:tc>
          <w:tcPr>
            <w:tcW w:w="900" w:type="dxa"/>
            <w:vAlign w:val="bottom"/>
          </w:tcPr>
          <w:p>
            <w:pPr>
              <w:spacing w:after="0"/>
              <w:rPr>
                <w:sz w:val="19"/>
                <w:szCs w:val="19"/>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W26LG</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960" w:type="dxa"/>
            <w:vAlign w:val="bottom"/>
            <w:gridSpan w:val="7"/>
          </w:tcPr>
          <w:p>
            <w:pPr>
              <w:ind w:left="140"/>
              <w:spacing w:after="0" w:line="134"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40" w:type="dxa"/>
            <w:vAlign w:val="bottom"/>
            <w:gridSpan w:val="2"/>
            <w:vMerge w:val="restart"/>
          </w:tcPr>
          <w:p>
            <w:pPr>
              <w:ind w:left="50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8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40" w:type="dxa"/>
            <w:vAlign w:val="bottom"/>
            <w:tcBorders>
              <w:bottom w:val="single" w:sz="8" w:color="2C2C2C"/>
            </w:tcBorders>
            <w:gridSpan w:val="2"/>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6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060" w:type="dxa"/>
            <w:vAlign w:val="bottom"/>
            <w:tcBorders>
              <w:bottom w:val="single" w:sz="8" w:color="2C2C2C"/>
            </w:tcBorders>
            <w:gridSpan w:val="3"/>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6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60" w:type="dxa"/>
            <w:vAlign w:val="bottom"/>
            <w:gridSpan w:val="3"/>
          </w:tcPr>
          <w:p>
            <w:pPr>
              <w:ind w:left="8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03/30/2026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6,389</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00" w:type="dxa"/>
            <w:vAlign w:val="bottom"/>
            <w:tcBorders>
              <w:bottom w:val="single" w:sz="8" w:color="2C2C2C"/>
            </w:tcBorders>
          </w:tcPr>
          <w:p>
            <w:pPr>
              <w:jc w:val="center"/>
              <w:ind w:righ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6,389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9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03/30/2026</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1,374</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61.27</w:t>
            </w:r>
          </w:p>
        </w:tc>
        <w:tc>
          <w:tcPr>
            <w:tcW w:w="1260" w:type="dxa"/>
            <w:vAlign w:val="bottom"/>
            <w:tcBorders>
              <w:bottom w:val="single" w:sz="8" w:color="2C2C2C"/>
            </w:tcBorders>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5,015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90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jc w:val="right"/>
              <w:ind w:right="161"/>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58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900" w:type="dxa"/>
            <w:vAlign w:val="bottom"/>
          </w:tcPr>
          <w:p>
            <w:pPr>
              <w:spacing w:after="0"/>
              <w:rPr>
                <w:sz w:val="11"/>
                <w:szCs w:val="11"/>
                <w:color w:val="auto"/>
              </w:rPr>
            </w:pPr>
          </w:p>
        </w:tc>
        <w:tc>
          <w:tcPr>
            <w:tcW w:w="1260" w:type="dxa"/>
            <w:vAlign w:val="bottom"/>
            <w:gridSpan w:val="2"/>
          </w:tcPr>
          <w:p>
            <w:pPr>
              <w:ind w:left="22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61"/>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4,259</w:t>
            </w: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4,259</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8,518</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2,130</w:t>
            </w: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2,130</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4,258</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(3)</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9,792</w:t>
            </w:r>
          </w:p>
        </w:tc>
        <w:tc>
          <w:tcPr>
            <w:tcW w:w="460" w:type="dxa"/>
            <w:vAlign w:val="bottom"/>
          </w:tcPr>
          <w:p>
            <w:pPr>
              <w:spacing w:after="0"/>
              <w:rPr>
                <w:sz w:val="19"/>
                <w:szCs w:val="19"/>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(5)</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9,792</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9,792</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(6)</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3,264</w:t>
            </w:r>
          </w:p>
        </w:tc>
        <w:tc>
          <w:tcPr>
            <w:tcW w:w="460" w:type="dxa"/>
            <w:vAlign w:val="bottom"/>
          </w:tcPr>
          <w:p>
            <w:pPr>
              <w:spacing w:after="0"/>
              <w:rPr>
                <w:sz w:val="19"/>
                <w:szCs w:val="19"/>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008000"/>
              </w:rPr>
              <w:t>(7)</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(7)</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3,264</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3,264</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(6)</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3,264</w:t>
            </w:r>
          </w:p>
        </w:tc>
        <w:tc>
          <w:tcPr>
            <w:tcW w:w="460" w:type="dxa"/>
            <w:vAlign w:val="bottom"/>
          </w:tcPr>
          <w:p>
            <w:pPr>
              <w:spacing w:after="0"/>
              <w:rPr>
                <w:sz w:val="19"/>
                <w:szCs w:val="19"/>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(8)</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3,264</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3,264</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tcPr>
          <w:p>
            <w:pPr>
              <w:jc w:val="right"/>
              <w:ind w:right="282"/>
              <w:spacing w:after="0"/>
              <w:rPr>
                <w:sz w:val="20"/>
                <w:szCs w:val="20"/>
                <w:color w:val="auto"/>
              </w:rPr>
            </w:pPr>
            <w:r>
              <w:rPr>
                <w:rFonts w:ascii="Times New Roman" w:cs="Times New Roman" w:eastAsia="Times New Roman" w:hAnsi="Times New Roman"/>
                <w:sz w:val="11"/>
                <w:szCs w:val="11"/>
                <w:color w:val="008000"/>
              </w:rPr>
              <w:t>(6)</w:t>
            </w: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0000FF"/>
              </w:rPr>
              <w:t>03/30/2026</w:t>
            </w: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3,264</w:t>
            </w:r>
          </w:p>
        </w:tc>
        <w:tc>
          <w:tcPr>
            <w:tcW w:w="460" w:type="dxa"/>
            <w:vAlign w:val="bottom"/>
          </w:tcPr>
          <w:p>
            <w:pPr>
              <w:spacing w:after="0"/>
              <w:rPr>
                <w:sz w:val="19"/>
                <w:szCs w:val="19"/>
                <w:color w:val="auto"/>
              </w:rPr>
            </w:pPr>
          </w:p>
        </w:tc>
        <w:tc>
          <w:tcPr>
            <w:tcW w:w="760" w:type="dxa"/>
            <w:vAlign w:val="bottom"/>
          </w:tcPr>
          <w:p>
            <w:pPr>
              <w:jc w:val="right"/>
              <w:ind w:right="303"/>
              <w:spacing w:after="0"/>
              <w:rPr>
                <w:sz w:val="20"/>
                <w:szCs w:val="20"/>
                <w:color w:val="auto"/>
              </w:rPr>
            </w:pPr>
            <w:r>
              <w:rPr>
                <w:rFonts w:ascii="Times New Roman" w:cs="Times New Roman" w:eastAsia="Times New Roman" w:hAnsi="Times New Roman"/>
                <w:sz w:val="11"/>
                <w:szCs w:val="11"/>
                <w:color w:val="008000"/>
              </w:rPr>
              <w:t>(9)</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(9)</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3,264</w:t>
            </w:r>
          </w:p>
        </w:tc>
        <w:tc>
          <w:tcPr>
            <w:tcW w:w="60" w:type="dxa"/>
            <w:vAlign w:val="bottom"/>
          </w:tcPr>
          <w:p>
            <w:pPr>
              <w:spacing w:after="0"/>
              <w:rPr>
                <w:sz w:val="19"/>
                <w:szCs w:val="19"/>
                <w:color w:val="auto"/>
              </w:rPr>
            </w:pPr>
          </w:p>
        </w:tc>
        <w:tc>
          <w:tcPr>
            <w:tcW w:w="680" w:type="dxa"/>
            <w:vAlign w:val="bottom"/>
            <w:gridSpan w:val="2"/>
          </w:tcPr>
          <w:p>
            <w:pPr>
              <w:jc w:val="center"/>
              <w:ind w:right="4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ind w:left="280"/>
              <w:spacing w:after="0"/>
              <w:rPr>
                <w:sz w:val="20"/>
                <w:szCs w:val="20"/>
                <w:color w:val="auto"/>
              </w:rPr>
            </w:pPr>
            <w:r>
              <w:rPr>
                <w:rFonts w:ascii="Times New Roman" w:cs="Times New Roman" w:eastAsia="Times New Roman" w:hAnsi="Times New Roman"/>
                <w:sz w:val="13"/>
                <w:szCs w:val="13"/>
                <w:color w:val="0000FF"/>
                <w:w w:val="95"/>
              </w:rPr>
              <w:t>3,264</w:t>
            </w:r>
          </w:p>
        </w:tc>
        <w:tc>
          <w:tcPr>
            <w:tcW w:w="28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-3031490</wp:posOffset>
            </wp:positionV>
            <wp:extent cx="28575" cy="30365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30365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1" w:lineRule="exact"/>
        <w:rPr>
          <w:rFonts w:ascii="Times New Roman" w:cs="Times New Roman" w:eastAsia="Times New Roman" w:hAnsi="Times New Roman"/>
          <w:sz w:val="13"/>
          <w:szCs w:val="13"/>
          <w:color w:val="008000"/>
        </w:rPr>
      </w:pPr>
    </w:p>
    <w:p>
      <w:pPr>
        <w:ind w:left="40" w:right="2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applicable Company incentive award plan identified in the footnote for such grant and the award agreement.</w:t>
      </w:r>
    </w:p>
    <w:p>
      <w:pPr>
        <w:spacing w:after="0" w:line="20"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2025, reporting person was granted RSUs subject to a three-year vesting in equal annual installments, the first vesting occurring on March 30, 2026. The RSUs are subject to forfeiture prior to vesting in accordance with the terms of the First Amended and Restated LivaNova PLC 2022 Incentive Award Plan (the First A&amp;R 2022 Plan) and the award agreement.</w:t>
      </w:r>
    </w:p>
    <w:p>
      <w:pPr>
        <w:spacing w:after="0" w:line="20"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RSUs subject to a three-year vesting in equal annual installments, the first vesting occurring on March 30, 2027. The RSUs are subject to forfeiture prior to vesting in accordance with the terms of the Second Amended and Restated LivaNova PLC 2022 Incentive Award Plan (the Second A&amp;R 2022 Plan) and the award agreement.</w:t>
      </w:r>
    </w:p>
    <w:p>
      <w:pPr>
        <w:spacing w:after="0" w:line="20" w:lineRule="exact"/>
        <w:rPr>
          <w:rFonts w:ascii="Times New Roman" w:cs="Times New Roman" w:eastAsia="Times New Roman" w:hAnsi="Times New Roman"/>
          <w:sz w:val="13"/>
          <w:szCs w:val="13"/>
          <w:color w:val="008000"/>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applicable Company incentive award plan identified in the footnote for such grant and the award agreement.</w:t>
      </w:r>
    </w:p>
    <w:p>
      <w:pPr>
        <w:spacing w:after="0" w:line="20"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revenue growth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jc w:val="both"/>
        <w:ind w:left="40" w:right="4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the Company's relative total shareholder return (rTSR) for the three-year period beginning on January 1, 2026 and ending December 31, 2028 relative to the total shareholder return of an index of companies, as determined by the Second A&amp;R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jc w:val="both"/>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2026, reporting person was granted PSUs to vest or lapse on March 30, 2029 based on how the Company's adjusted earnings per share (EPS) for the performance period 2026-2028 compares to a target determined by the Second A&amp;R 2022 Plan Administrator. The number included in column 5 of Table II reflects the target number of PSUs eligible for vesting subject to continued service during the vesting period and the award agreement.</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04/01/2026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80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097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2336"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2026-04-01T16:43:22Z</dcterms:created>
  <dcterms:modified xsi:type="dcterms:W3CDTF">2026-04-01T16:43:22Z</dcterms:modified>
</cp:coreProperties>
</file>