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42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425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Daniel Jeffrey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06/15/2018</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1,000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104.95</w:t>
            </w:r>
            <w:r>
              <w:rPr>
                <w:rFonts w:ascii="Arial" w:cs="Arial" w:eastAsia="Arial" w:hAnsi="Arial"/>
                <w:sz w:val="22"/>
                <w:szCs w:val="22"/>
                <w:color w:val="008000"/>
                <w:w w:val="91"/>
                <w:vertAlign w:val="superscript"/>
              </w:rPr>
              <w:t>(2)</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48,296</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80"/>
              <w:spacing w:after="0"/>
              <w:rPr>
                <w:sz w:val="20"/>
                <w:szCs w:val="20"/>
                <w:color w:val="auto"/>
              </w:rPr>
            </w:pPr>
            <w:r>
              <w:rPr>
                <w:rFonts w:ascii="Arial" w:cs="Arial" w:eastAsia="Arial" w:hAnsi="Arial"/>
                <w:sz w:val="14"/>
                <w:szCs w:val="14"/>
                <w:color w:val="0000FF"/>
              </w:rPr>
              <w:t>Ordinary</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1,762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06/15/2018</w:t>
            </w:r>
          </w:p>
        </w:tc>
        <w:tc>
          <w:tcPr>
            <w:tcW w:w="1140" w:type="dxa"/>
            <w:vAlign w:val="bottom"/>
          </w:tcPr>
          <w:p>
            <w:pPr>
              <w:spacing w:after="0"/>
              <w:rPr>
                <w:sz w:val="5"/>
                <w:szCs w:val="5"/>
                <w:color w:val="auto"/>
              </w:rPr>
            </w:pPr>
          </w:p>
        </w:tc>
        <w:tc>
          <w:tcPr>
            <w:tcW w:w="48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420" w:type="dxa"/>
            <w:vAlign w:val="bottom"/>
          </w:tcPr>
          <w:p>
            <w:pPr>
              <w:spacing w:after="0"/>
              <w:rPr>
                <w:sz w:val="5"/>
                <w:szCs w:val="5"/>
                <w:color w:val="auto"/>
              </w:rPr>
            </w:pPr>
          </w:p>
        </w:tc>
        <w:tc>
          <w:tcPr>
            <w:tcW w:w="42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rPr>
              <w:t>1,762</w:t>
            </w:r>
          </w:p>
        </w:tc>
        <w:tc>
          <w:tcPr>
            <w:tcW w:w="3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4,647</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sold pursuant to a Rule 10b5-1 Plan adopted by reporting person on November 24, 2017.</w:t>
      </w:r>
    </w:p>
    <w:p>
      <w:pPr>
        <w:spacing w:after="0" w:line="41" w:lineRule="exact"/>
        <w:rPr>
          <w:rFonts w:ascii="Arial" w:cs="Arial" w:eastAsia="Arial" w:hAnsi="Arial"/>
          <w:sz w:val="14"/>
          <w:szCs w:val="14"/>
          <w:color w:val="008000"/>
        </w:rPr>
      </w:pPr>
    </w:p>
    <w:p>
      <w:pPr>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approximately 10 separate sales on the transaction date at prices ranging from $104.46 to $105.20. The reporting person hereby undertakes to provide upon request to the SEC, the issuer or any stockholder of the issuer, the full information regarding the number of shares and prices at which the transaction was effected.</w:t>
      </w: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RSUs that vest and all forfeiture restrictions thereon shall lapse on June 15, 2019. The RSUs are subject to forfeiture prior to vesting in accordance with the terms of the Plan and the award agreement.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06/19/2018</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2019-12-24T08:56:57Z</dcterms:created>
  <dcterms:modified xsi:type="dcterms:W3CDTF">2019-12-24T08:56:57Z</dcterms:modified>
</cp:coreProperties>
</file>