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3"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-620395</wp:posOffset>
            </wp:positionV>
            <wp:extent cx="57785" cy="6337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14605</wp:posOffset>
            </wp:positionV>
            <wp:extent cx="6995160" cy="4982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4982845"/>
                    </a:xfrm>
                    <a:prstGeom prst="rect">
                      <a:avLst/>
                    </a:prstGeom>
                    <a:noFill/>
                  </pic:spPr>
                </pic:pic>
              </a:graphicData>
            </a:graphic>
          </wp:anchor>
        </w:drawing>
      </w:r>
    </w:p>
    <w:p>
      <w:pPr>
        <w:spacing w:after="0" w:line="92" w:lineRule="exact"/>
        <w:rPr>
          <w:sz w:val="24"/>
          <w:szCs w:val="24"/>
          <w:color w:val="auto"/>
        </w:rPr>
      </w:pPr>
    </w:p>
    <w:p>
      <w:pPr>
        <w:sectPr>
          <w:pgSz w:w="11900" w:h="16838" w:orient="portrait"/>
          <w:cols w:equalWidth="0" w:num="2">
            <w:col w:w="2240" w:space="340"/>
            <w:col w:w="850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Skeffington Keyna Pidcock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LivaNova PLC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LIVN</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0000FF"/>
        </w:rPr>
        <w:t>06/12/2021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60"/>
        <w:spacing w:after="0" w:line="23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0" w:type="dxa"/>
        <w:tblCellMar>
          <w:top w:w="0" w:type="dxa"/>
          <w:left w:w="0" w:type="dxa"/>
          <w:bottom w:w="0" w:type="dxa"/>
          <w:right w:w="0" w:type="dxa"/>
        </w:tblCellMar>
      </w:tblPr>
      <w:tr>
        <w:trPr>
          <w:trHeight w:val="154"/>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040"/>
        <w:spacing w:after="0"/>
        <w:rPr>
          <w:sz w:val="20"/>
          <w:szCs w:val="20"/>
          <w:color w:val="auto"/>
        </w:rPr>
      </w:pPr>
      <w:r>
        <w:rPr>
          <w:rFonts w:ascii="Arial" w:cs="Arial" w:eastAsia="Arial" w:hAnsi="Arial"/>
          <w:sz w:val="17"/>
          <w:szCs w:val="17"/>
          <w:color w:val="0000FF"/>
        </w:rPr>
        <w:t>General Counsel</w:t>
      </w:r>
    </w:p>
    <w:p>
      <w:pPr>
        <w:spacing w:after="0" w:line="301" w:lineRule="exact"/>
        <w:rPr>
          <w:sz w:val="24"/>
          <w:szCs w:val="24"/>
          <w:color w:val="auto"/>
        </w:rPr>
      </w:pPr>
    </w:p>
    <w:p>
      <w:pPr>
        <w:sectPr>
          <w:pgSz w:w="11900" w:h="16838" w:orient="portrait"/>
          <w:cols w:equalWidth="0" w:num="3">
            <w:col w:w="3180" w:space="720"/>
            <w:col w:w="3100" w:space="720"/>
            <w:col w:w="3360"/>
          </w:cols>
          <w:pgMar w:left="460" w:top="220" w:right="35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LONDON</w:t>
            </w:r>
          </w:p>
        </w:tc>
        <w:tc>
          <w:tcPr>
            <w:tcW w:w="1060" w:type="dxa"/>
            <w:vAlign w:val="bottom"/>
          </w:tcPr>
          <w:p>
            <w:pPr>
              <w:ind w:left="260"/>
              <w:spacing w:after="0"/>
              <w:rPr>
                <w:sz w:val="20"/>
                <w:szCs w:val="20"/>
                <w:color w:val="auto"/>
              </w:rPr>
            </w:pPr>
            <w:r>
              <w:rPr>
                <w:rFonts w:ascii="Arial" w:cs="Arial" w:eastAsia="Arial" w:hAnsi="Arial"/>
                <w:sz w:val="17"/>
                <w:szCs w:val="17"/>
                <w:color w:val="0000FF"/>
              </w:rPr>
              <w:t>X0</w:t>
            </w:r>
          </w:p>
        </w:tc>
        <w:tc>
          <w:tcPr>
            <w:tcW w:w="1600" w:type="dxa"/>
            <w:vAlign w:val="bottom"/>
          </w:tcPr>
          <w:p>
            <w:pPr>
              <w:ind w:left="420"/>
              <w:spacing w:after="0"/>
              <w:rPr>
                <w:sz w:val="20"/>
                <w:szCs w:val="20"/>
                <w:color w:val="auto"/>
              </w:rPr>
            </w:pPr>
            <w:r>
              <w:rPr>
                <w:rFonts w:ascii="Arial" w:cs="Arial" w:eastAsia="Arial" w:hAnsi="Arial"/>
                <w:sz w:val="17"/>
                <w:szCs w:val="17"/>
                <w:color w:val="0000FF"/>
              </w:rPr>
              <w:t>W2 6LG</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14"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293" w:lineRule="exact"/>
        <w:rPr>
          <w:sz w:val="24"/>
          <w:szCs w:val="24"/>
          <w:color w:val="auto"/>
        </w:rPr>
      </w:pPr>
    </w:p>
    <w:p>
      <w:pPr>
        <w:sectPr>
          <w:pgSz w:w="11900" w:h="16838" w:orient="portrait"/>
          <w:cols w:equalWidth="0" w:num="2">
            <w:col w:w="3740" w:space="160"/>
            <w:col w:w="7180"/>
          </w:cols>
          <w:pgMar w:left="460" w:top="220"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2A. Deemed</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800"/>
              <w:spacing w:after="0" w:line="125" w:lineRule="exact"/>
              <w:rPr>
                <w:sz w:val="20"/>
                <w:szCs w:val="20"/>
                <w:color w:val="auto"/>
              </w:rPr>
            </w:pPr>
            <w:r>
              <w:rPr>
                <w:rFonts w:ascii="Arial" w:cs="Arial" w:eastAsia="Arial" w:hAnsi="Arial"/>
                <w:sz w:val="11"/>
                <w:szCs w:val="11"/>
                <w:b w:val="1"/>
                <w:bCs w:val="1"/>
                <w:color w:val="auto"/>
              </w:rPr>
              <w:t>Date</w:t>
            </w:r>
          </w:p>
        </w:tc>
        <w:tc>
          <w:tcPr>
            <w:tcW w:w="740" w:type="dxa"/>
            <w:vAlign w:val="bottom"/>
          </w:tcPr>
          <w:p>
            <w:pPr>
              <w:spacing w:after="0"/>
              <w:rPr>
                <w:sz w:val="10"/>
                <w:szCs w:val="10"/>
                <w:color w:val="auto"/>
              </w:rPr>
            </w:pPr>
          </w:p>
        </w:tc>
        <w:tc>
          <w:tcPr>
            <w:tcW w:w="110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260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360" w:type="dxa"/>
            <w:vAlign w:val="bottom"/>
            <w:gridSpan w:val="2"/>
          </w:tcPr>
          <w:p>
            <w:pPr>
              <w:ind w:left="2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22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06/12/2021</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00"/>
              <w:spacing w:after="0"/>
              <w:rPr>
                <w:sz w:val="20"/>
                <w:szCs w:val="20"/>
                <w:color w:val="auto"/>
              </w:rPr>
            </w:pPr>
            <w:r>
              <w:rPr>
                <w:rFonts w:ascii="Arial" w:cs="Arial" w:eastAsia="Arial" w:hAnsi="Arial"/>
                <w:sz w:val="13"/>
                <w:szCs w:val="13"/>
                <w:color w:val="0000FF"/>
              </w:rPr>
              <w:t>M</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1,146</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20" w:type="dxa"/>
            <w:vAlign w:val="bottom"/>
            <w:tcBorders>
              <w:bottom w:val="single" w:sz="8" w:color="2C2C2C"/>
            </w:tcBorders>
          </w:tcPr>
          <w:p>
            <w:pPr>
              <w:jc w:val="center"/>
              <w:spacing w:after="0" w:line="306"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ind w:right="303"/>
              <w:spacing w:after="0"/>
              <w:rPr>
                <w:sz w:val="20"/>
                <w:szCs w:val="20"/>
                <w:color w:val="auto"/>
              </w:rPr>
            </w:pPr>
            <w:r>
              <w:rPr>
                <w:rFonts w:ascii="Arial" w:cs="Arial" w:eastAsia="Arial" w:hAnsi="Arial"/>
                <w:sz w:val="17"/>
                <w:szCs w:val="17"/>
                <w:color w:val="0000FF"/>
              </w:rPr>
              <w:t>6,064</w:t>
            </w:r>
            <w:r>
              <w:rPr>
                <w:rFonts w:ascii="Arial" w:cs="Arial" w:eastAsia="Arial" w:hAnsi="Arial"/>
                <w:sz w:val="21"/>
                <w:szCs w:val="21"/>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06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900"/>
              <w:spacing w:after="0"/>
              <w:rPr>
                <w:sz w:val="20"/>
                <w:szCs w:val="20"/>
                <w:color w:val="auto"/>
              </w:rPr>
            </w:pPr>
            <w:r>
              <w:rPr>
                <w:rFonts w:ascii="Arial" w:cs="Arial" w:eastAsia="Arial" w:hAnsi="Arial"/>
                <w:sz w:val="17"/>
                <w:szCs w:val="17"/>
                <w:color w:val="0000FF"/>
              </w:rPr>
              <w:t>06/12/2021</w:t>
            </w:r>
          </w:p>
        </w:tc>
        <w:tc>
          <w:tcPr>
            <w:tcW w:w="7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120"/>
              <w:spacing w:after="0"/>
              <w:rPr>
                <w:sz w:val="20"/>
                <w:szCs w:val="20"/>
                <w:color w:val="auto"/>
              </w:rPr>
            </w:pPr>
            <w:r>
              <w:rPr>
                <w:rFonts w:ascii="Arial" w:cs="Arial" w:eastAsia="Arial" w:hAnsi="Arial"/>
                <w:sz w:val="13"/>
                <w:szCs w:val="13"/>
                <w:color w:val="0000FF"/>
              </w:rPr>
              <w:t>F</w:t>
            </w:r>
          </w:p>
        </w:tc>
        <w:tc>
          <w:tcPr>
            <w:tcW w:w="7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539</w:t>
            </w:r>
            <w:r>
              <w:rPr>
                <w:rFonts w:ascii="Arial" w:cs="Arial" w:eastAsia="Arial" w:hAnsi="Arial"/>
                <w:sz w:val="21"/>
                <w:szCs w:val="21"/>
                <w:color w:val="008000"/>
                <w:vertAlign w:val="superscript"/>
              </w:rPr>
              <w:t>(3)</w:t>
            </w:r>
          </w:p>
        </w:tc>
        <w:tc>
          <w:tcPr>
            <w:tcW w:w="66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81.79</w:t>
            </w:r>
          </w:p>
        </w:tc>
        <w:tc>
          <w:tcPr>
            <w:tcW w:w="1260" w:type="dxa"/>
            <w:vAlign w:val="bottom"/>
            <w:tcBorders>
              <w:bottom w:val="single" w:sz="8" w:color="2C2C2C"/>
            </w:tcBorders>
            <w:gridSpan w:val="3"/>
          </w:tcPr>
          <w:p>
            <w:pPr>
              <w:jc w:val="right"/>
              <w:ind w:right="383"/>
              <w:spacing w:after="0"/>
              <w:rPr>
                <w:sz w:val="20"/>
                <w:szCs w:val="20"/>
                <w:color w:val="auto"/>
              </w:rPr>
            </w:pPr>
            <w:r>
              <w:rPr>
                <w:rFonts w:ascii="Arial" w:cs="Arial" w:eastAsia="Arial" w:hAnsi="Arial"/>
                <w:sz w:val="17"/>
                <w:szCs w:val="17"/>
                <w:color w:val="0000FF"/>
              </w:rPr>
              <w:t>5,525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5. Number</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of</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Expiration Date</w:t>
            </w: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Derivative</w:t>
            </w: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Acquired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Disposed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of (D)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(Instr. 3, 4</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and 5)</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gridSpan w:val="2"/>
          </w:tcPr>
          <w:p>
            <w:pPr>
              <w:ind w:left="6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spacing w:after="0"/>
              <w:rPr>
                <w:sz w:val="11"/>
                <w:szCs w:val="11"/>
                <w:color w:val="auto"/>
              </w:rPr>
            </w:pPr>
          </w:p>
        </w:tc>
        <w:tc>
          <w:tcPr>
            <w:tcW w:w="780" w:type="dxa"/>
            <w:vAlign w:val="bottom"/>
          </w:tcPr>
          <w:p>
            <w:pPr>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(A)  (D)</w:t>
            </w:r>
          </w:p>
        </w:tc>
        <w:tc>
          <w:tcPr>
            <w:tcW w:w="900" w:type="dxa"/>
            <w:vAlign w:val="bottom"/>
            <w:gridSpan w:val="3"/>
          </w:tcPr>
          <w:p>
            <w:pPr>
              <w:ind w:left="60"/>
              <w:spacing w:after="0"/>
              <w:rPr>
                <w:sz w:val="20"/>
                <w:szCs w:val="20"/>
                <w:color w:val="auto"/>
              </w:rPr>
            </w:pPr>
            <w:r>
              <w:rPr>
                <w:rFonts w:ascii="Arial" w:cs="Arial" w:eastAsia="Arial" w:hAnsi="Arial"/>
                <w:sz w:val="11"/>
                <w:szCs w:val="11"/>
                <w:b w:val="1"/>
                <w:bCs w:val="1"/>
                <w:color w:val="auto"/>
              </w:rPr>
              <w:t>Exercisable</w:t>
            </w:r>
          </w:p>
        </w:tc>
        <w:tc>
          <w:tcPr>
            <w:tcW w:w="78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008000"/>
              </w:rPr>
              <w:t>(4)</w:t>
            </w: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00" w:type="dxa"/>
            <w:vAlign w:val="bottom"/>
            <w:gridSpan w:val="3"/>
            <w:vMerge w:val="restart"/>
          </w:tcPr>
          <w:p>
            <w:pPr>
              <w:ind w:left="60"/>
              <w:spacing w:after="0"/>
              <w:rPr>
                <w:sz w:val="20"/>
                <w:szCs w:val="20"/>
                <w:color w:val="auto"/>
              </w:rPr>
            </w:pPr>
            <w:r>
              <w:rPr>
                <w:rFonts w:ascii="Arial" w:cs="Arial" w:eastAsia="Arial" w:hAnsi="Arial"/>
                <w:sz w:val="13"/>
                <w:szCs w:val="13"/>
                <w:color w:val="0000FF"/>
                <w:w w:val="99"/>
              </w:rPr>
              <w:t>06/12/2021</w:t>
            </w:r>
            <w:r>
              <w:rPr>
                <w:rFonts w:ascii="Arial" w:cs="Arial" w:eastAsia="Arial" w:hAnsi="Arial"/>
                <w:sz w:val="21"/>
                <w:szCs w:val="21"/>
                <w:color w:val="008000"/>
                <w:w w:val="99"/>
                <w:vertAlign w:val="superscript"/>
              </w:rPr>
              <w:t>(5)</w:t>
            </w:r>
          </w:p>
        </w:tc>
        <w:tc>
          <w:tcPr>
            <w:tcW w:w="780" w:type="dxa"/>
            <w:vAlign w:val="bottom"/>
            <w:vMerge w:val="restart"/>
          </w:tcPr>
          <w:p>
            <w:pPr>
              <w:jc w:val="right"/>
              <w:spacing w:after="0"/>
              <w:rPr>
                <w:sz w:val="20"/>
                <w:szCs w:val="20"/>
                <w:color w:val="auto"/>
              </w:rPr>
            </w:pPr>
            <w:r>
              <w:rPr>
                <w:rFonts w:ascii="Arial" w:cs="Arial" w:eastAsia="Arial" w:hAnsi="Arial"/>
                <w:sz w:val="13"/>
                <w:szCs w:val="13"/>
                <w:color w:val="0000FF"/>
                <w:w w:val="85"/>
              </w:rPr>
              <w:t>06/12/2021</w:t>
            </w:r>
            <w:r>
              <w:rPr>
                <w:rFonts w:ascii="Arial" w:cs="Arial" w:eastAsia="Arial" w:hAnsi="Arial"/>
                <w:sz w:val="21"/>
                <w:szCs w:val="21"/>
                <w:color w:val="008000"/>
                <w:w w:val="85"/>
                <w:vertAlign w:val="superscript"/>
              </w:rPr>
              <w:t>(5)</w:t>
            </w:r>
          </w:p>
        </w:tc>
        <w:tc>
          <w:tcPr>
            <w:tcW w:w="660" w:type="dxa"/>
            <w:vAlign w:val="bottom"/>
            <w:vMerge w:val="restart"/>
          </w:tcPr>
          <w:p>
            <w:pPr>
              <w:ind w:left="8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1,146</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vMerge w:val="restart"/>
          </w:tcPr>
          <w:p>
            <w:pPr>
              <w:ind w:left="320"/>
              <w:spacing w:after="0"/>
              <w:rPr>
                <w:sz w:val="20"/>
                <w:szCs w:val="20"/>
                <w:color w:val="auto"/>
              </w:rPr>
            </w:pPr>
            <w:r>
              <w:rPr>
                <w:rFonts w:ascii="Arial" w:cs="Arial" w:eastAsia="Arial" w:hAnsi="Arial"/>
                <w:sz w:val="25"/>
                <w:szCs w:val="25"/>
                <w:color w:val="0000FF"/>
                <w:vertAlign w:val="subscript"/>
              </w:rPr>
              <w:t>0</w:t>
            </w:r>
            <w:r>
              <w:rPr>
                <w:rFonts w:ascii="Arial" w:cs="Arial" w:eastAsia="Arial" w:hAnsi="Arial"/>
                <w:sz w:val="11"/>
                <w:szCs w:val="11"/>
                <w:color w:val="008000"/>
              </w:rPr>
              <w:t>(6)</w:t>
            </w: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Stock</w:t>
            </w:r>
          </w:p>
        </w:tc>
        <w:tc>
          <w:tcPr>
            <w:tcW w:w="760" w:type="dxa"/>
            <w:vAlign w:val="bottom"/>
            <w:vMerge w:val="continue"/>
          </w:tcPr>
          <w:p>
            <w:pPr>
              <w:spacing w:after="0"/>
              <w:rPr>
                <w:sz w:val="5"/>
                <w:szCs w:val="5"/>
                <w:color w:val="auto"/>
              </w:rPr>
            </w:pPr>
          </w:p>
        </w:tc>
        <w:tc>
          <w:tcPr>
            <w:tcW w:w="1060" w:type="dxa"/>
            <w:vAlign w:val="bottom"/>
            <w:vMerge w:val="restart"/>
          </w:tcPr>
          <w:p>
            <w:pPr>
              <w:jc w:val="right"/>
              <w:ind w:right="161"/>
              <w:spacing w:after="0" w:line="141" w:lineRule="exact"/>
              <w:rPr>
                <w:sz w:val="20"/>
                <w:szCs w:val="20"/>
                <w:color w:val="auto"/>
              </w:rPr>
            </w:pPr>
            <w:r>
              <w:rPr>
                <w:rFonts w:ascii="Arial" w:cs="Arial" w:eastAsia="Arial" w:hAnsi="Arial"/>
                <w:sz w:val="13"/>
                <w:szCs w:val="13"/>
                <w:color w:val="0000FF"/>
              </w:rPr>
              <w:t>06/12/2021</w:t>
            </w:r>
          </w:p>
        </w:tc>
        <w:tc>
          <w:tcPr>
            <w:tcW w:w="1100" w:type="dxa"/>
            <w:vAlign w:val="bottom"/>
          </w:tcPr>
          <w:p>
            <w:pPr>
              <w:spacing w:after="0"/>
              <w:rPr>
                <w:sz w:val="5"/>
                <w:szCs w:val="5"/>
                <w:color w:val="auto"/>
              </w:rPr>
            </w:pPr>
          </w:p>
        </w:tc>
        <w:tc>
          <w:tcPr>
            <w:tcW w:w="740" w:type="dxa"/>
            <w:vAlign w:val="bottom"/>
            <w:vMerge w:val="restart"/>
          </w:tcPr>
          <w:p>
            <w:pPr>
              <w:ind w:left="160"/>
              <w:spacing w:after="0" w:line="141" w:lineRule="exact"/>
              <w:rPr>
                <w:sz w:val="20"/>
                <w:szCs w:val="20"/>
                <w:color w:val="auto"/>
              </w:rPr>
            </w:pPr>
            <w:r>
              <w:rPr>
                <w:rFonts w:ascii="Arial" w:cs="Arial" w:eastAsia="Arial" w:hAnsi="Arial"/>
                <w:sz w:val="13"/>
                <w:szCs w:val="13"/>
                <w:color w:val="0000FF"/>
              </w:rPr>
              <w:t>M</w:t>
            </w:r>
          </w:p>
        </w:tc>
        <w:tc>
          <w:tcPr>
            <w:tcW w:w="780" w:type="dxa"/>
            <w:vAlign w:val="bottom"/>
            <w:vMerge w:val="restart"/>
          </w:tcPr>
          <w:p>
            <w:pPr>
              <w:ind w:left="420"/>
              <w:spacing w:after="0" w:line="141" w:lineRule="exact"/>
              <w:rPr>
                <w:sz w:val="20"/>
                <w:szCs w:val="20"/>
                <w:color w:val="auto"/>
              </w:rPr>
            </w:pPr>
            <w:r>
              <w:rPr>
                <w:rFonts w:ascii="Arial" w:cs="Arial" w:eastAsia="Arial" w:hAnsi="Arial"/>
                <w:sz w:val="13"/>
                <w:szCs w:val="13"/>
                <w:color w:val="0000FF"/>
              </w:rPr>
              <w:t>1,146</w:t>
            </w:r>
          </w:p>
        </w:tc>
        <w:tc>
          <w:tcPr>
            <w:tcW w:w="900" w:type="dxa"/>
            <w:vAlign w:val="bottom"/>
            <w:gridSpan w:val="3"/>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vMerge w:val="restart"/>
          </w:tcPr>
          <w:p>
            <w:pPr>
              <w:ind w:left="320"/>
              <w:spacing w:after="0" w:line="141"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900" w:type="dxa"/>
            <w:vAlign w:val="bottom"/>
            <w:gridSpan w:val="3"/>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Shares</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7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-2072640</wp:posOffset>
            </wp:positionV>
            <wp:extent cx="29210" cy="2078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78355"/>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2" w:lineRule="exact"/>
        <w:rPr>
          <w:rFonts w:ascii="Arial" w:cs="Arial" w:eastAsia="Arial" w:hAnsi="Arial"/>
          <w:sz w:val="13"/>
          <w:szCs w:val="13"/>
          <w:color w:val="008000"/>
        </w:rPr>
      </w:pPr>
    </w:p>
    <w:p>
      <w:pPr>
        <w:ind w:left="40" w:right="1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total amount of securities beneficially owned following this reported transaction and includes the addition of one (1) share omitted from a previous Form 4 filing due to an administrative error.</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2" w:lineRule="exact"/>
        <w:rPr>
          <w:rFonts w:ascii="Arial" w:cs="Arial" w:eastAsia="Arial" w:hAnsi="Arial"/>
          <w:sz w:val="13"/>
          <w:szCs w:val="13"/>
          <w:color w:val="008000"/>
        </w:rPr>
      </w:pPr>
    </w:p>
    <w:p>
      <w:pPr>
        <w:ind w:left="40" w:right="4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6" w:lineRule="exact"/>
        <w:rPr>
          <w:rFonts w:ascii="Arial" w:cs="Arial" w:eastAsia="Arial" w:hAnsi="Arial"/>
          <w:sz w:val="13"/>
          <w:szCs w:val="13"/>
          <w:color w:val="008000"/>
        </w:rPr>
      </w:pPr>
    </w:p>
    <w:p>
      <w:pPr>
        <w:ind w:left="40" w:right="440" w:firstLine="1"/>
        <w:spacing w:after="0" w:line="245"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June 12, 2017, reporting person was granted RSUs on subject to a four-year vesting schedule, the first vesting for which occurred on June 12, 2018. The RSUs are subject to forfeiture prior to vesting in accordance with the terms of the Plan and the award agreement.</w:t>
      </w:r>
    </w:p>
    <w:p>
      <w:pPr>
        <w:spacing w:after="0" w:line="26" w:lineRule="exact"/>
        <w:rPr>
          <w:rFonts w:ascii="Arial" w:cs="Arial" w:eastAsia="Arial" w:hAnsi="Arial"/>
          <w:sz w:val="13"/>
          <w:szCs w:val="13"/>
          <w:color w:val="008000"/>
        </w:rPr>
      </w:pPr>
    </w:p>
    <w:p>
      <w:pPr>
        <w:ind w:left="160" w:hanging="119"/>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number reflects the number of derivative securities beneficially owned following reported transaction for this specific grant.</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600" w:type="dxa"/>
            <w:vAlign w:val="bottom"/>
          </w:tcPr>
          <w:p>
            <w:pPr>
              <w:spacing w:after="0"/>
              <w:rPr>
                <w:sz w:val="20"/>
                <w:szCs w:val="20"/>
                <w:color w:val="auto"/>
              </w:rPr>
            </w:pPr>
            <w:r>
              <w:rPr>
                <w:rFonts w:ascii="Arial" w:cs="Arial" w:eastAsia="Arial" w:hAnsi="Arial"/>
                <w:sz w:val="17"/>
                <w:szCs w:val="17"/>
                <w:color w:val="0000FF"/>
                <w:w w:val="88"/>
              </w:rPr>
              <w:t>/s/ Sarah K. Mohr, POA</w:t>
            </w:r>
          </w:p>
        </w:tc>
        <w:tc>
          <w:tcPr>
            <w:tcW w:w="420" w:type="dxa"/>
            <w:vAlign w:val="bottom"/>
          </w:tcPr>
          <w:p>
            <w:pPr>
              <w:spacing w:after="0"/>
              <w:rPr>
                <w:sz w:val="16"/>
                <w:szCs w:val="16"/>
                <w:color w:val="auto"/>
              </w:rPr>
            </w:pPr>
          </w:p>
        </w:tc>
        <w:tc>
          <w:tcPr>
            <w:tcW w:w="920" w:type="dxa"/>
            <w:vAlign w:val="bottom"/>
            <w:gridSpan w:val="2"/>
          </w:tcPr>
          <w:p>
            <w:pPr>
              <w:ind w:left="180"/>
              <w:spacing w:after="0"/>
              <w:rPr>
                <w:sz w:val="20"/>
                <w:szCs w:val="20"/>
                <w:color w:val="auto"/>
              </w:rPr>
            </w:pPr>
            <w:r>
              <w:rPr>
                <w:rFonts w:ascii="Arial" w:cs="Arial" w:eastAsia="Arial" w:hAnsi="Arial"/>
                <w:sz w:val="17"/>
                <w:szCs w:val="17"/>
                <w:color w:val="0000FF"/>
                <w:w w:val="84"/>
              </w:rPr>
              <w:t>06/15/2021</w:t>
            </w:r>
          </w:p>
        </w:tc>
      </w:tr>
      <w:tr>
        <w:trPr>
          <w:trHeight w:val="20"/>
        </w:trPr>
        <w:tc>
          <w:tcPr>
            <w:tcW w:w="16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2"/>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29"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0" w:right="35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07" w:lineRule="exact"/>
        <w:rPr>
          <w:sz w:val="20"/>
          <w:szCs w:val="20"/>
          <w:color w:val="auto"/>
        </w:rPr>
      </w:pPr>
    </w:p>
    <w:p>
      <w:pPr>
        <w:ind w:right="220" w:firstLine="613"/>
        <w:spacing w:after="0" w:line="327" w:lineRule="auto"/>
        <w:rPr>
          <w:sz w:val="20"/>
          <w:szCs w:val="20"/>
          <w:color w:val="auto"/>
        </w:rPr>
      </w:pPr>
      <w:r>
        <w:rPr>
          <w:rFonts w:ascii="Arial" w:cs="Arial" w:eastAsia="Arial" w:hAnsi="Arial"/>
          <w:sz w:val="17"/>
          <w:szCs w:val="17"/>
          <w:color w:val="auto"/>
        </w:rPr>
        <w:t>Know all by these presents, that the undersigned hereby constitutes and appoints each of (i) the Chief Executive Officer of LivaNova PLC, a public limited company organized under the laws of England and Wales (the “Company”), who is currently Damien McDonald, (ii) the Company’s Chief Financial Officer, who is currently Thad Huston, (iii) the Company’s Company Secretary, who is currently Catherine Moroz, and any Deputy Company Secretary or internal counsel to the Company, and (iv) the Company’s Chief Administrative Officer, who is currently David S. Wise, and their respective successors, signing singly, the undersigned’s true and lawful attorney-in-fact to:</w:t>
      </w:r>
    </w:p>
    <w:p>
      <w:pPr>
        <w:spacing w:after="0" w:line="112" w:lineRule="exact"/>
        <w:rPr>
          <w:sz w:val="20"/>
          <w:szCs w:val="20"/>
          <w:color w:val="auto"/>
        </w:rPr>
      </w:pPr>
    </w:p>
    <w:p>
      <w:pPr>
        <w:ind w:left="1220" w:right="20" w:hanging="604"/>
        <w:spacing w:after="0" w:line="314" w:lineRule="auto"/>
        <w:tabs>
          <w:tab w:leader="none" w:pos="122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20" w:lineRule="exact"/>
        <w:rPr>
          <w:rFonts w:ascii="Arial" w:cs="Arial" w:eastAsia="Arial" w:hAnsi="Arial"/>
          <w:sz w:val="18"/>
          <w:szCs w:val="18"/>
          <w:color w:val="auto"/>
        </w:rPr>
      </w:pPr>
    </w:p>
    <w:p>
      <w:pPr>
        <w:ind w:left="1220" w:right="160" w:hanging="604"/>
        <w:spacing w:after="0" w:line="340"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1" w:lineRule="exact"/>
        <w:rPr>
          <w:rFonts w:ascii="Arial" w:cs="Arial" w:eastAsia="Arial" w:hAnsi="Arial"/>
          <w:sz w:val="17"/>
          <w:szCs w:val="17"/>
          <w:color w:val="auto"/>
        </w:rPr>
      </w:pPr>
    </w:p>
    <w:p>
      <w:pPr>
        <w:jc w:val="both"/>
        <w:ind w:left="1220" w:right="20" w:hanging="604"/>
        <w:spacing w:after="0" w:line="331" w:lineRule="auto"/>
        <w:tabs>
          <w:tab w:leader="none" w:pos="1220" w:val="left"/>
        </w:tabs>
        <w:numPr>
          <w:ilvl w:val="0"/>
          <w:numId w:val="4"/>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10" w:lineRule="exact"/>
        <w:rPr>
          <w:sz w:val="20"/>
          <w:szCs w:val="20"/>
          <w:color w:val="auto"/>
        </w:rPr>
      </w:pPr>
    </w:p>
    <w:p>
      <w:pPr>
        <w:ind w:firstLine="613"/>
        <w:spacing w:after="0" w:line="302"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32" w:lineRule="exact"/>
        <w:rPr>
          <w:sz w:val="20"/>
          <w:szCs w:val="20"/>
          <w:color w:val="auto"/>
        </w:rPr>
      </w:pPr>
    </w:p>
    <w:p>
      <w:pPr>
        <w:ind w:right="160" w:firstLine="613"/>
        <w:spacing w:after="0" w:line="284"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5" w:lineRule="exact"/>
        <w:rPr>
          <w:sz w:val="20"/>
          <w:szCs w:val="20"/>
          <w:color w:val="auto"/>
        </w:rPr>
      </w:pPr>
    </w:p>
    <w:p>
      <w:pPr>
        <w:ind w:right="140" w:firstLine="613"/>
        <w:spacing w:after="0" w:line="333"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103" w:lineRule="exact"/>
        <w:rPr>
          <w:sz w:val="20"/>
          <w:szCs w:val="20"/>
          <w:color w:val="auto"/>
        </w:rPr>
      </w:pPr>
    </w:p>
    <w:p>
      <w:pPr>
        <w:ind w:right="20" w:firstLine="613"/>
        <w:spacing w:after="0" w:line="288"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4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WITNESS WHEREOF, the undersigned has caused this Power of Attorney to be executed as of this 18th day of July, 2017.</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900"/>
        <w:spacing w:after="0"/>
        <w:rPr>
          <w:sz w:val="20"/>
          <w:szCs w:val="20"/>
          <w:color w:val="auto"/>
        </w:rPr>
      </w:pPr>
      <w:r>
        <w:rPr>
          <w:rFonts w:ascii="Arial" w:cs="Arial" w:eastAsia="Arial" w:hAnsi="Arial"/>
          <w:sz w:val="19"/>
          <w:szCs w:val="19"/>
          <w:color w:val="auto"/>
        </w:rPr>
        <w:t>/s/ Keyna Skeffington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-13970</wp:posOffset>
            </wp:positionV>
            <wp:extent cx="13982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98270" cy="8255"/>
                    </a:xfrm>
                    <a:prstGeom prst="rect">
                      <a:avLst/>
                    </a:prstGeom>
                    <a:noFill/>
                  </pic:spPr>
                </pic:pic>
              </a:graphicData>
            </a:graphic>
          </wp:anchor>
        </w:drawing>
      </w:r>
    </w:p>
    <w:p>
      <w:pPr>
        <w:ind w:left="4900"/>
        <w:spacing w:after="0"/>
        <w:rPr>
          <w:sz w:val="20"/>
          <w:szCs w:val="20"/>
          <w:color w:val="auto"/>
        </w:rPr>
      </w:pPr>
      <w:r>
        <w:rPr>
          <w:rFonts w:ascii="Arial" w:cs="Arial" w:eastAsia="Arial" w:hAnsi="Arial"/>
          <w:sz w:val="19"/>
          <w:szCs w:val="19"/>
          <w:color w:val="auto"/>
        </w:rPr>
        <w:t>Keyna Skeffington</w:t>
      </w:r>
    </w:p>
    <w:sectPr>
      <w:pgSz w:w="11900" w:h="16838" w:orient="portrait"/>
      <w:cols w:equalWidth="0" w:num="1">
        <w:col w:w="10980"/>
      </w:cols>
      <w:pgMar w:left="460" w:top="349"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71288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2021-06-15T17:23:51Z</dcterms:created>
  <dcterms:modified xsi:type="dcterms:W3CDTF">2021-06-15T17:23:51Z</dcterms:modified>
</cp:coreProperties>
</file>