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Moore Daniel Jeffrey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925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2595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5"/>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0000FF"/>
                <w:w w:val="89"/>
              </w:rPr>
              <w:t>2,524</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30,876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3"/>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06/18/2020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0000FF"/>
                <w:w w:val="83"/>
              </w:rPr>
              <w:t>1,136</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48.29</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29,740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33"/>
              <w:spacing w:after="0"/>
              <w:rPr>
                <w:sz w:val="20"/>
                <w:szCs w:val="20"/>
                <w:color w:val="auto"/>
              </w:rPr>
            </w:pPr>
            <w:r>
              <w:rPr>
                <w:rFonts w:ascii="Arial" w:cs="Arial" w:eastAsia="Arial" w:hAnsi="Arial"/>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DJM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18"/>
                <w:szCs w:val="18"/>
                <w:color w:val="auto"/>
              </w:rPr>
            </w:pPr>
          </w:p>
        </w:tc>
        <w:tc>
          <w:tcPr>
            <w:tcW w:w="15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06/19/2020</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jc w:val="center"/>
              <w:ind w:right="281"/>
              <w:spacing w:after="0"/>
              <w:rPr>
                <w:sz w:val="20"/>
                <w:szCs w:val="20"/>
                <w:color w:val="auto"/>
              </w:rPr>
            </w:pPr>
            <w:r>
              <w:rPr>
                <w:rFonts w:ascii="Arial" w:cs="Arial" w:eastAsia="Arial" w:hAnsi="Arial"/>
                <w:sz w:val="11"/>
                <w:szCs w:val="11"/>
                <w:color w:val="0000FF"/>
                <w:w w:val="71"/>
              </w:rPr>
              <w:t>J</w:t>
            </w:r>
          </w:p>
        </w:tc>
        <w:tc>
          <w:tcPr>
            <w:tcW w:w="720" w:type="dxa"/>
            <w:vAlign w:val="bottom"/>
            <w:vMerge w:val="restart"/>
          </w:tcPr>
          <w:p>
            <w:pPr>
              <w:jc w:val="center"/>
              <w:ind w:left="34"/>
              <w:spacing w:after="0"/>
              <w:rPr>
                <w:sz w:val="20"/>
                <w:szCs w:val="20"/>
                <w:color w:val="auto"/>
              </w:rPr>
            </w:pPr>
            <w:r>
              <w:rPr>
                <w:rFonts w:ascii="Arial" w:cs="Arial" w:eastAsia="Arial" w:hAnsi="Arial"/>
                <w:sz w:val="17"/>
                <w:szCs w:val="17"/>
                <w:color w:val="0000FF"/>
                <w:w w:val="89"/>
              </w:rPr>
              <w:t>2,586</w:t>
            </w:r>
          </w:p>
        </w:tc>
        <w:tc>
          <w:tcPr>
            <w:tcW w:w="6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 w:type="dxa"/>
            <w:vAlign w:val="bottom"/>
          </w:tcPr>
          <w:p>
            <w:pPr>
              <w:spacing w:after="0"/>
              <w:rPr>
                <w:sz w:val="18"/>
                <w:szCs w:val="18"/>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8"/>
                <w:szCs w:val="18"/>
                <w:color w:val="auto"/>
              </w:rPr>
            </w:pPr>
          </w:p>
        </w:tc>
        <w:tc>
          <w:tcPr>
            <w:tcW w:w="720" w:type="dxa"/>
            <w:vAlign w:val="bottom"/>
            <w:vMerge w:val="restart"/>
          </w:tcPr>
          <w:p>
            <w:pPr>
              <w:jc w:val="center"/>
              <w:ind w:left="336"/>
              <w:spacing w:after="0"/>
              <w:rPr>
                <w:sz w:val="20"/>
                <w:szCs w:val="20"/>
                <w:color w:val="auto"/>
              </w:rPr>
            </w:pPr>
            <w:r>
              <w:rPr>
                <w:rFonts w:ascii="Arial" w:cs="Arial" w:eastAsia="Arial" w:hAnsi="Arial"/>
                <w:sz w:val="17"/>
                <w:szCs w:val="17"/>
                <w:color w:val="0000FF"/>
                <w:w w:val="84"/>
              </w:rPr>
              <w:t>0</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vMerge w:val="restart"/>
          </w:tcPr>
          <w:p>
            <w:pPr>
              <w:jc w:val="center"/>
              <w:ind w:right="333"/>
              <w:spacing w:after="0"/>
              <w:rPr>
                <w:sz w:val="20"/>
                <w:szCs w:val="20"/>
                <w:color w:val="auto"/>
              </w:rPr>
            </w:pPr>
            <w:r>
              <w:rPr>
                <w:rFonts w:ascii="Arial" w:cs="Arial" w:eastAsia="Arial" w:hAnsi="Arial"/>
                <w:sz w:val="17"/>
                <w:szCs w:val="17"/>
                <w:color w:val="0000FF"/>
              </w:rPr>
              <w:t>I</w:t>
            </w: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5"/>
          </w:tcPr>
          <w:p>
            <w:pPr>
              <w:ind w:left="60"/>
              <w:spacing w:after="0"/>
              <w:rPr>
                <w:sz w:val="20"/>
                <w:szCs w:val="20"/>
                <w:color w:val="auto"/>
              </w:rPr>
            </w:pPr>
            <w:r>
              <w:rPr>
                <w:rFonts w:ascii="Arial" w:cs="Arial" w:eastAsia="Arial" w:hAnsi="Arial"/>
                <w:sz w:val="17"/>
                <w:szCs w:val="17"/>
                <w:color w:val="0000FF"/>
              </w:rPr>
              <w:t>Ltd.</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2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2,524</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2,524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60"/>
              <w:spacing w:after="0" w:line="143" w:lineRule="exact"/>
              <w:rPr>
                <w:sz w:val="20"/>
                <w:szCs w:val="20"/>
                <w:color w:val="auto"/>
              </w:rPr>
            </w:pPr>
            <w:r>
              <w:rPr>
                <w:rFonts w:ascii="Arial" w:cs="Arial" w:eastAsia="Arial" w:hAnsi="Arial"/>
                <w:sz w:val="13"/>
                <w:szCs w:val="13"/>
                <w:color w:val="0000FF"/>
              </w:rPr>
              <w:t>0</w:t>
            </w:r>
          </w:p>
        </w:tc>
        <w:tc>
          <w:tcPr>
            <w:tcW w:w="340" w:type="dxa"/>
            <w:vAlign w:val="bottom"/>
          </w:tcPr>
          <w:p>
            <w:pPr>
              <w:spacing w:after="0"/>
              <w:rPr>
                <w:sz w:val="5"/>
                <w:szCs w:val="5"/>
                <w:color w:val="auto"/>
              </w:rPr>
            </w:pPr>
          </w:p>
        </w:tc>
        <w:tc>
          <w:tcPr>
            <w:tcW w:w="5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D</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entry represents the distribution of securities by the DJM Family Partnership Ltd. to the Moore 2012 Gift Trust. Reporting person has no ownership interest in the Moore 2012 Gift Trust.</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Daniel J. Moore</w:t>
            </w:r>
          </w:p>
        </w:tc>
        <w:tc>
          <w:tcPr>
            <w:tcW w:w="780" w:type="dxa"/>
            <w:vAlign w:val="bottom"/>
          </w:tcPr>
          <w:p>
            <w:pPr>
              <w:spacing w:after="0"/>
              <w:rPr>
                <w:sz w:val="20"/>
                <w:szCs w:val="20"/>
                <w:color w:val="auto"/>
              </w:rPr>
            </w:pPr>
            <w:r>
              <w:rPr>
                <w:rFonts w:ascii="Arial" w:cs="Arial" w:eastAsia="Arial" w:hAnsi="Arial"/>
                <w:sz w:val="17"/>
                <w:szCs w:val="17"/>
                <w:color w:val="0000FF"/>
                <w:w w:val="89"/>
              </w:rPr>
              <w:t>06/22/2020</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0085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2020-06-22T20:10:22Z</dcterms:created>
  <dcterms:modified xsi:type="dcterms:W3CDTF">2020-06-22T20:10:22Z</dcterms:modified>
</cp:coreProperties>
</file>