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-226060</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5"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-613410</wp:posOffset>
            </wp:positionV>
            <wp:extent cx="57785" cy="626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674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-613410</wp:posOffset>
            </wp:positionV>
            <wp:extent cx="57785" cy="626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674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726440</wp:posOffset>
            </wp:positionV>
            <wp:extent cx="6996430" cy="6226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6430" cy="6226175"/>
                    </a:xfrm>
                    <a:prstGeom prst="rect">
                      <a:avLst/>
                    </a:prstGeom>
                    <a:noFill/>
                  </pic:spPr>
                </pic:pic>
              </a:graphicData>
            </a:graphic>
          </wp:anchor>
        </w:drawing>
      </w:r>
    </w:p>
    <w:p>
      <w:pPr>
        <w:spacing w:after="0" w:line="1195" w:lineRule="exact"/>
        <w:rPr>
          <w:sz w:val="24"/>
          <w:szCs w:val="24"/>
          <w:color w:val="auto"/>
        </w:rPr>
      </w:pPr>
    </w:p>
    <w:p>
      <w:pPr>
        <w:sectPr>
          <w:pgSz w:w="11900" w:h="16896" w:orient="portrait"/>
          <w:cols w:equalWidth="0" w:num="2">
            <w:col w:w="2280" w:space="360"/>
            <w:col w:w="8440"/>
          </w:cols>
          <w:pgMar w:left="460" w:top="215" w:right="359" w:bottom="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Hutchinson Michael Damon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 EASTBOURNE TERRACE</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LivaNova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03/30/2025</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8" w:right="680" w:hanging="8"/>
        <w:spacing w:after="0" w:line="250" w:lineRule="auto"/>
        <w:tabs>
          <w:tab w:leader="none" w:pos="14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0"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8" w:lineRule="exact"/>
        <w:rPr>
          <w:sz w:val="24"/>
          <w:szCs w:val="24"/>
          <w:color w:val="auto"/>
        </w:rPr>
      </w:pPr>
    </w:p>
    <w:p>
      <w:pPr>
        <w:ind w:left="948"/>
        <w:spacing w:after="0"/>
        <w:rPr>
          <w:sz w:val="20"/>
          <w:szCs w:val="20"/>
          <w:color w:val="auto"/>
        </w:rPr>
      </w:pPr>
      <w:r>
        <w:rPr>
          <w:rFonts w:ascii="Times New Roman" w:cs="Times New Roman" w:eastAsia="Times New Roman" w:hAnsi="Times New Roman"/>
          <w:sz w:val="16"/>
          <w:szCs w:val="16"/>
          <w:color w:val="0000FF"/>
        </w:rPr>
        <w:t>Chief Legal Officer</w:t>
      </w:r>
    </w:p>
    <w:p>
      <w:pPr>
        <w:spacing w:after="0" w:line="311" w:lineRule="exact"/>
        <w:rPr>
          <w:sz w:val="24"/>
          <w:szCs w:val="24"/>
          <w:color w:val="auto"/>
        </w:rPr>
      </w:pPr>
    </w:p>
    <w:p>
      <w:pPr>
        <w:sectPr>
          <w:pgSz w:w="11900" w:h="16896" w:orient="portrait"/>
          <w:cols w:equalWidth="0" w:num="3">
            <w:col w:w="3180" w:space="720"/>
            <w:col w:w="3112" w:space="720"/>
            <w:col w:w="3348"/>
          </w:cols>
          <w:pgMar w:left="460" w:top="215" w:right="359" w:bottom="0" w:gutter="0" w:footer="0" w:header="0"/>
          <w:type w:val="continuous"/>
        </w:sectPr>
      </w:pPr>
    </w:p>
    <w:tbl>
      <w:tblPr>
        <w:tblLayout w:type="fixed"/>
        <w:tblInd w:w="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76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6"/>
            <w:vMerge w:val="continue"/>
          </w:tcPr>
          <w:p>
            <w:pPr>
              <w:spacing w:after="0"/>
              <w:rPr>
                <w:sz w:val="7"/>
                <w:szCs w:val="7"/>
                <w:color w:val="auto"/>
              </w:rPr>
            </w:pPr>
          </w:p>
        </w:tc>
        <w:tc>
          <w:tcPr>
            <w:tcW w:w="35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ind w:left="2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LONDON</w:t>
            </w:r>
          </w:p>
        </w:tc>
        <w:tc>
          <w:tcPr>
            <w:tcW w:w="740" w:type="dxa"/>
            <w:vAlign w:val="bottom"/>
          </w:tcPr>
          <w:p>
            <w:pPr>
              <w:ind w:left="500"/>
              <w:spacing w:after="0"/>
              <w:rPr>
                <w:sz w:val="20"/>
                <w:szCs w:val="20"/>
                <w:color w:val="auto"/>
              </w:rPr>
            </w:pPr>
            <w:r>
              <w:rPr>
                <w:rFonts w:ascii="Times New Roman" w:cs="Times New Roman" w:eastAsia="Times New Roman" w:hAnsi="Times New Roman"/>
                <w:sz w:val="16"/>
                <w:szCs w:val="16"/>
                <w:color w:val="0000FF"/>
              </w:rPr>
              <w:t>X0</w:t>
            </w:r>
          </w:p>
        </w:tc>
        <w:tc>
          <w:tcPr>
            <w:tcW w:w="98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W26LG</w:t>
            </w: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tcPr>
          <w:p>
            <w:pPr>
              <w:ind w:left="140"/>
              <w:spacing w:after="0" w:line="13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720" w:type="dxa"/>
            <w:vAlign w:val="bottom"/>
            <w:gridSpan w:val="2"/>
            <w:vMerge w:val="restart"/>
          </w:tcPr>
          <w:p>
            <w:pPr>
              <w:ind w:left="50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4440" w:type="dxa"/>
            <w:vAlign w:val="bottom"/>
            <w:tcBorders>
              <w:bottom w:val="single" w:sz="8" w:color="2C2C2C"/>
            </w:tcBorders>
            <w:gridSpan w:val="9"/>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2"/>
          </w:tcPr>
          <w:p>
            <w:pPr>
              <w:ind w:left="8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40" w:type="dxa"/>
            <w:vAlign w:val="bottom"/>
            <w:tcBorders>
              <w:bottom w:val="single" w:sz="8" w:color="2C2C2C"/>
            </w:tcBorders>
            <w:gridSpan w:val="4"/>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0" w:type="dxa"/>
            <w:vAlign w:val="bottom"/>
            <w:gridSpan w:val="2"/>
          </w:tcPr>
          <w:p>
            <w:pPr>
              <w:ind w:left="78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40" w:type="dxa"/>
            <w:vAlign w:val="bottom"/>
            <w:gridSpan w:val="3"/>
          </w:tcPr>
          <w:p>
            <w:pPr>
              <w:ind w:left="78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9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573"/>
              <w:spacing w:after="0"/>
              <w:rPr>
                <w:sz w:val="20"/>
                <w:szCs w:val="20"/>
                <w:color w:val="auto"/>
              </w:rPr>
            </w:pPr>
            <w:r>
              <w:rPr>
                <w:rFonts w:ascii="Times New Roman" w:cs="Times New Roman" w:eastAsia="Times New Roman" w:hAnsi="Times New Roman"/>
                <w:sz w:val="16"/>
                <w:szCs w:val="16"/>
                <w:color w:val="0000FF"/>
              </w:rPr>
              <w:t>03/30/2025</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right"/>
              <w:ind w:right="61"/>
              <w:spacing w:after="0"/>
              <w:rPr>
                <w:sz w:val="20"/>
                <w:szCs w:val="20"/>
                <w:color w:val="auto"/>
              </w:rPr>
            </w:pPr>
            <w:r>
              <w:rPr>
                <w:rFonts w:ascii="Times New Roman" w:cs="Times New Roman" w:eastAsia="Times New Roman" w:hAnsi="Times New Roman"/>
                <w:sz w:val="16"/>
                <w:szCs w:val="16"/>
                <w:color w:val="0000FF"/>
              </w:rPr>
              <w:t>2,930</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ind w:left="120"/>
              <w:spacing w:after="0" w:line="302" w:lineRule="exact"/>
              <w:rPr>
                <w:sz w:val="20"/>
                <w:szCs w:val="20"/>
                <w:color w:val="auto"/>
              </w:rPr>
            </w:pPr>
            <w:r>
              <w:rPr>
                <w:rFonts w:ascii="Arial" w:cs="Arial" w:eastAsia="Arial" w:hAnsi="Arial"/>
                <w:sz w:val="32"/>
                <w:szCs w:val="32"/>
                <w:color w:val="000000"/>
                <w:vertAlign w:val="subscript"/>
              </w:rPr>
              <w:t>$</w:t>
            </w:r>
            <w:r>
              <w:rPr>
                <w:rFonts w:ascii="Times New Roman" w:cs="Times New Roman" w:eastAsia="Times New Roman" w:hAnsi="Times New Roman"/>
                <w:sz w:val="32"/>
                <w:szCs w:val="32"/>
                <w:color w:val="0000FF"/>
                <w:vertAlign w:val="subscript"/>
              </w:rPr>
              <w:t>0</w:t>
            </w:r>
            <w:r>
              <w:rPr>
                <w:rFonts w:ascii="Times New Roman" w:cs="Times New Roman" w:eastAsia="Times New Roman" w:hAnsi="Times New Roman"/>
                <w:sz w:val="11"/>
                <w:szCs w:val="11"/>
                <w:color w:val="008000"/>
              </w:rPr>
              <w:t>(1)</w:t>
            </w:r>
          </w:p>
        </w:tc>
        <w:tc>
          <w:tcPr>
            <w:tcW w:w="1280" w:type="dxa"/>
            <w:vAlign w:val="bottom"/>
            <w:tcBorders>
              <w:bottom w:val="single" w:sz="8" w:color="2C2C2C"/>
            </w:tcBorders>
            <w:gridSpan w:val="3"/>
          </w:tcPr>
          <w:p>
            <w:pPr>
              <w:jc w:val="right"/>
              <w:ind w:right="380"/>
              <w:spacing w:after="0"/>
              <w:rPr>
                <w:sz w:val="20"/>
                <w:szCs w:val="20"/>
                <w:color w:val="auto"/>
              </w:rPr>
            </w:pPr>
            <w:r>
              <w:rPr>
                <w:rFonts w:ascii="Times New Roman" w:cs="Times New Roman" w:eastAsia="Times New Roman" w:hAnsi="Times New Roman"/>
                <w:sz w:val="16"/>
                <w:szCs w:val="16"/>
                <w:color w:val="0000FF"/>
              </w:rPr>
              <w:t>6,686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9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573"/>
              <w:spacing w:after="0"/>
              <w:rPr>
                <w:sz w:val="20"/>
                <w:szCs w:val="20"/>
                <w:color w:val="auto"/>
              </w:rPr>
            </w:pPr>
            <w:r>
              <w:rPr>
                <w:rFonts w:ascii="Times New Roman" w:cs="Times New Roman" w:eastAsia="Times New Roman" w:hAnsi="Times New Roman"/>
                <w:sz w:val="16"/>
                <w:szCs w:val="16"/>
                <w:color w:val="0000FF"/>
              </w:rPr>
              <w:t>03/30/2025</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1,020</w:t>
            </w:r>
            <w:r>
              <w:rPr>
                <w:rFonts w:ascii="Times New Roman" w:cs="Times New Roman" w:eastAsia="Times New Roman" w:hAnsi="Times New Roman"/>
                <w:sz w:val="21"/>
                <w:szCs w:val="21"/>
                <w:color w:val="008000"/>
                <w:vertAlign w:val="superscript"/>
              </w:rPr>
              <w:t>(2)</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39.13</w:t>
            </w:r>
          </w:p>
        </w:tc>
        <w:tc>
          <w:tcPr>
            <w:tcW w:w="1280" w:type="dxa"/>
            <w:vAlign w:val="bottom"/>
            <w:tcBorders>
              <w:bottom w:val="single" w:sz="8" w:color="2C2C2C"/>
            </w:tcBorders>
            <w:gridSpan w:val="3"/>
          </w:tcPr>
          <w:p>
            <w:pPr>
              <w:jc w:val="right"/>
              <w:ind w:right="380"/>
              <w:spacing w:after="0"/>
              <w:rPr>
                <w:sz w:val="20"/>
                <w:szCs w:val="20"/>
                <w:color w:val="auto"/>
              </w:rPr>
            </w:pPr>
            <w:r>
              <w:rPr>
                <w:rFonts w:ascii="Times New Roman" w:cs="Times New Roman" w:eastAsia="Times New Roman" w:hAnsi="Times New Roman"/>
                <w:sz w:val="16"/>
                <w:szCs w:val="16"/>
                <w:color w:val="0000FF"/>
              </w:rPr>
              <w:t>5,666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1"/>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80" w:type="dxa"/>
            <w:vAlign w:val="bottom"/>
            <w:gridSpan w:val="9"/>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2.</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200" w:type="dxa"/>
            <w:vAlign w:val="bottom"/>
            <w:gridSpan w:val="2"/>
          </w:tcPr>
          <w:p>
            <w:pPr>
              <w:ind w:left="140"/>
              <w:spacing w:after="0"/>
              <w:rPr>
                <w:sz w:val="20"/>
                <w:szCs w:val="20"/>
                <w:color w:val="auto"/>
              </w:rPr>
            </w:pPr>
            <w:r>
              <w:rPr>
                <w:rFonts w:ascii="Arial" w:cs="Arial" w:eastAsia="Arial" w:hAnsi="Arial"/>
                <w:sz w:val="11"/>
                <w:szCs w:val="11"/>
                <w:b w:val="1"/>
                <w:bCs w:val="1"/>
                <w:color w:val="auto"/>
              </w:rPr>
              <w:t>3A. Deemed</w:t>
            </w:r>
          </w:p>
        </w:tc>
        <w:tc>
          <w:tcPr>
            <w:tcW w:w="640" w:type="dxa"/>
            <w:vAlign w:val="bottom"/>
          </w:tcPr>
          <w:p>
            <w:pPr>
              <w:jc w:val="center"/>
              <w:ind w:right="499"/>
              <w:spacing w:after="0"/>
              <w:rPr>
                <w:sz w:val="20"/>
                <w:szCs w:val="20"/>
                <w:color w:val="auto"/>
              </w:rPr>
            </w:pPr>
            <w:r>
              <w:rPr>
                <w:rFonts w:ascii="Arial" w:cs="Arial" w:eastAsia="Arial" w:hAnsi="Arial"/>
                <w:sz w:val="11"/>
                <w:szCs w:val="11"/>
                <w:b w:val="1"/>
                <w:bCs w:val="1"/>
                <w:color w:val="auto"/>
                <w:w w:val="86"/>
              </w:rPr>
              <w:t>4.</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200" w:type="dxa"/>
            <w:vAlign w:val="bottom"/>
            <w:gridSpan w:val="2"/>
          </w:tcPr>
          <w:p>
            <w:pPr>
              <w:ind w:left="140"/>
              <w:spacing w:after="0"/>
              <w:rPr>
                <w:sz w:val="20"/>
                <w:szCs w:val="20"/>
                <w:color w:val="auto"/>
              </w:rPr>
            </w:pPr>
            <w:r>
              <w:rPr>
                <w:rFonts w:ascii="Arial" w:cs="Arial" w:eastAsia="Arial" w:hAnsi="Arial"/>
                <w:sz w:val="11"/>
                <w:szCs w:val="11"/>
                <w:b w:val="1"/>
                <w:bCs w:val="1"/>
                <w:color w:val="auto"/>
              </w:rPr>
              <w:t>Execution Date,</w:t>
            </w:r>
          </w:p>
        </w:tc>
        <w:tc>
          <w:tcPr>
            <w:tcW w:w="640" w:type="dxa"/>
            <w:vAlign w:val="bottom"/>
          </w:tcPr>
          <w:p>
            <w:pPr>
              <w:spacing w:after="0"/>
              <w:rPr>
                <w:sz w:val="20"/>
                <w:szCs w:val="20"/>
                <w:color w:val="auto"/>
              </w:rPr>
            </w:pPr>
            <w:r>
              <w:rPr>
                <w:rFonts w:ascii="Arial" w:cs="Arial" w:eastAsia="Arial" w:hAnsi="Arial"/>
                <w:sz w:val="11"/>
                <w:szCs w:val="11"/>
                <w:b w:val="1"/>
                <w:bCs w:val="1"/>
                <w:color w:val="auto"/>
                <w:w w:val="99"/>
              </w:rPr>
              <w:t>Transaction</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0"/>
                <w:szCs w:val="10"/>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or Exercise</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200" w:type="dxa"/>
            <w:vAlign w:val="bottom"/>
            <w:gridSpan w:val="2"/>
          </w:tcPr>
          <w:p>
            <w:pPr>
              <w:ind w:left="140"/>
              <w:spacing w:after="0"/>
              <w:rPr>
                <w:sz w:val="20"/>
                <w:szCs w:val="20"/>
                <w:color w:val="auto"/>
              </w:rPr>
            </w:pPr>
            <w:r>
              <w:rPr>
                <w:rFonts w:ascii="Arial" w:cs="Arial" w:eastAsia="Arial" w:hAnsi="Arial"/>
                <w:sz w:val="11"/>
                <w:szCs w:val="11"/>
                <w:b w:val="1"/>
                <w:bCs w:val="1"/>
                <w:color w:val="auto"/>
              </w:rPr>
              <w:t>if any</w:t>
            </w:r>
          </w:p>
        </w:tc>
        <w:tc>
          <w:tcPr>
            <w:tcW w:w="64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Price of</w:t>
            </w:r>
          </w:p>
        </w:tc>
        <w:tc>
          <w:tcPr>
            <w:tcW w:w="980" w:type="dxa"/>
            <w:vAlign w:val="bottom"/>
          </w:tcPr>
          <w:p>
            <w:pPr>
              <w:spacing w:after="0"/>
              <w:rPr>
                <w:sz w:val="10"/>
                <w:szCs w:val="10"/>
                <w:color w:val="auto"/>
              </w:rPr>
            </w:pPr>
          </w:p>
        </w:tc>
        <w:tc>
          <w:tcPr>
            <w:tcW w:w="1200" w:type="dxa"/>
            <w:vAlign w:val="bottom"/>
            <w:gridSpan w:val="2"/>
          </w:tcPr>
          <w:p>
            <w:pPr>
              <w:ind w:left="1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jc w:val="center"/>
              <w:ind w:right="479"/>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4 and 5)</w:t>
            </w: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vMerge w:val="restart"/>
          </w:tcPr>
          <w:p>
            <w:pPr>
              <w:jc w:val="center"/>
              <w:ind w:right="3"/>
              <w:spacing w:after="0"/>
              <w:rPr>
                <w:sz w:val="20"/>
                <w:szCs w:val="20"/>
                <w:color w:val="auto"/>
              </w:rPr>
            </w:pPr>
            <w:r>
              <w:rPr>
                <w:rFonts w:ascii="Times New Roman" w:cs="Times New Roman" w:eastAsia="Times New Roman" w:hAnsi="Times New Roman"/>
                <w:sz w:val="11"/>
                <w:szCs w:val="11"/>
                <w:color w:val="008000"/>
                <w:w w:val="93"/>
              </w:rPr>
              <w:t>(3)</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03/30/2025</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1,477</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1,477</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40"/>
              <w:spacing w:after="0"/>
              <w:rPr>
                <w:sz w:val="20"/>
                <w:szCs w:val="20"/>
                <w:color w:val="auto"/>
              </w:rPr>
            </w:pPr>
            <w:r>
              <w:rPr>
                <w:rFonts w:ascii="Times New Roman" w:cs="Times New Roman" w:eastAsia="Times New Roman" w:hAnsi="Times New Roman"/>
                <w:sz w:val="13"/>
                <w:szCs w:val="13"/>
                <w:color w:val="0000FF"/>
                <w:w w:val="95"/>
              </w:rPr>
              <w:t>2,955</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vMerge w:val="restart"/>
          </w:tcPr>
          <w:p>
            <w:pPr>
              <w:jc w:val="center"/>
              <w:ind w:right="3"/>
              <w:spacing w:after="0"/>
              <w:rPr>
                <w:sz w:val="20"/>
                <w:szCs w:val="20"/>
                <w:color w:val="auto"/>
              </w:rPr>
            </w:pPr>
            <w:r>
              <w:rPr>
                <w:rFonts w:ascii="Times New Roman" w:cs="Times New Roman" w:eastAsia="Times New Roman" w:hAnsi="Times New Roman"/>
                <w:sz w:val="11"/>
                <w:szCs w:val="11"/>
                <w:color w:val="008000"/>
                <w:w w:val="93"/>
              </w:rPr>
              <w:t>(3)</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03/30/2025</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1,453</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1,453</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40"/>
              <w:spacing w:after="0"/>
              <w:rPr>
                <w:sz w:val="20"/>
                <w:szCs w:val="20"/>
                <w:color w:val="auto"/>
              </w:rPr>
            </w:pPr>
            <w:r>
              <w:rPr>
                <w:rFonts w:ascii="Times New Roman" w:cs="Times New Roman" w:eastAsia="Times New Roman" w:hAnsi="Times New Roman"/>
                <w:sz w:val="13"/>
                <w:szCs w:val="13"/>
                <w:color w:val="0000FF"/>
                <w:w w:val="95"/>
              </w:rPr>
              <w:t>4,356</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vMerge w:val="restart"/>
          </w:tcPr>
          <w:p>
            <w:pPr>
              <w:jc w:val="center"/>
              <w:ind w:right="3"/>
              <w:spacing w:after="0"/>
              <w:rPr>
                <w:sz w:val="20"/>
                <w:szCs w:val="20"/>
                <w:color w:val="auto"/>
              </w:rPr>
            </w:pPr>
            <w:r>
              <w:rPr>
                <w:rFonts w:ascii="Times New Roman" w:cs="Times New Roman" w:eastAsia="Times New Roman" w:hAnsi="Times New Roman"/>
                <w:sz w:val="11"/>
                <w:szCs w:val="11"/>
                <w:color w:val="008000"/>
                <w:w w:val="93"/>
              </w:rPr>
              <w:t>(6)</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03/30/2025</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8,944</w:t>
            </w:r>
          </w:p>
        </w:tc>
        <w:tc>
          <w:tcPr>
            <w:tcW w:w="4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8,944</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40"/>
              <w:spacing w:after="0"/>
              <w:rPr>
                <w:sz w:val="20"/>
                <w:szCs w:val="20"/>
                <w:color w:val="auto"/>
              </w:rPr>
            </w:pPr>
            <w:r>
              <w:rPr>
                <w:rFonts w:ascii="Times New Roman" w:cs="Times New Roman" w:eastAsia="Times New Roman" w:hAnsi="Times New Roman"/>
                <w:sz w:val="13"/>
                <w:szCs w:val="13"/>
                <w:color w:val="0000FF"/>
                <w:w w:val="95"/>
              </w:rPr>
              <w:t>8,944</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vMerge w:val="restart"/>
          </w:tcPr>
          <w:p>
            <w:pPr>
              <w:jc w:val="center"/>
              <w:ind w:right="3"/>
              <w:spacing w:after="0"/>
              <w:rPr>
                <w:sz w:val="20"/>
                <w:szCs w:val="20"/>
                <w:color w:val="auto"/>
              </w:rPr>
            </w:pPr>
            <w:r>
              <w:rPr>
                <w:rFonts w:ascii="Times New Roman" w:cs="Times New Roman" w:eastAsia="Times New Roman" w:hAnsi="Times New Roman"/>
                <w:sz w:val="11"/>
                <w:szCs w:val="11"/>
                <w:color w:val="008000"/>
                <w:w w:val="93"/>
              </w:rPr>
              <w:t>(8)</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03/30/2025</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4,472</w:t>
            </w:r>
          </w:p>
        </w:tc>
        <w:tc>
          <w:tcPr>
            <w:tcW w:w="4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4,472</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40"/>
              <w:spacing w:after="0"/>
              <w:rPr>
                <w:sz w:val="20"/>
                <w:szCs w:val="20"/>
                <w:color w:val="auto"/>
              </w:rPr>
            </w:pPr>
            <w:r>
              <w:rPr>
                <w:rFonts w:ascii="Times New Roman" w:cs="Times New Roman" w:eastAsia="Times New Roman" w:hAnsi="Times New Roman"/>
                <w:sz w:val="13"/>
                <w:szCs w:val="13"/>
                <w:color w:val="0000FF"/>
                <w:w w:val="95"/>
              </w:rPr>
              <w:t>4,472</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vMerge w:val="restart"/>
          </w:tcPr>
          <w:p>
            <w:pPr>
              <w:jc w:val="center"/>
              <w:ind w:right="3"/>
              <w:spacing w:after="0"/>
              <w:rPr>
                <w:sz w:val="20"/>
                <w:szCs w:val="20"/>
                <w:color w:val="auto"/>
              </w:rPr>
            </w:pPr>
            <w:r>
              <w:rPr>
                <w:rFonts w:ascii="Times New Roman" w:cs="Times New Roman" w:eastAsia="Times New Roman" w:hAnsi="Times New Roman"/>
                <w:sz w:val="11"/>
                <w:szCs w:val="11"/>
                <w:color w:val="008000"/>
                <w:w w:val="93"/>
              </w:rPr>
              <w:t>(8)</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03/30/2025</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4,472</w:t>
            </w:r>
          </w:p>
        </w:tc>
        <w:tc>
          <w:tcPr>
            <w:tcW w:w="4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4,472</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40"/>
              <w:spacing w:after="0"/>
              <w:rPr>
                <w:sz w:val="20"/>
                <w:szCs w:val="20"/>
                <w:color w:val="auto"/>
              </w:rPr>
            </w:pPr>
            <w:r>
              <w:rPr>
                <w:rFonts w:ascii="Times New Roman" w:cs="Times New Roman" w:eastAsia="Times New Roman" w:hAnsi="Times New Roman"/>
                <w:sz w:val="13"/>
                <w:szCs w:val="13"/>
                <w:color w:val="0000FF"/>
                <w:w w:val="95"/>
              </w:rPr>
              <w:t>4,472</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vMerge w:val="restart"/>
          </w:tcPr>
          <w:p>
            <w:pPr>
              <w:jc w:val="center"/>
              <w:ind w:right="3"/>
              <w:spacing w:after="0"/>
              <w:rPr>
                <w:sz w:val="20"/>
                <w:szCs w:val="20"/>
                <w:color w:val="auto"/>
              </w:rPr>
            </w:pPr>
            <w:r>
              <w:rPr>
                <w:rFonts w:ascii="Times New Roman" w:cs="Times New Roman" w:eastAsia="Times New Roman" w:hAnsi="Times New Roman"/>
                <w:sz w:val="11"/>
                <w:szCs w:val="11"/>
                <w:color w:val="008000"/>
                <w:w w:val="93"/>
              </w:rPr>
              <w:t>(8)</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03/30/2025</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8,944</w:t>
            </w:r>
          </w:p>
        </w:tc>
        <w:tc>
          <w:tcPr>
            <w:tcW w:w="4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8,944</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40"/>
              <w:spacing w:after="0"/>
              <w:rPr>
                <w:sz w:val="20"/>
                <w:szCs w:val="20"/>
                <w:color w:val="auto"/>
              </w:rPr>
            </w:pPr>
            <w:r>
              <w:rPr>
                <w:rFonts w:ascii="Times New Roman" w:cs="Times New Roman" w:eastAsia="Times New Roman" w:hAnsi="Times New Roman"/>
                <w:sz w:val="13"/>
                <w:szCs w:val="13"/>
                <w:color w:val="0000FF"/>
                <w:w w:val="95"/>
              </w:rPr>
              <w:t>8,944</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70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19,581</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3"/>
                <w:szCs w:val="13"/>
                <w:color w:val="0000FF"/>
              </w:rPr>
              <w:t>Appreciation</w:t>
            </w:r>
          </w:p>
        </w:tc>
        <w:tc>
          <w:tcPr>
            <w:tcW w:w="740" w:type="dxa"/>
            <w:vAlign w:val="bottom"/>
          </w:tcPr>
          <w:p>
            <w:pPr>
              <w:jc w:val="center"/>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39.13</w:t>
            </w:r>
          </w:p>
        </w:tc>
        <w:tc>
          <w:tcPr>
            <w:tcW w:w="98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4"/>
              </w:rPr>
              <w:t>03/30/2025</w:t>
            </w: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100"/>
              <w:spacing w:after="0" w:line="127"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jc w:val="center"/>
              <w:ind w:left="1"/>
              <w:spacing w:after="0" w:line="127" w:lineRule="exact"/>
              <w:rPr>
                <w:sz w:val="20"/>
                <w:szCs w:val="20"/>
                <w:color w:val="auto"/>
              </w:rPr>
            </w:pPr>
            <w:r>
              <w:rPr>
                <w:rFonts w:ascii="Times New Roman" w:cs="Times New Roman" w:eastAsia="Times New Roman" w:hAnsi="Times New Roman"/>
                <w:sz w:val="13"/>
                <w:szCs w:val="13"/>
                <w:color w:val="0000FF"/>
                <w:w w:val="94"/>
              </w:rPr>
              <w:t>19,581</w:t>
            </w:r>
          </w:p>
        </w:tc>
        <w:tc>
          <w:tcPr>
            <w:tcW w:w="4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7"/>
              </w:rPr>
              <w:t>03/30/2035</w:t>
            </w: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gridSpan w:val="2"/>
          </w:tcPr>
          <w:p>
            <w:pPr>
              <w:jc w:val="center"/>
              <w:spacing w:after="0" w:line="12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8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4"/>
              </w:rPr>
              <w:t>19,581</w:t>
            </w:r>
          </w:p>
        </w:tc>
        <w:tc>
          <w:tcPr>
            <w:tcW w:w="640" w:type="dxa"/>
            <w:vAlign w:val="bottom"/>
          </w:tcPr>
          <w:p>
            <w:pPr>
              <w:ind w:left="32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ind w:left="120"/>
              <w:spacing w:after="0" w:line="139"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-3348990</wp:posOffset>
            </wp:positionV>
            <wp:extent cx="28575" cy="3354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335470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GBP 1.00 par value.</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liability.</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in accordance with the terms of the Company's 2022 Incentive Award Plan (the Plan) and the award agreement.</w:t>
      </w:r>
    </w:p>
    <w:p>
      <w:pPr>
        <w:spacing w:after="0" w:line="40" w:lineRule="exact"/>
        <w:rPr>
          <w:rFonts w:ascii="Times New Roman" w:cs="Times New Roman" w:eastAsia="Times New Roman" w:hAnsi="Times New Roman"/>
          <w:sz w:val="13"/>
          <w:szCs w:val="13"/>
          <w:color w:val="008000"/>
        </w:rPr>
      </w:pPr>
    </w:p>
    <w:p>
      <w:pPr>
        <w:ind w:left="40" w:right="22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2023, reporting person was granted RSUs subject to a four-year vesting in equal annual installments, the first vesting having occurred on March 30, 2024. The RSUs are subject to forfeiture prior to vesting in accordance with the terms of the Plan and the award agreement.</w:t>
      </w:r>
    </w:p>
    <w:p>
      <w:pPr>
        <w:spacing w:after="0" w:line="20" w:lineRule="exact"/>
        <w:rPr>
          <w:rFonts w:ascii="Times New Roman" w:cs="Times New Roman" w:eastAsia="Times New Roman" w:hAnsi="Times New Roman"/>
          <w:sz w:val="13"/>
          <w:szCs w:val="13"/>
          <w:color w:val="008000"/>
        </w:rPr>
      </w:pPr>
    </w:p>
    <w:p>
      <w:pPr>
        <w:ind w:left="40" w:right="22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2024, reporting person was granted RSUs subject to a four-year vesting in equal annual installments, the first vesting having occurred on March 30, 2025. The RSUs are subject to forfeiture prior to vesting in accordance with the terms of the Plan and the award agreement.</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in accordance with the terms of the Plan and the award agreement.</w:t>
      </w:r>
    </w:p>
    <w:p>
      <w:pPr>
        <w:spacing w:after="0" w:line="40" w:lineRule="exact"/>
        <w:rPr>
          <w:rFonts w:ascii="Times New Roman" w:cs="Times New Roman" w:eastAsia="Times New Roman" w:hAnsi="Times New Roman"/>
          <w:sz w:val="13"/>
          <w:szCs w:val="13"/>
          <w:color w:val="008000"/>
        </w:rPr>
      </w:pPr>
    </w:p>
    <w:p>
      <w:pPr>
        <w:ind w:left="40" w:right="50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2025, reporting person was granted RSUs subject to a three-year vesting in equal annual installments, the first vesting occurring on March 30, 2026. The RSUs are subject to forfeiture prior to vesting in accordance with the terms of the Plan and the award agreement.</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stock unit (PSU) represents a contingent right to receive one ordinary share of the Company in accordance with the terms of the Plan and the award agreement.</w:t>
      </w:r>
    </w:p>
    <w:p>
      <w:pPr>
        <w:spacing w:after="0" w:line="40" w:lineRule="exact"/>
        <w:rPr>
          <w:rFonts w:ascii="Times New Roman" w:cs="Times New Roman" w:eastAsia="Times New Roman" w:hAnsi="Times New Roman"/>
          <w:sz w:val="13"/>
          <w:szCs w:val="13"/>
          <w:color w:val="008000"/>
        </w:rPr>
      </w:pPr>
    </w:p>
    <w:p>
      <w:pPr>
        <w:ind w:left="40" w:right="260" w:hanging="1"/>
        <w:spacing w:after="0" w:line="285" w:lineRule="auto"/>
        <w:tabs>
          <w:tab w:leader="none" w:pos="16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March 30, 2025, reporting person was granted PSUs to vest or lapse on March 30, 2028 based on how the Company's free cash flow (FCF) for performance period 2025-2027 compares to a target determined by the Plan Administrator. The number included in column 5 of Table II reflects the target number of PSUs eligible for vesting subject to continued service during the vesting period and the award agreement.</w:t>
      </w:r>
    </w:p>
    <w:p>
      <w:pPr>
        <w:jc w:val="both"/>
        <w:ind w:left="40" w:right="260" w:hanging="1"/>
        <w:spacing w:after="0" w:line="236" w:lineRule="auto"/>
        <w:tabs>
          <w:tab w:leader="none" w:pos="2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2025, reporting person was granted PSUs to vest or lapse on March 30, 2028 based on how the Company's Return on Investment Capital (ROIC) calculated for the performance period 2025-2027 compares to a target determined by the Plan Administrator. The number included in column 5 of Table II reflects the target number of PSUs eligible for vesting subject to continued service during the vesting period and the award agreement.</w:t>
      </w:r>
    </w:p>
    <w:p>
      <w:pPr>
        <w:spacing w:after="0" w:line="26" w:lineRule="exact"/>
        <w:rPr>
          <w:rFonts w:ascii="Times New Roman" w:cs="Times New Roman" w:eastAsia="Times New Roman" w:hAnsi="Times New Roman"/>
          <w:sz w:val="13"/>
          <w:szCs w:val="13"/>
          <w:color w:val="008000"/>
        </w:rPr>
      </w:pPr>
    </w:p>
    <w:p>
      <w:pPr>
        <w:ind w:left="40" w:right="180" w:hanging="1"/>
        <w:spacing w:after="0" w:line="236" w:lineRule="auto"/>
        <w:tabs>
          <w:tab w:leader="none" w:pos="22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2025, reporting person was granted PSUs to vest or lapse on March 30, 2028 based on the Company's total shareholder return (TSR) for the three-year period beginning on January 1, 2025 and ending December 31, 2027 relative to the TSR of an index of companies, as determined by the Plan Administrator. The number included in column 5 of Table II reflects the target number of PSUs eligible for vesting subject to continued service during the vesting period and the award agreement.</w:t>
      </w:r>
    </w:p>
    <w:p>
      <w:pPr>
        <w:spacing w:after="0" w:line="26" w:lineRule="exact"/>
        <w:rPr>
          <w:rFonts w:ascii="Times New Roman" w:cs="Times New Roman" w:eastAsia="Times New Roman" w:hAnsi="Times New Roman"/>
          <w:sz w:val="13"/>
          <w:szCs w:val="13"/>
          <w:color w:val="008000"/>
        </w:rPr>
      </w:pPr>
    </w:p>
    <w:p>
      <w:pPr>
        <w:ind w:left="40" w:right="180" w:hanging="1"/>
        <w:spacing w:after="0" w:line="247" w:lineRule="auto"/>
        <w:tabs>
          <w:tab w:leader="none" w:pos="2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2025, reporting person was granted stock appreciation rights (SARs) subject to a four-year vesting in equal annual installments, the first vesting occurring on March 30, 2026. The SARs are subject to forfeiture prior to vesting in accordance with the terms of the Plan and the award agreement.</w:t>
      </w:r>
    </w:p>
    <w:p>
      <w:pPr>
        <w:sectPr>
          <w:pgSz w:w="11900" w:h="16896" w:orient="portrait"/>
          <w:cols w:equalWidth="0" w:num="1">
            <w:col w:w="11080"/>
          </w:cols>
          <w:pgMar w:left="460" w:top="215" w:right="359" w:bottom="0" w:gutter="0" w:footer="0" w:header="0"/>
          <w:type w:val="continuous"/>
        </w:sectPr>
      </w:pP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96" w:orient="portrait"/>
          <w:cols w:equalWidth="0" w:num="1">
            <w:col w:w="11080"/>
          </w:cols>
          <w:pgMar w:left="460" w:top="215" w:right="359" w:bottom="0" w:gutter="0" w:footer="0" w:header="0"/>
          <w:type w:val="continuous"/>
        </w:sectPr>
      </w:pPr>
    </w:p>
    <w:bookmarkStart w:id="1" w:name="page2"/>
    <w:bookmarkEnd w:id="1"/>
    <w:p>
      <w:pPr>
        <w:ind w:left="6561"/>
        <w:spacing w:after="0"/>
        <w:rPr>
          <w:sz w:val="20"/>
          <w:szCs w:val="20"/>
          <w:color w:val="auto"/>
        </w:rPr>
      </w:pPr>
      <w:r>
        <w:rPr>
          <w:rFonts w:ascii="Times New Roman" w:cs="Times New Roman" w:eastAsia="Times New Roman" w:hAnsi="Times New Roman"/>
          <w:sz w:val="16"/>
          <w:szCs w:val="16"/>
          <w:color w:val="0000FF"/>
        </w:rPr>
        <w:t xml:space="preserve">/s/ Sarah K. Mohr, Attorney-in-  </w:t>
      </w:r>
      <w:r>
        <w:rPr>
          <w:rFonts w:ascii="Times New Roman" w:cs="Times New Roman" w:eastAsia="Times New Roman" w:hAnsi="Times New Roman"/>
          <w:sz w:val="32"/>
          <w:szCs w:val="32"/>
          <w:color w:val="0000FF"/>
          <w:vertAlign w:val="subscript"/>
        </w:rPr>
        <w:t>04/01/2025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-26670</wp:posOffset>
            </wp:positionV>
            <wp:extent cx="1316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-15240</wp:posOffset>
            </wp:positionV>
            <wp:extent cx="179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5558790</wp:posOffset>
            </wp:positionH>
            <wp:positionV relativeFrom="paragraph">
              <wp:posOffset>-79375</wp:posOffset>
            </wp:positionV>
            <wp:extent cx="4749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4980" cy="8255"/>
                    </a:xfrm>
                    <a:prstGeom prst="rect">
                      <a:avLst/>
                    </a:prstGeom>
                    <a:noFill/>
                  </pic:spPr>
                </pic:pic>
              </a:graphicData>
            </a:graphic>
          </wp:anchor>
        </w:drawing>
      </w:r>
    </w:p>
    <w:p>
      <w:pPr>
        <w:spacing w:after="0" w:line="31" w:lineRule="exact"/>
        <w:rPr>
          <w:sz w:val="20"/>
          <w:szCs w:val="20"/>
          <w:color w:val="auto"/>
        </w:rPr>
      </w:pPr>
    </w:p>
    <w:p>
      <w:pPr>
        <w:ind w:left="6561"/>
        <w:spacing w:after="0"/>
        <w:tabs>
          <w:tab w:leader="none" w:pos="8741"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2679" w:hanging="1"/>
        <w:spacing w:after="0" w:line="329"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0"/>
      </w:cols>
      <w:pgMar w:left="499" w:top="1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06626"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2025-04-01T20:09:41Z</dcterms:created>
  <dcterms:modified xsi:type="dcterms:W3CDTF">2025-04-01T20:09:41Z</dcterms:modified>
</cp:coreProperties>
</file>