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November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 Merchant Square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+44 800 975 8080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Presentation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30, 2015, LivaNova PLC (the “</w:t>
      </w:r>
      <w:r>
        <w:rPr>
          <w:rFonts w:ascii="Arial" w:cs="Arial" w:eastAsia="Arial" w:hAnsi="Arial"/>
          <w:sz w:val="18"/>
          <w:szCs w:val="18"/>
          <w:i w:val="1"/>
          <w:iCs w:val="1"/>
          <w:color w:val="auto"/>
        </w:rPr>
        <w:t>Company</w:t>
      </w:r>
      <w:r>
        <w:rPr>
          <w:rFonts w:ascii="Arial" w:cs="Arial" w:eastAsia="Arial" w:hAnsi="Arial"/>
          <w:sz w:val="18"/>
          <w:szCs w:val="18"/>
          <w:color w:val="auto"/>
        </w:rPr>
        <w:t>”) prepared an investor presentation containing certain operational information and financial highlights. Representatives of the Company intend to present some or all of this information to current investors and analysts at various conferences and meetings, including webinars, beginning on November 30, 2015. A copy of the presentation has been posted on the Company’s website, and may be viewed at the following link: http://www.livanova.com/investor-relations/events#.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disclosed under this Item 7.01 shall not be deemed “filed” for any purpose, including for the purposes of Section 18 of the United States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ectPr>
          <w:pgSz w:w="11900" w:h="16838" w:orient="portrait"/>
          <w:cols w:equalWidth="0" w:num="1">
            <w:col w:w="11260"/>
          </w:cols>
          <w:pgMar w:left="240" w:top="27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United States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LivaNova PLC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November 30, 2015</w:t>
            </w:r>
          </w:p>
        </w:tc>
        <w:tc>
          <w:tcPr>
            <w:tcW w:w="25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Sheridan</w:t>
            </w:r>
          </w:p>
        </w:tc>
      </w:tr>
      <w:tr>
        <w:trPr>
          <w:trHeight w:val="209"/>
        </w:trPr>
        <w:tc>
          <w:tcPr>
            <w:tcW w:w="3840" w:type="dxa"/>
            <w:vAlign w:val="bottom"/>
          </w:tcPr>
          <w:p>
            <w:pPr>
              <w:spacing w:after="0"/>
              <w:rPr>
                <w:sz w:val="18"/>
                <w:szCs w:val="18"/>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Brian Sheridan</w:t>
            </w:r>
          </w:p>
        </w:tc>
      </w:tr>
      <w:tr>
        <w:trPr>
          <w:trHeight w:val="230"/>
        </w:trPr>
        <w:tc>
          <w:tcPr>
            <w:tcW w:w="3840" w:type="dxa"/>
            <w:vAlign w:val="bottom"/>
          </w:tcPr>
          <w:p>
            <w:pPr>
              <w:spacing w:after="0"/>
              <w:rPr>
                <w:sz w:val="20"/>
                <w:szCs w:val="20"/>
                <w:color w:val="auto"/>
              </w:rPr>
            </w:pPr>
          </w:p>
        </w:tc>
        <w:tc>
          <w:tcPr>
            <w:tcW w:w="2560" w:type="dxa"/>
            <w:vAlign w:val="bottom"/>
          </w:tcPr>
          <w:p>
            <w:pPr>
              <w:ind w:left="19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Company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2019-12-09T04:52:07Z</dcterms:created>
  <dcterms:modified xsi:type="dcterms:W3CDTF">2019-12-09T04:52:07Z</dcterms:modified>
</cp:coreProperties>
</file>