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80"/>
          </w:cols>
          <w:pgMar w:left="240" w:top="220"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Huston Thad Allen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LivaNova PLC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03/01/2018</w:t>
      </w:r>
    </w:p>
    <w:p>
      <w:pPr>
        <w:spacing w:after="0" w:line="20" w:lineRule="exact"/>
        <w:rPr>
          <w:sz w:val="24"/>
          <w:szCs w:val="24"/>
          <w:color w:val="auto"/>
        </w:rPr>
      </w:pPr>
      <w:r>
        <w:rPr>
          <w:sz w:val="24"/>
          <w:szCs w:val="24"/>
          <w:color w:val="auto"/>
        </w:rPr>
        <w:br w:type="column"/>
      </w:r>
    </w:p>
    <w:p>
      <w:pPr>
        <w:ind w:left="3" w:right="60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Chief Financial Officer</w:t>
      </w:r>
    </w:p>
    <w:p>
      <w:pPr>
        <w:spacing w:after="0" w:line="317" w:lineRule="exact"/>
        <w:rPr>
          <w:sz w:val="24"/>
          <w:szCs w:val="24"/>
          <w:color w:val="auto"/>
        </w:rPr>
      </w:pPr>
    </w:p>
    <w:p>
      <w:pPr>
        <w:sectPr>
          <w:pgSz w:w="11900" w:h="16838" w:orient="portrait"/>
          <w:cols w:equalWidth="0" w:num="3">
            <w:col w:w="3360" w:space="720"/>
            <w:col w:w="3257" w:space="720"/>
            <w:col w:w="3443"/>
          </w:cols>
          <w:pgMar w:left="240" w:top="220" w:right="1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LONDON</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X0</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20"/>
          </w:cols>
          <w:pgMar w:left="240" w:top="220"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Times New Roman" w:cs="Times New Roman" w:eastAsia="Times New Roman" w:hAnsi="Times New Roman"/>
                <w:sz w:val="14"/>
                <w:szCs w:val="14"/>
                <w:color w:val="0000FF"/>
                <w:w w:val="96"/>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4,784</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8"/>
                <w:szCs w:val="18"/>
                <w:color w:val="0000FF"/>
              </w:rPr>
              <w:t>4,784</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Times New Roman" w:cs="Times New Roman" w:eastAsia="Times New Roman" w:hAnsi="Times New Roman"/>
                <w:sz w:val="14"/>
                <w:szCs w:val="14"/>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rPr>
              <w:t>2,248</w:t>
            </w:r>
            <w:r>
              <w:rPr>
                <w:rFonts w:ascii="Times New Roman" w:cs="Times New Roman" w:eastAsia="Times New Roman" w:hAnsi="Times New Roman"/>
                <w:sz w:val="22"/>
                <w:szCs w:val="22"/>
                <w:color w:val="008000"/>
                <w:vertAlign w:val="superscript"/>
              </w:rPr>
              <w:t>(2)</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89.57</w:t>
            </w:r>
          </w:p>
        </w:tc>
        <w:tc>
          <w:tcPr>
            <w:tcW w:w="12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8"/>
                <w:szCs w:val="18"/>
                <w:color w:val="0000FF"/>
              </w:rPr>
              <w:t>2,536</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3"/>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Ordinary</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4,784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0000FF"/>
              </w:rPr>
              <w:t>03/01/2018</w:t>
            </w:r>
          </w:p>
        </w:tc>
        <w:tc>
          <w:tcPr>
            <w:tcW w:w="11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1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0000FF"/>
              </w:rPr>
              <w:t>4,784</w:t>
            </w: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4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0000FF"/>
              </w:rPr>
              <w:t>60,356</w:t>
            </w:r>
          </w:p>
        </w:tc>
        <w:tc>
          <w:tcPr>
            <w:tcW w:w="94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referenced shares were withheld from distribution at the request of reporting person. Such shares were forfeited and the associated value was used to offset the tax liability associated with the March 1, 2018 vesting of 4,784 RSUs.</w:t>
      </w:r>
    </w:p>
    <w:p>
      <w:pPr>
        <w:spacing w:after="0" w:line="27" w:lineRule="exact"/>
        <w:rPr>
          <w:rFonts w:ascii="Times New Roman" w:cs="Times New Roman" w:eastAsia="Times New Roman" w:hAnsi="Times New Roman"/>
          <w:sz w:val="14"/>
          <w:szCs w:val="14"/>
          <w:color w:val="008000"/>
        </w:rPr>
      </w:pPr>
    </w:p>
    <w:p>
      <w:pPr>
        <w:ind w:left="40" w:right="5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RSU represents a contingent right to receive one ordinary share (Ordinary Share) of LivaNova PLC (the Company), GBP 1.00 par value, in accordance with the terms of the LivaNova PLC 2015 Incentive Award Plan (the Plan).</w:t>
      </w:r>
    </w:p>
    <w:p>
      <w:pPr>
        <w:spacing w:after="0" w:line="27" w:lineRule="exact"/>
        <w:rPr>
          <w:rFonts w:ascii="Times New Roman" w:cs="Times New Roman" w:eastAsia="Times New Roman" w:hAnsi="Times New Roman"/>
          <w:sz w:val="14"/>
          <w:szCs w:val="14"/>
          <w:color w:val="008000"/>
        </w:rPr>
      </w:pPr>
    </w:p>
    <w:p>
      <w:pPr>
        <w:jc w:val="both"/>
        <w:ind w:left="40" w:right="12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May 20, 2017, reporting person was granted 19, 135 RSUs that vest 25% on the second day after release of LivaNova's full-year 2017 financial results, February 28, 2018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03/05/2018</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2019-12-08T12:35:20Z</dcterms:created>
  <dcterms:modified xsi:type="dcterms:W3CDTF">2019-12-08T12:35:20Z</dcterms:modified>
</cp:coreProperties>
</file>